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3B" w:rsidRPr="007F3A38" w:rsidRDefault="003414A3">
      <w:pPr>
        <w:rPr>
          <w:b/>
          <w:sz w:val="32"/>
          <w:szCs w:val="32"/>
          <w:lang w:val="ro-RO"/>
        </w:rPr>
      </w:pPr>
      <w:r>
        <w:rPr>
          <w:b/>
          <w:noProof/>
          <w:sz w:val="32"/>
          <w:szCs w:val="32"/>
          <w:lang w:val="ro-RO" w:eastAsia="ro-RO"/>
        </w:rPr>
        <w:drawing>
          <wp:anchor distT="0" distB="0" distL="114300" distR="114300" simplePos="0" relativeHeight="251658240" behindDoc="0" locked="0" layoutInCell="1" allowOverlap="1">
            <wp:simplePos x="0" y="0"/>
            <wp:positionH relativeFrom="column">
              <wp:posOffset>4026535</wp:posOffset>
            </wp:positionH>
            <wp:positionV relativeFrom="paragraph">
              <wp:posOffset>334645</wp:posOffset>
            </wp:positionV>
            <wp:extent cx="1718310" cy="2552700"/>
            <wp:effectExtent l="19050" t="0" r="0" b="0"/>
            <wp:wrapSquare wrapText="bothSides"/>
            <wp:docPr id="1" name="Imagine 0" descr="first_radiogra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radiography.jpg"/>
                    <pic:cNvPicPr/>
                  </pic:nvPicPr>
                  <pic:blipFill>
                    <a:blip r:embed="rId4" cstate="print"/>
                    <a:stretch>
                      <a:fillRect/>
                    </a:stretch>
                  </pic:blipFill>
                  <pic:spPr>
                    <a:xfrm>
                      <a:off x="0" y="0"/>
                      <a:ext cx="1718310" cy="2552700"/>
                    </a:xfrm>
                    <a:prstGeom prst="rect">
                      <a:avLst/>
                    </a:prstGeom>
                  </pic:spPr>
                </pic:pic>
              </a:graphicData>
            </a:graphic>
          </wp:anchor>
        </w:drawing>
      </w:r>
      <w:r w:rsidR="007F3A38" w:rsidRPr="007F3A38">
        <w:rPr>
          <w:b/>
          <w:sz w:val="32"/>
          <w:szCs w:val="32"/>
          <w:lang w:val="ro-RO"/>
        </w:rPr>
        <w:t>10</w:t>
      </w:r>
      <w:r w:rsidR="007F3A38">
        <w:rPr>
          <w:b/>
          <w:sz w:val="32"/>
          <w:szCs w:val="32"/>
          <w:lang w:val="ro-RO"/>
        </w:rPr>
        <w:t>.</w:t>
      </w:r>
      <w:r w:rsidR="007F3A38" w:rsidRPr="007F3A38">
        <w:rPr>
          <w:b/>
          <w:sz w:val="32"/>
          <w:szCs w:val="32"/>
          <w:lang w:val="ro-RO"/>
        </w:rPr>
        <w:t xml:space="preserve"> Radiații X</w:t>
      </w:r>
    </w:p>
    <w:p w:rsidR="007F3A55" w:rsidRDefault="009247F8">
      <w:pPr>
        <w:rPr>
          <w:lang w:val="ro-RO"/>
        </w:rPr>
      </w:pPr>
      <w:r>
        <w:rPr>
          <w:lang w:val="ro-RO"/>
        </w:rPr>
        <w:t xml:space="preserve">Denumirea „X” este pentru mister! Când au fost descoperite aceste radiații, la sfârșitul </w:t>
      </w:r>
      <w:proofErr w:type="spellStart"/>
      <w:r>
        <w:rPr>
          <w:lang w:val="ro-RO"/>
        </w:rPr>
        <w:t>secoului</w:t>
      </w:r>
      <w:proofErr w:type="spellEnd"/>
      <w:r>
        <w:rPr>
          <w:lang w:val="ro-RO"/>
        </w:rPr>
        <w:t xml:space="preserve"> XIX, de către germanul </w:t>
      </w:r>
      <w:r w:rsidR="003414A3">
        <w:rPr>
          <w:lang w:val="ro-RO"/>
        </w:rPr>
        <w:br/>
      </w:r>
      <w:r>
        <w:rPr>
          <w:lang w:val="ro-RO"/>
        </w:rPr>
        <w:t xml:space="preserve">Wilhelm Conrad </w:t>
      </w:r>
      <w:proofErr w:type="spellStart"/>
      <w:r>
        <w:rPr>
          <w:lang w:val="ro-RO"/>
        </w:rPr>
        <w:t>R</w:t>
      </w:r>
      <w:r>
        <w:rPr>
          <w:rFonts w:cs="Arial"/>
          <w:lang w:val="ro-RO"/>
        </w:rPr>
        <w:t>ö</w:t>
      </w:r>
      <w:r>
        <w:rPr>
          <w:lang w:val="ro-RO"/>
        </w:rPr>
        <w:t>entgen</w:t>
      </w:r>
      <w:proofErr w:type="spellEnd"/>
      <w:r>
        <w:rPr>
          <w:lang w:val="ro-RO"/>
        </w:rPr>
        <w:t>, păreau într-adevăr</w:t>
      </w:r>
      <w:r w:rsidR="003414A3">
        <w:rPr>
          <w:lang w:val="ro-RO"/>
        </w:rPr>
        <w:t xml:space="preserve"> foarte</w:t>
      </w:r>
      <w:r>
        <w:rPr>
          <w:lang w:val="ro-RO"/>
        </w:rPr>
        <w:t xml:space="preserve"> misterioase. </w:t>
      </w:r>
    </w:p>
    <w:p w:rsidR="007F3A38" w:rsidRDefault="009247F8">
      <w:pPr>
        <w:rPr>
          <w:lang w:val="ro-RO"/>
        </w:rPr>
      </w:pPr>
      <w:r>
        <w:rPr>
          <w:lang w:val="ro-RO"/>
        </w:rPr>
        <w:t xml:space="preserve">Deși nu puteau fi văzute cu ochiul liber, produceau fluorescență (emisia de lumină vizibilă). Dar cea mai misterioasă caracteristică a </w:t>
      </w:r>
      <w:r w:rsidR="003414A3">
        <w:rPr>
          <w:lang w:val="ro-RO"/>
        </w:rPr>
        <w:t>acestor radiații este capacitatea acestora de a străbate corpuri opace pentru lumina vizibilă – nimic nu mai putea fi ascuns!</w:t>
      </w:r>
    </w:p>
    <w:p w:rsidR="007F3A55" w:rsidRDefault="003414A3">
      <w:pPr>
        <w:rPr>
          <w:lang w:val="ro-RO"/>
        </w:rPr>
      </w:pPr>
      <w:r>
        <w:rPr>
          <w:lang w:val="ro-RO"/>
        </w:rPr>
        <w:t>Ilustrația alăturată prezintă prima radiografie</w:t>
      </w:r>
      <w:r w:rsidR="007F3A55">
        <w:rPr>
          <w:lang w:val="ro-RO"/>
        </w:rPr>
        <w:t>, realizată în 1895,</w:t>
      </w:r>
      <w:r>
        <w:rPr>
          <w:lang w:val="ro-RO"/>
        </w:rPr>
        <w:t xml:space="preserve"> cea a mâinii soției lui </w:t>
      </w:r>
      <w:proofErr w:type="spellStart"/>
      <w:r>
        <w:rPr>
          <w:lang w:val="ro-RO"/>
        </w:rPr>
        <w:t>R</w:t>
      </w:r>
      <w:r>
        <w:rPr>
          <w:rFonts w:cs="Arial"/>
          <w:lang w:val="ro-RO"/>
        </w:rPr>
        <w:t>ö</w:t>
      </w:r>
      <w:r>
        <w:rPr>
          <w:lang w:val="ro-RO"/>
        </w:rPr>
        <w:t>entgen</w:t>
      </w:r>
      <w:proofErr w:type="spellEnd"/>
      <w:r>
        <w:rPr>
          <w:lang w:val="ro-RO"/>
        </w:rPr>
        <w:t xml:space="preserve">. Dacă lumina vizibilă este absorbită la trecerea prin mână, radiația X trece cu ușurință prin țesuturile moi, fiind absorbită în mai mare măsură </w:t>
      </w:r>
      <w:r w:rsidR="007F3A55">
        <w:rPr>
          <w:lang w:val="ro-RO"/>
        </w:rPr>
        <w:t xml:space="preserve">doar </w:t>
      </w:r>
      <w:r>
        <w:rPr>
          <w:lang w:val="ro-RO"/>
        </w:rPr>
        <w:t xml:space="preserve">de oasele mai dense. </w:t>
      </w:r>
    </w:p>
    <w:p w:rsidR="003414A3" w:rsidRDefault="003414A3">
      <w:pPr>
        <w:rPr>
          <w:lang w:val="ro-RO"/>
        </w:rPr>
      </w:pPr>
      <w:r>
        <w:rPr>
          <w:lang w:val="ro-RO"/>
        </w:rPr>
        <w:t xml:space="preserve">Astfel, ce se află </w:t>
      </w:r>
      <w:r>
        <w:rPr>
          <w:i/>
          <w:lang w:val="ro-RO"/>
        </w:rPr>
        <w:t>în interiorul</w:t>
      </w:r>
      <w:r>
        <w:rPr>
          <w:lang w:val="ro-RO"/>
        </w:rPr>
        <w:t xml:space="preserve"> mâinii devine vizibil – mâna este parțial transparentă pentru radiațiile X. </w:t>
      </w:r>
      <w:r w:rsidR="007F3A55">
        <w:rPr>
          <w:lang w:val="ro-RO"/>
        </w:rPr>
        <w:t xml:space="preserve">Inelul metalic purtat de doamna  </w:t>
      </w:r>
      <w:proofErr w:type="spellStart"/>
      <w:r w:rsidR="007F3A55">
        <w:rPr>
          <w:lang w:val="ro-RO"/>
        </w:rPr>
        <w:t>R</w:t>
      </w:r>
      <w:r w:rsidR="007F3A55">
        <w:rPr>
          <w:rFonts w:cs="Arial"/>
          <w:lang w:val="ro-RO"/>
        </w:rPr>
        <w:t>ö</w:t>
      </w:r>
      <w:r w:rsidR="007F3A55">
        <w:rPr>
          <w:lang w:val="ro-RO"/>
        </w:rPr>
        <w:t>entgen</w:t>
      </w:r>
      <w:proofErr w:type="spellEnd"/>
      <w:r w:rsidR="007F3A55">
        <w:rPr>
          <w:lang w:val="ro-RO"/>
        </w:rPr>
        <w:t xml:space="preserve"> absoarbe aproape complet radiațiile X folosite pentru realizarea acestei fotografii.</w:t>
      </w:r>
    </w:p>
    <w:p w:rsidR="007F3A55" w:rsidRDefault="008216E6">
      <w:pPr>
        <w:rPr>
          <w:lang w:val="ro-RO"/>
        </w:rPr>
      </w:pPr>
      <w:r>
        <w:rPr>
          <w:lang w:val="ro-RO"/>
        </w:rPr>
        <w:t>Radiațiile X s-au dovedit a fi radiații electromagnetice asemenea luminii vizibile, dar cu frecvențe de mii de ori mai mari!</w:t>
      </w:r>
    </w:p>
    <w:p w:rsidR="00905D8B" w:rsidRPr="003414A3" w:rsidRDefault="00905D8B">
      <w:pPr>
        <w:rPr>
          <w:lang w:val="ro-RO"/>
        </w:rPr>
      </w:pPr>
      <w:r>
        <w:rPr>
          <w:noProof/>
          <w:lang w:val="ro-RO" w:eastAsia="ro-RO"/>
        </w:rPr>
        <w:drawing>
          <wp:inline distT="0" distB="0" distL="0" distR="0">
            <wp:extent cx="5760720" cy="2877185"/>
            <wp:effectExtent l="19050" t="0" r="0" b="0"/>
            <wp:docPr id="3" name="Imagine 2" descr="elmag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mag_spectrum.jpg"/>
                    <pic:cNvPicPr/>
                  </pic:nvPicPr>
                  <pic:blipFill>
                    <a:blip r:embed="rId5" cstate="print"/>
                    <a:stretch>
                      <a:fillRect/>
                    </a:stretch>
                  </pic:blipFill>
                  <pic:spPr>
                    <a:xfrm>
                      <a:off x="0" y="0"/>
                      <a:ext cx="5760720" cy="2877185"/>
                    </a:xfrm>
                    <a:prstGeom prst="rect">
                      <a:avLst/>
                    </a:prstGeom>
                  </pic:spPr>
                </pic:pic>
              </a:graphicData>
            </a:graphic>
          </wp:inline>
        </w:drawing>
      </w:r>
    </w:p>
    <w:p w:rsidR="003414A3" w:rsidRPr="00905D8B" w:rsidRDefault="00905D8B">
      <w:pPr>
        <w:rPr>
          <w:b/>
          <w:sz w:val="28"/>
          <w:szCs w:val="28"/>
          <w:lang w:val="ro-RO"/>
        </w:rPr>
      </w:pPr>
      <w:r w:rsidRPr="00905D8B">
        <w:rPr>
          <w:b/>
          <w:sz w:val="28"/>
          <w:szCs w:val="28"/>
          <w:lang w:val="ro-RO"/>
        </w:rPr>
        <w:t>Provocarea 10 – 1</w:t>
      </w:r>
    </w:p>
    <w:p w:rsidR="00905D8B" w:rsidRDefault="00905D8B" w:rsidP="00905D8B">
      <w:pPr>
        <w:ind w:left="708"/>
        <w:rPr>
          <w:lang w:val="ro-RO"/>
        </w:rPr>
      </w:pPr>
      <w:r>
        <w:rPr>
          <w:lang w:val="ro-RO"/>
        </w:rPr>
        <w:t>Cum pot oare produce atomii fotoni X atât de energici?</w:t>
      </w:r>
    </w:p>
    <w:p w:rsidR="00905D8B" w:rsidRDefault="00905D8B" w:rsidP="00905D8B">
      <w:pPr>
        <w:rPr>
          <w:lang w:val="ro-RO"/>
        </w:rPr>
      </w:pPr>
    </w:p>
    <w:p w:rsidR="00E636FE" w:rsidRDefault="00E636FE">
      <w:pPr>
        <w:rPr>
          <w:lang w:val="ro-RO"/>
        </w:rPr>
      </w:pPr>
      <w:r>
        <w:rPr>
          <w:lang w:val="ro-RO"/>
        </w:rPr>
        <w:br w:type="page"/>
      </w:r>
    </w:p>
    <w:tbl>
      <w:tblPr>
        <w:tblStyle w:val="GrilTabel"/>
        <w:tblW w:w="9464" w:type="dxa"/>
        <w:tblLayout w:type="fixed"/>
        <w:tblLook w:val="04A0"/>
      </w:tblPr>
      <w:tblGrid>
        <w:gridCol w:w="5103"/>
        <w:gridCol w:w="4361"/>
      </w:tblGrid>
      <w:tr w:rsidR="00087F2E" w:rsidTr="004D7642">
        <w:tc>
          <w:tcPr>
            <w:tcW w:w="5103" w:type="dxa"/>
            <w:tcBorders>
              <w:top w:val="nil"/>
              <w:left w:val="nil"/>
              <w:bottom w:val="nil"/>
              <w:right w:val="nil"/>
            </w:tcBorders>
          </w:tcPr>
          <w:p w:rsidR="00087F2E" w:rsidRDefault="00087F2E" w:rsidP="00087F2E">
            <w:pPr>
              <w:rPr>
                <w:lang w:val="ro-RO"/>
              </w:rPr>
            </w:pPr>
            <w:r>
              <w:rPr>
                <w:lang w:val="ro-RO"/>
              </w:rPr>
              <w:lastRenderedPageBreak/>
              <w:t xml:space="preserve">În atomii cu mulți electroni (și protoni în nucleu), interacțiunea dintre nucleu și electronii aflați cel mai aproape de aceste este foarte puternică. Dimpotrivă, electronii aflați mai departe de nucleu interacționează mult mai slab – între aceștia și nucleul pozitiv există alți (numeroși) electroni negativi. </w:t>
            </w:r>
          </w:p>
          <w:p w:rsidR="00087F2E" w:rsidRDefault="00087F2E" w:rsidP="00087F2E">
            <w:pPr>
              <w:rPr>
                <w:lang w:val="ro-RO"/>
              </w:rPr>
            </w:pPr>
          </w:p>
          <w:p w:rsidR="00087F2E" w:rsidRDefault="00087F2E" w:rsidP="00087F2E">
            <w:pPr>
              <w:rPr>
                <w:lang w:val="ro-RO"/>
              </w:rPr>
            </w:pPr>
            <w:r>
              <w:rPr>
                <w:lang w:val="ro-RO"/>
              </w:rPr>
              <w:t xml:space="preserve">Astfel, nivelele de energie ale stratului </w:t>
            </w:r>
            <w:r>
              <w:rPr>
                <w:i/>
                <w:lang w:val="ro-RO"/>
              </w:rPr>
              <w:t xml:space="preserve">n = </w:t>
            </w:r>
            <w:r>
              <w:rPr>
                <w:lang w:val="ro-RO"/>
              </w:rPr>
              <w:t xml:space="preserve">1 (numit K) diferă foarte mult de nivelele de energie ale stratului </w:t>
            </w:r>
            <w:r w:rsidR="004D7642">
              <w:rPr>
                <w:lang w:val="ro-RO"/>
              </w:rPr>
              <w:br/>
            </w:r>
            <w:r>
              <w:rPr>
                <w:i/>
                <w:lang w:val="ro-RO"/>
              </w:rPr>
              <w:t>n</w:t>
            </w:r>
            <w:r>
              <w:rPr>
                <w:lang w:val="ro-RO"/>
              </w:rPr>
              <w:t xml:space="preserve"> = 2 (numit L).</w:t>
            </w:r>
          </w:p>
          <w:p w:rsidR="004D7642" w:rsidRDefault="004D7642" w:rsidP="00087F2E">
            <w:pPr>
              <w:rPr>
                <w:lang w:val="ro-RO"/>
              </w:rPr>
            </w:pPr>
          </w:p>
          <w:p w:rsidR="004D7642" w:rsidRDefault="004D7642" w:rsidP="00087F2E">
            <w:pPr>
              <w:rPr>
                <w:lang w:val="ro-RO"/>
              </w:rPr>
            </w:pPr>
            <w:r>
              <w:rPr>
                <w:lang w:val="ro-RO"/>
              </w:rPr>
              <w:t>Pentru un atom cu zeci de electroni, o tranziție L</w:t>
            </w:r>
            <w:r>
              <w:rPr>
                <w:rFonts w:cs="Arial"/>
                <w:lang w:val="ro-RO"/>
              </w:rPr>
              <w:t>→</w:t>
            </w:r>
            <w:r>
              <w:rPr>
                <w:lang w:val="ro-RO"/>
              </w:rPr>
              <w:t>K ar însemna eliberar</w:t>
            </w:r>
            <w:r w:rsidR="00954DEB">
              <w:rPr>
                <w:lang w:val="ro-RO"/>
              </w:rPr>
              <w:t xml:space="preserve">ea unui foton având zeci de </w:t>
            </w:r>
            <w:proofErr w:type="spellStart"/>
            <w:r w:rsidR="00954DEB">
              <w:rPr>
                <w:lang w:val="ro-RO"/>
              </w:rPr>
              <w:t>keV</w:t>
            </w:r>
            <w:proofErr w:type="spellEnd"/>
            <w:r w:rsidR="00954DEB">
              <w:rPr>
                <w:lang w:val="ro-RO"/>
              </w:rPr>
              <w:t xml:space="preserve"> și o frecvență uriașă! Un foton X!</w:t>
            </w:r>
          </w:p>
          <w:p w:rsidR="00087F2E" w:rsidRDefault="00087F2E" w:rsidP="00905D8B">
            <w:pPr>
              <w:rPr>
                <w:lang w:val="ro-RO"/>
              </w:rPr>
            </w:pPr>
          </w:p>
        </w:tc>
        <w:tc>
          <w:tcPr>
            <w:tcW w:w="4361" w:type="dxa"/>
            <w:tcBorders>
              <w:top w:val="nil"/>
              <w:left w:val="nil"/>
              <w:bottom w:val="nil"/>
              <w:right w:val="nil"/>
            </w:tcBorders>
          </w:tcPr>
          <w:tbl>
            <w:tblPr>
              <w:tblStyle w:val="GrilTabel"/>
              <w:tblW w:w="4112" w:type="dxa"/>
              <w:jc w:val="right"/>
              <w:tblLayout w:type="fixed"/>
              <w:tblLook w:val="04A0"/>
            </w:tblPr>
            <w:tblGrid>
              <w:gridCol w:w="1287"/>
              <w:gridCol w:w="1123"/>
              <w:gridCol w:w="1702"/>
            </w:tblGrid>
            <w:tr w:rsidR="004D7642" w:rsidRPr="00087F2E" w:rsidTr="007B7E68">
              <w:trPr>
                <w:jc w:val="right"/>
              </w:trPr>
              <w:tc>
                <w:tcPr>
                  <w:tcW w:w="1287" w:type="dxa"/>
                  <w:shd w:val="pct10" w:color="auto" w:fill="auto"/>
                </w:tcPr>
                <w:p w:rsidR="004D7642" w:rsidRPr="00087F2E" w:rsidRDefault="004D7642" w:rsidP="007B7E68">
                  <w:pPr>
                    <w:jc w:val="center"/>
                    <w:rPr>
                      <w:b/>
                      <w:lang w:val="ro-RO"/>
                    </w:rPr>
                  </w:pPr>
                  <w:r w:rsidRPr="00087F2E">
                    <w:rPr>
                      <w:b/>
                      <w:lang w:val="ro-RO"/>
                    </w:rPr>
                    <w:t>Atomul</w:t>
                  </w:r>
                </w:p>
              </w:tc>
              <w:tc>
                <w:tcPr>
                  <w:tcW w:w="1123" w:type="dxa"/>
                  <w:shd w:val="pct10" w:color="auto" w:fill="auto"/>
                </w:tcPr>
                <w:p w:rsidR="004D7642" w:rsidRPr="00087F2E" w:rsidRDefault="004D7642" w:rsidP="007B7E68">
                  <w:pPr>
                    <w:jc w:val="center"/>
                    <w:rPr>
                      <w:b/>
                      <w:lang w:val="ro-RO"/>
                    </w:rPr>
                  </w:pPr>
                  <w:r>
                    <w:rPr>
                      <w:b/>
                      <w:lang w:val="ro-RO"/>
                    </w:rPr>
                    <w:t xml:space="preserve">Energia pentru </w:t>
                  </w:r>
                  <w:r w:rsidRPr="00087F2E">
                    <w:rPr>
                      <w:b/>
                      <w:lang w:val="ro-RO"/>
                    </w:rPr>
                    <w:t xml:space="preserve">K </w:t>
                  </w:r>
                </w:p>
                <w:p w:rsidR="004D7642" w:rsidRPr="00087F2E" w:rsidRDefault="004D7642" w:rsidP="007B7E68">
                  <w:pPr>
                    <w:jc w:val="center"/>
                    <w:rPr>
                      <w:b/>
                      <w:lang w:val="ro-RO"/>
                    </w:rPr>
                  </w:pPr>
                  <w:r w:rsidRPr="00087F2E">
                    <w:rPr>
                      <w:b/>
                      <w:lang w:val="ro-RO"/>
                    </w:rPr>
                    <w:t>(</w:t>
                  </w:r>
                  <w:proofErr w:type="spellStart"/>
                  <w:r w:rsidRPr="00087F2E">
                    <w:rPr>
                      <w:b/>
                      <w:lang w:val="ro-RO"/>
                    </w:rPr>
                    <w:t>keV</w:t>
                  </w:r>
                  <w:proofErr w:type="spellEnd"/>
                  <w:r w:rsidRPr="00087F2E">
                    <w:rPr>
                      <w:b/>
                      <w:lang w:val="ro-RO"/>
                    </w:rPr>
                    <w:t>)</w:t>
                  </w:r>
                </w:p>
              </w:tc>
              <w:tc>
                <w:tcPr>
                  <w:tcW w:w="1702" w:type="dxa"/>
                  <w:shd w:val="pct10" w:color="auto" w:fill="auto"/>
                </w:tcPr>
                <w:p w:rsidR="004D7642" w:rsidRDefault="004D7642" w:rsidP="007B7E68">
                  <w:pPr>
                    <w:jc w:val="center"/>
                    <w:rPr>
                      <w:b/>
                      <w:lang w:val="ro-RO"/>
                    </w:rPr>
                  </w:pPr>
                  <w:r>
                    <w:rPr>
                      <w:b/>
                      <w:lang w:val="ro-RO"/>
                    </w:rPr>
                    <w:t xml:space="preserve">Energia </w:t>
                  </w:r>
                </w:p>
                <w:p w:rsidR="004D7642" w:rsidRPr="00087F2E" w:rsidRDefault="004D7642" w:rsidP="007B7E68">
                  <w:pPr>
                    <w:jc w:val="center"/>
                    <w:rPr>
                      <w:b/>
                      <w:lang w:val="ro-RO"/>
                    </w:rPr>
                  </w:pPr>
                  <w:r>
                    <w:rPr>
                      <w:b/>
                      <w:lang w:val="ro-RO"/>
                    </w:rPr>
                    <w:t>pentru</w:t>
                  </w:r>
                  <w:r w:rsidRPr="00087F2E">
                    <w:rPr>
                      <w:b/>
                      <w:lang w:val="ro-RO"/>
                    </w:rPr>
                    <w:t xml:space="preserve"> L </w:t>
                  </w:r>
                </w:p>
                <w:p w:rsidR="004D7642" w:rsidRPr="00087F2E" w:rsidRDefault="004D7642" w:rsidP="007B7E68">
                  <w:pPr>
                    <w:jc w:val="center"/>
                    <w:rPr>
                      <w:b/>
                      <w:lang w:val="ro-RO"/>
                    </w:rPr>
                  </w:pPr>
                  <w:r w:rsidRPr="00087F2E">
                    <w:rPr>
                      <w:b/>
                      <w:lang w:val="ro-RO"/>
                    </w:rPr>
                    <w:t>(</w:t>
                  </w:r>
                  <w:proofErr w:type="spellStart"/>
                  <w:r w:rsidRPr="00087F2E">
                    <w:rPr>
                      <w:b/>
                      <w:lang w:val="ro-RO"/>
                    </w:rPr>
                    <w:t>keV</w:t>
                  </w:r>
                  <w:proofErr w:type="spellEnd"/>
                  <w:r w:rsidRPr="00087F2E">
                    <w:rPr>
                      <w:b/>
                      <w:lang w:val="ro-RO"/>
                    </w:rPr>
                    <w:t>)</w:t>
                  </w:r>
                </w:p>
              </w:tc>
            </w:tr>
            <w:tr w:rsidR="004D7642" w:rsidTr="007B7E68">
              <w:trPr>
                <w:jc w:val="right"/>
              </w:trPr>
              <w:tc>
                <w:tcPr>
                  <w:tcW w:w="1287" w:type="dxa"/>
                </w:tcPr>
                <w:p w:rsidR="004D7642" w:rsidRDefault="004D7642" w:rsidP="007B7E68">
                  <w:pPr>
                    <w:rPr>
                      <w:lang w:val="ro-RO"/>
                    </w:rPr>
                  </w:pPr>
                  <m:oMathPara>
                    <m:oMath>
                      <m:sPre>
                        <m:sPrePr>
                          <m:ctrlPr>
                            <w:rPr>
                              <w:rFonts w:ascii="Cambria Math" w:hAnsi="Cambria Math"/>
                              <w:i/>
                              <w:lang w:val="ro-RO"/>
                            </w:rPr>
                          </m:ctrlPr>
                        </m:sPrePr>
                        <m:sub>
                          <m:r>
                            <w:rPr>
                              <w:rFonts w:ascii="Cambria Math" w:hAnsi="Cambria Math"/>
                              <w:lang w:val="ro-RO"/>
                            </w:rPr>
                            <m:t>1</m:t>
                          </m:r>
                        </m:sub>
                        <m:sup/>
                        <m:e>
                          <m:r>
                            <m:rPr>
                              <m:sty m:val="p"/>
                            </m:rPr>
                            <w:rPr>
                              <w:rFonts w:ascii="Cambria Math" w:hAnsi="Cambria Math"/>
                              <w:lang w:val="ro-RO"/>
                            </w:rPr>
                            <m:t>H</m:t>
                          </m:r>
                        </m:e>
                      </m:sPre>
                    </m:oMath>
                  </m:oMathPara>
                </w:p>
              </w:tc>
              <w:tc>
                <w:tcPr>
                  <w:tcW w:w="1123" w:type="dxa"/>
                </w:tcPr>
                <w:p w:rsidR="004D7642" w:rsidRDefault="004D7642" w:rsidP="007B7E68">
                  <w:pPr>
                    <w:rPr>
                      <w:lang w:val="ro-RO"/>
                    </w:rPr>
                  </w:pPr>
                  <w:r>
                    <w:rPr>
                      <w:lang w:val="ro-RO"/>
                    </w:rPr>
                    <w:t xml:space="preserve">    -0,014</w:t>
                  </w:r>
                </w:p>
              </w:tc>
              <w:tc>
                <w:tcPr>
                  <w:tcW w:w="1702" w:type="dxa"/>
                </w:tcPr>
                <w:p w:rsidR="004D7642" w:rsidRDefault="004D7642" w:rsidP="007B7E68">
                  <w:pPr>
                    <w:rPr>
                      <w:lang w:val="ro-RO"/>
                    </w:rPr>
                  </w:pPr>
                </w:p>
              </w:tc>
            </w:tr>
            <w:tr w:rsidR="004D7642" w:rsidTr="007B7E68">
              <w:trPr>
                <w:jc w:val="right"/>
              </w:trPr>
              <w:tc>
                <w:tcPr>
                  <w:tcW w:w="1287" w:type="dxa"/>
                </w:tcPr>
                <w:p w:rsidR="004D7642" w:rsidRDefault="004D7642" w:rsidP="007B7E68">
                  <w:pPr>
                    <w:rPr>
                      <w:lang w:val="ro-RO"/>
                    </w:rPr>
                  </w:pPr>
                  <m:oMathPara>
                    <m:oMath>
                      <m:sPre>
                        <m:sPrePr>
                          <m:ctrlPr>
                            <w:rPr>
                              <w:rFonts w:ascii="Cambria Math" w:hAnsi="Cambria Math"/>
                              <w:i/>
                              <w:lang w:val="ro-RO"/>
                            </w:rPr>
                          </m:ctrlPr>
                        </m:sPrePr>
                        <m:sub>
                          <m:r>
                            <w:rPr>
                              <w:rFonts w:ascii="Cambria Math" w:hAnsi="Cambria Math"/>
                              <w:lang w:val="ro-RO"/>
                            </w:rPr>
                            <m:t>10</m:t>
                          </m:r>
                        </m:sub>
                        <m:sup/>
                        <m:e>
                          <m:r>
                            <m:rPr>
                              <m:sty m:val="p"/>
                            </m:rPr>
                            <w:rPr>
                              <w:rFonts w:ascii="Cambria Math" w:hAnsi="Cambria Math"/>
                              <w:lang w:val="ro-RO"/>
                            </w:rPr>
                            <m:t>Ne</m:t>
                          </m:r>
                        </m:e>
                      </m:sPre>
                    </m:oMath>
                  </m:oMathPara>
                </w:p>
              </w:tc>
              <w:tc>
                <w:tcPr>
                  <w:tcW w:w="1123" w:type="dxa"/>
                </w:tcPr>
                <w:p w:rsidR="004D7642" w:rsidRDefault="004D7642" w:rsidP="007B7E68">
                  <w:pPr>
                    <w:rPr>
                      <w:lang w:val="ro-RO"/>
                    </w:rPr>
                  </w:pPr>
                  <w:r>
                    <w:rPr>
                      <w:lang w:val="ro-RO"/>
                    </w:rPr>
                    <w:t xml:space="preserve">    -0,87</w:t>
                  </w:r>
                </w:p>
              </w:tc>
              <w:tc>
                <w:tcPr>
                  <w:tcW w:w="1702" w:type="dxa"/>
                </w:tcPr>
                <w:p w:rsidR="004D7642" w:rsidRDefault="004D7642" w:rsidP="007B7E68">
                  <w:pPr>
                    <w:rPr>
                      <w:lang w:val="ro-RO"/>
                    </w:rPr>
                  </w:pPr>
                </w:p>
              </w:tc>
            </w:tr>
            <w:tr w:rsidR="004D7642" w:rsidTr="007B7E68">
              <w:trPr>
                <w:jc w:val="right"/>
              </w:trPr>
              <w:tc>
                <w:tcPr>
                  <w:tcW w:w="1287" w:type="dxa"/>
                </w:tcPr>
                <w:p w:rsidR="004D7642" w:rsidRDefault="004D7642" w:rsidP="007B7E68">
                  <w:pPr>
                    <w:rPr>
                      <w:lang w:val="ro-RO"/>
                    </w:rPr>
                  </w:pPr>
                  <m:oMathPara>
                    <m:oMath>
                      <m:sPre>
                        <m:sPrePr>
                          <m:ctrlPr>
                            <w:rPr>
                              <w:rFonts w:ascii="Cambria Math" w:hAnsi="Cambria Math"/>
                              <w:i/>
                              <w:lang w:val="ro-RO"/>
                            </w:rPr>
                          </m:ctrlPr>
                        </m:sPrePr>
                        <m:sub>
                          <m:r>
                            <w:rPr>
                              <w:rFonts w:ascii="Cambria Math" w:hAnsi="Cambria Math"/>
                              <w:lang w:val="ro-RO"/>
                            </w:rPr>
                            <m:t>20</m:t>
                          </m:r>
                        </m:sub>
                        <m:sup/>
                        <m:e>
                          <m:r>
                            <m:rPr>
                              <m:sty m:val="p"/>
                            </m:rPr>
                            <w:rPr>
                              <w:rFonts w:ascii="Cambria Math" w:hAnsi="Cambria Math"/>
                              <w:lang w:val="ro-RO"/>
                            </w:rPr>
                            <m:t>Ca</m:t>
                          </m:r>
                        </m:e>
                      </m:sPre>
                    </m:oMath>
                  </m:oMathPara>
                </w:p>
              </w:tc>
              <w:tc>
                <w:tcPr>
                  <w:tcW w:w="1123" w:type="dxa"/>
                </w:tcPr>
                <w:p w:rsidR="004D7642" w:rsidRDefault="004D7642" w:rsidP="007B7E68">
                  <w:pPr>
                    <w:rPr>
                      <w:lang w:val="ro-RO"/>
                    </w:rPr>
                  </w:pPr>
                  <w:r>
                    <w:rPr>
                      <w:lang w:val="ro-RO"/>
                    </w:rPr>
                    <w:t xml:space="preserve">    -4,0</w:t>
                  </w:r>
                </w:p>
              </w:tc>
              <w:tc>
                <w:tcPr>
                  <w:tcW w:w="1702" w:type="dxa"/>
                </w:tcPr>
                <w:p w:rsidR="004D7642" w:rsidRDefault="004D7642" w:rsidP="007B7E68">
                  <w:pPr>
                    <w:rPr>
                      <w:lang w:val="ro-RO"/>
                    </w:rPr>
                  </w:pPr>
                  <w:r>
                    <w:rPr>
                      <w:lang w:val="ro-RO"/>
                    </w:rPr>
                    <w:t xml:space="preserve">    -0,4</w:t>
                  </w:r>
                </w:p>
              </w:tc>
            </w:tr>
            <w:tr w:rsidR="004D7642" w:rsidTr="007B7E68">
              <w:trPr>
                <w:jc w:val="right"/>
              </w:trPr>
              <w:tc>
                <w:tcPr>
                  <w:tcW w:w="1287" w:type="dxa"/>
                </w:tcPr>
                <w:p w:rsidR="004D7642" w:rsidRDefault="004D7642" w:rsidP="007B7E68">
                  <w:pPr>
                    <w:rPr>
                      <w:lang w:val="ro-RO"/>
                    </w:rPr>
                  </w:pPr>
                  <m:oMathPara>
                    <m:oMath>
                      <m:sPre>
                        <m:sPrePr>
                          <m:ctrlPr>
                            <w:rPr>
                              <w:rFonts w:ascii="Cambria Math" w:hAnsi="Cambria Math"/>
                              <w:i/>
                              <w:lang w:val="ro-RO"/>
                            </w:rPr>
                          </m:ctrlPr>
                        </m:sPrePr>
                        <m:sub>
                          <m:r>
                            <w:rPr>
                              <w:rFonts w:ascii="Cambria Math" w:hAnsi="Cambria Math"/>
                              <w:lang w:val="ro-RO"/>
                            </w:rPr>
                            <m:t>30</m:t>
                          </m:r>
                        </m:sub>
                        <m:sup/>
                        <m:e>
                          <m:r>
                            <m:rPr>
                              <m:sty m:val="p"/>
                            </m:rPr>
                            <w:rPr>
                              <w:rFonts w:ascii="Cambria Math" w:hAnsi="Cambria Math"/>
                              <w:lang w:val="ro-RO"/>
                            </w:rPr>
                            <m:t>Zn</m:t>
                          </m:r>
                        </m:e>
                      </m:sPre>
                    </m:oMath>
                  </m:oMathPara>
                </w:p>
              </w:tc>
              <w:tc>
                <w:tcPr>
                  <w:tcW w:w="1123" w:type="dxa"/>
                </w:tcPr>
                <w:p w:rsidR="004D7642" w:rsidRDefault="004D7642" w:rsidP="007B7E68">
                  <w:pPr>
                    <w:rPr>
                      <w:lang w:val="ro-RO"/>
                    </w:rPr>
                  </w:pPr>
                  <w:r>
                    <w:rPr>
                      <w:lang w:val="ro-RO"/>
                    </w:rPr>
                    <w:t xml:space="preserve">    -9,7</w:t>
                  </w:r>
                </w:p>
              </w:tc>
              <w:tc>
                <w:tcPr>
                  <w:tcW w:w="1702" w:type="dxa"/>
                </w:tcPr>
                <w:p w:rsidR="004D7642" w:rsidRDefault="004D7642" w:rsidP="007B7E68">
                  <w:pPr>
                    <w:rPr>
                      <w:lang w:val="ro-RO"/>
                    </w:rPr>
                  </w:pPr>
                  <w:r>
                    <w:rPr>
                      <w:lang w:val="ro-RO"/>
                    </w:rPr>
                    <w:t xml:space="preserve">    -1,1</w:t>
                  </w:r>
                </w:p>
              </w:tc>
            </w:tr>
            <w:tr w:rsidR="004D7642" w:rsidTr="007B7E68">
              <w:trPr>
                <w:jc w:val="right"/>
              </w:trPr>
              <w:tc>
                <w:tcPr>
                  <w:tcW w:w="1287" w:type="dxa"/>
                </w:tcPr>
                <w:p w:rsidR="004D7642" w:rsidRDefault="004D7642" w:rsidP="007B7E68">
                  <w:pPr>
                    <w:rPr>
                      <w:lang w:val="ro-RO"/>
                    </w:rPr>
                  </w:pPr>
                  <m:oMathPara>
                    <m:oMath>
                      <m:sPre>
                        <m:sPrePr>
                          <m:ctrlPr>
                            <w:rPr>
                              <w:rFonts w:ascii="Cambria Math" w:hAnsi="Cambria Math"/>
                              <w:i/>
                              <w:lang w:val="ro-RO"/>
                            </w:rPr>
                          </m:ctrlPr>
                        </m:sPrePr>
                        <m:sub>
                          <m:r>
                            <w:rPr>
                              <w:rFonts w:ascii="Cambria Math" w:hAnsi="Cambria Math"/>
                              <w:lang w:val="ro-RO"/>
                            </w:rPr>
                            <m:t>40</m:t>
                          </m:r>
                        </m:sub>
                        <m:sup/>
                        <m:e>
                          <m:r>
                            <m:rPr>
                              <m:sty m:val="p"/>
                            </m:rPr>
                            <w:rPr>
                              <w:rFonts w:ascii="Cambria Math" w:hAnsi="Cambria Math"/>
                              <w:lang w:val="ro-RO"/>
                            </w:rPr>
                            <m:t>Zr</m:t>
                          </m:r>
                        </m:e>
                      </m:sPre>
                    </m:oMath>
                  </m:oMathPara>
                </w:p>
              </w:tc>
              <w:tc>
                <w:tcPr>
                  <w:tcW w:w="1123" w:type="dxa"/>
                </w:tcPr>
                <w:p w:rsidR="004D7642" w:rsidRDefault="004D7642" w:rsidP="007B7E68">
                  <w:pPr>
                    <w:rPr>
                      <w:lang w:val="ro-RO"/>
                    </w:rPr>
                  </w:pPr>
                  <w:r>
                    <w:rPr>
                      <w:lang w:val="ro-RO"/>
                    </w:rPr>
                    <w:t xml:space="preserve">  -18</w:t>
                  </w:r>
                </w:p>
              </w:tc>
              <w:tc>
                <w:tcPr>
                  <w:tcW w:w="1702" w:type="dxa"/>
                </w:tcPr>
                <w:p w:rsidR="004D7642" w:rsidRDefault="004D7642" w:rsidP="007B7E68">
                  <w:pPr>
                    <w:rPr>
                      <w:lang w:val="ro-RO"/>
                    </w:rPr>
                  </w:pPr>
                  <w:r>
                    <w:rPr>
                      <w:lang w:val="ro-RO"/>
                    </w:rPr>
                    <w:t xml:space="preserve">    -2,5…2,2</w:t>
                  </w:r>
                </w:p>
              </w:tc>
            </w:tr>
            <w:tr w:rsidR="004D7642" w:rsidTr="007B7E68">
              <w:trPr>
                <w:jc w:val="right"/>
              </w:trPr>
              <w:tc>
                <w:tcPr>
                  <w:tcW w:w="1287" w:type="dxa"/>
                </w:tcPr>
                <w:p w:rsidR="004D7642" w:rsidRDefault="004D7642" w:rsidP="007B7E68">
                  <w:pPr>
                    <w:rPr>
                      <w:lang w:val="ro-RO"/>
                    </w:rPr>
                  </w:pPr>
                  <m:oMathPara>
                    <m:oMath>
                      <m:sPre>
                        <m:sPrePr>
                          <m:ctrlPr>
                            <w:rPr>
                              <w:rFonts w:ascii="Cambria Math" w:hAnsi="Cambria Math"/>
                              <w:i/>
                              <w:lang w:val="ro-RO"/>
                            </w:rPr>
                          </m:ctrlPr>
                        </m:sPrePr>
                        <m:sub>
                          <m:r>
                            <w:rPr>
                              <w:rFonts w:ascii="Cambria Math" w:hAnsi="Cambria Math"/>
                              <w:lang w:val="ro-RO"/>
                            </w:rPr>
                            <m:t>50</m:t>
                          </m:r>
                        </m:sub>
                        <m:sup/>
                        <m:e>
                          <m:r>
                            <m:rPr>
                              <m:sty m:val="p"/>
                            </m:rPr>
                            <w:rPr>
                              <w:rFonts w:ascii="Cambria Math" w:hAnsi="Cambria Math"/>
                              <w:lang w:val="ro-RO"/>
                            </w:rPr>
                            <m:t>Sn</m:t>
                          </m:r>
                        </m:e>
                      </m:sPre>
                    </m:oMath>
                  </m:oMathPara>
                </w:p>
              </w:tc>
              <w:tc>
                <w:tcPr>
                  <w:tcW w:w="1123" w:type="dxa"/>
                </w:tcPr>
                <w:p w:rsidR="004D7642" w:rsidRDefault="004D7642" w:rsidP="007B7E68">
                  <w:pPr>
                    <w:rPr>
                      <w:lang w:val="ro-RO"/>
                    </w:rPr>
                  </w:pPr>
                  <w:r>
                    <w:rPr>
                      <w:lang w:val="ro-RO"/>
                    </w:rPr>
                    <w:t xml:space="preserve">  -29</w:t>
                  </w:r>
                </w:p>
              </w:tc>
              <w:tc>
                <w:tcPr>
                  <w:tcW w:w="1702" w:type="dxa"/>
                </w:tcPr>
                <w:p w:rsidR="004D7642" w:rsidRDefault="004D7642" w:rsidP="007B7E68">
                  <w:pPr>
                    <w:rPr>
                      <w:lang w:val="ro-RO"/>
                    </w:rPr>
                  </w:pPr>
                  <w:r>
                    <w:rPr>
                      <w:lang w:val="ro-RO"/>
                    </w:rPr>
                    <w:t xml:space="preserve">    -4,4…-3,9</w:t>
                  </w:r>
                </w:p>
              </w:tc>
            </w:tr>
            <w:tr w:rsidR="004D7642" w:rsidTr="007B7E68">
              <w:trPr>
                <w:jc w:val="right"/>
              </w:trPr>
              <w:tc>
                <w:tcPr>
                  <w:tcW w:w="1287" w:type="dxa"/>
                </w:tcPr>
                <w:p w:rsidR="004D7642" w:rsidRDefault="004D7642" w:rsidP="007B7E68">
                  <w:pPr>
                    <w:rPr>
                      <w:lang w:val="ro-RO"/>
                    </w:rPr>
                  </w:pPr>
                  <m:oMathPara>
                    <m:oMath>
                      <m:sPre>
                        <m:sPrePr>
                          <m:ctrlPr>
                            <w:rPr>
                              <w:rFonts w:ascii="Cambria Math" w:hAnsi="Cambria Math"/>
                              <w:i/>
                              <w:lang w:val="ro-RO"/>
                            </w:rPr>
                          </m:ctrlPr>
                        </m:sPrePr>
                        <m:sub>
                          <m:r>
                            <w:rPr>
                              <w:rFonts w:ascii="Cambria Math" w:hAnsi="Cambria Math"/>
                              <w:lang w:val="ro-RO"/>
                            </w:rPr>
                            <m:t>60</m:t>
                          </m:r>
                        </m:sub>
                        <m:sup/>
                        <m:e>
                          <m:r>
                            <m:rPr>
                              <m:sty m:val="p"/>
                            </m:rPr>
                            <w:rPr>
                              <w:rFonts w:ascii="Cambria Math" w:hAnsi="Cambria Math"/>
                              <w:lang w:val="ro-RO"/>
                            </w:rPr>
                            <m:t>Nd</m:t>
                          </m:r>
                        </m:e>
                      </m:sPre>
                    </m:oMath>
                  </m:oMathPara>
                </w:p>
              </w:tc>
              <w:tc>
                <w:tcPr>
                  <w:tcW w:w="1123" w:type="dxa"/>
                </w:tcPr>
                <w:p w:rsidR="004D7642" w:rsidRDefault="004D7642" w:rsidP="007B7E68">
                  <w:pPr>
                    <w:rPr>
                      <w:lang w:val="ro-RO"/>
                    </w:rPr>
                  </w:pPr>
                  <w:r>
                    <w:rPr>
                      <w:lang w:val="ro-RO"/>
                    </w:rPr>
                    <w:t xml:space="preserve">  -44</w:t>
                  </w:r>
                </w:p>
              </w:tc>
              <w:tc>
                <w:tcPr>
                  <w:tcW w:w="1702" w:type="dxa"/>
                </w:tcPr>
                <w:p w:rsidR="004D7642" w:rsidRDefault="004D7642" w:rsidP="007B7E68">
                  <w:pPr>
                    <w:rPr>
                      <w:lang w:val="ro-RO"/>
                    </w:rPr>
                  </w:pPr>
                  <w:r>
                    <w:rPr>
                      <w:lang w:val="ro-RO"/>
                    </w:rPr>
                    <w:t xml:space="preserve">    -7,1…-6,2</w:t>
                  </w:r>
                </w:p>
              </w:tc>
            </w:tr>
            <w:tr w:rsidR="004D7642" w:rsidTr="007B7E68">
              <w:trPr>
                <w:jc w:val="right"/>
              </w:trPr>
              <w:tc>
                <w:tcPr>
                  <w:tcW w:w="1287" w:type="dxa"/>
                </w:tcPr>
                <w:p w:rsidR="004D7642" w:rsidRPr="00B979DF" w:rsidRDefault="004D7642" w:rsidP="007B7E68">
                  <w:pPr>
                    <w:rPr>
                      <w:rFonts w:eastAsia="Calibri" w:cs="Times New Roman"/>
                      <w:lang w:val="ro-RO"/>
                    </w:rPr>
                  </w:pPr>
                  <m:oMathPara>
                    <m:oMath>
                      <m:sPre>
                        <m:sPrePr>
                          <m:ctrlPr>
                            <w:rPr>
                              <w:rFonts w:ascii="Cambria Math" w:hAnsi="Cambria Math"/>
                              <w:i/>
                              <w:lang w:val="ro-RO"/>
                            </w:rPr>
                          </m:ctrlPr>
                        </m:sPrePr>
                        <m:sub>
                          <m:r>
                            <w:rPr>
                              <w:rFonts w:ascii="Cambria Math" w:hAnsi="Cambria Math"/>
                              <w:lang w:val="ro-RO"/>
                            </w:rPr>
                            <m:t>70</m:t>
                          </m:r>
                        </m:sub>
                        <m:sup/>
                        <m:e>
                          <m:r>
                            <m:rPr>
                              <m:sty m:val="p"/>
                            </m:rPr>
                            <w:rPr>
                              <w:rFonts w:ascii="Cambria Math" w:hAnsi="Cambria Math"/>
                              <w:lang w:val="ro-RO"/>
                            </w:rPr>
                            <m:t>Yb</m:t>
                          </m:r>
                        </m:e>
                      </m:sPre>
                    </m:oMath>
                  </m:oMathPara>
                </w:p>
              </w:tc>
              <w:tc>
                <w:tcPr>
                  <w:tcW w:w="1123" w:type="dxa"/>
                </w:tcPr>
                <w:p w:rsidR="004D7642" w:rsidRDefault="004D7642" w:rsidP="007B7E68">
                  <w:pPr>
                    <w:rPr>
                      <w:lang w:val="ro-RO"/>
                    </w:rPr>
                  </w:pPr>
                  <w:r>
                    <w:rPr>
                      <w:lang w:val="ro-RO"/>
                    </w:rPr>
                    <w:t xml:space="preserve">  -61</w:t>
                  </w:r>
                </w:p>
              </w:tc>
              <w:tc>
                <w:tcPr>
                  <w:tcW w:w="1702" w:type="dxa"/>
                </w:tcPr>
                <w:p w:rsidR="004D7642" w:rsidRDefault="004D7642" w:rsidP="007B7E68">
                  <w:pPr>
                    <w:rPr>
                      <w:lang w:val="ro-RO"/>
                    </w:rPr>
                  </w:pPr>
                  <w:r>
                    <w:rPr>
                      <w:lang w:val="ro-RO"/>
                    </w:rPr>
                    <w:t xml:space="preserve">   -11 … -8,9</w:t>
                  </w:r>
                </w:p>
              </w:tc>
            </w:tr>
            <w:tr w:rsidR="004D7642" w:rsidTr="007B7E68">
              <w:trPr>
                <w:jc w:val="right"/>
              </w:trPr>
              <w:tc>
                <w:tcPr>
                  <w:tcW w:w="1287" w:type="dxa"/>
                </w:tcPr>
                <w:p w:rsidR="004D7642" w:rsidRPr="00B979DF" w:rsidRDefault="004D7642" w:rsidP="007B7E68">
                  <w:pPr>
                    <w:rPr>
                      <w:rFonts w:eastAsia="Calibri" w:cs="Times New Roman"/>
                      <w:lang w:val="ro-RO"/>
                    </w:rPr>
                  </w:pPr>
                  <m:oMathPara>
                    <m:oMath>
                      <m:sPre>
                        <m:sPrePr>
                          <m:ctrlPr>
                            <w:rPr>
                              <w:rFonts w:ascii="Cambria Math" w:hAnsi="Cambria Math"/>
                              <w:i/>
                              <w:lang w:val="ro-RO"/>
                            </w:rPr>
                          </m:ctrlPr>
                        </m:sPrePr>
                        <m:sub>
                          <m:r>
                            <w:rPr>
                              <w:rFonts w:ascii="Cambria Math" w:hAnsi="Cambria Math"/>
                              <w:lang w:val="ro-RO"/>
                            </w:rPr>
                            <m:t>80</m:t>
                          </m:r>
                        </m:sub>
                        <m:sup/>
                        <m:e>
                          <m:r>
                            <m:rPr>
                              <m:sty m:val="p"/>
                            </m:rPr>
                            <w:rPr>
                              <w:rFonts w:ascii="Cambria Math" w:hAnsi="Cambria Math"/>
                              <w:lang w:val="ro-RO"/>
                            </w:rPr>
                            <m:t>Hg</m:t>
                          </m:r>
                        </m:e>
                      </m:sPre>
                    </m:oMath>
                  </m:oMathPara>
                </w:p>
              </w:tc>
              <w:tc>
                <w:tcPr>
                  <w:tcW w:w="1123" w:type="dxa"/>
                </w:tcPr>
                <w:p w:rsidR="004D7642" w:rsidRDefault="004D7642" w:rsidP="007B7E68">
                  <w:pPr>
                    <w:rPr>
                      <w:lang w:val="ro-RO"/>
                    </w:rPr>
                  </w:pPr>
                  <w:r>
                    <w:rPr>
                      <w:lang w:val="ro-RO"/>
                    </w:rPr>
                    <w:t xml:space="preserve">  -83</w:t>
                  </w:r>
                </w:p>
              </w:tc>
              <w:tc>
                <w:tcPr>
                  <w:tcW w:w="1702" w:type="dxa"/>
                </w:tcPr>
                <w:p w:rsidR="004D7642" w:rsidRDefault="004D7642" w:rsidP="007B7E68">
                  <w:pPr>
                    <w:rPr>
                      <w:lang w:val="ro-RO"/>
                    </w:rPr>
                  </w:pPr>
                  <w:r>
                    <w:rPr>
                      <w:lang w:val="ro-RO"/>
                    </w:rPr>
                    <w:t xml:space="preserve">   -15…-12</w:t>
                  </w:r>
                </w:p>
              </w:tc>
            </w:tr>
            <w:tr w:rsidR="004D7642" w:rsidTr="007B7E68">
              <w:trPr>
                <w:jc w:val="right"/>
              </w:trPr>
              <w:tc>
                <w:tcPr>
                  <w:tcW w:w="1287" w:type="dxa"/>
                </w:tcPr>
                <w:p w:rsidR="004D7642" w:rsidRPr="00B979DF" w:rsidRDefault="004D7642" w:rsidP="007B7E68">
                  <w:pPr>
                    <w:rPr>
                      <w:rFonts w:eastAsia="Calibri" w:cs="Times New Roman"/>
                      <w:lang w:val="ro-RO"/>
                    </w:rPr>
                  </w:pPr>
                  <m:oMathPara>
                    <m:oMath>
                      <m:sPre>
                        <m:sPrePr>
                          <m:ctrlPr>
                            <w:rPr>
                              <w:rFonts w:ascii="Cambria Math" w:hAnsi="Cambria Math"/>
                              <w:i/>
                              <w:lang w:val="ro-RO"/>
                            </w:rPr>
                          </m:ctrlPr>
                        </m:sPrePr>
                        <m:sub>
                          <m:r>
                            <w:rPr>
                              <w:rFonts w:ascii="Cambria Math" w:hAnsi="Cambria Math"/>
                              <w:lang w:val="ro-RO"/>
                            </w:rPr>
                            <m:t>90</m:t>
                          </m:r>
                        </m:sub>
                        <m:sup/>
                        <m:e>
                          <m:r>
                            <m:rPr>
                              <m:sty m:val="p"/>
                            </m:rPr>
                            <w:rPr>
                              <w:rFonts w:ascii="Cambria Math" w:hAnsi="Cambria Math"/>
                              <w:lang w:val="ro-RO"/>
                            </w:rPr>
                            <m:t>Th</m:t>
                          </m:r>
                        </m:e>
                      </m:sPre>
                    </m:oMath>
                  </m:oMathPara>
                </w:p>
              </w:tc>
              <w:tc>
                <w:tcPr>
                  <w:tcW w:w="1123" w:type="dxa"/>
                </w:tcPr>
                <w:p w:rsidR="004D7642" w:rsidRDefault="004D7642" w:rsidP="007B7E68">
                  <w:pPr>
                    <w:rPr>
                      <w:lang w:val="ro-RO"/>
                    </w:rPr>
                  </w:pPr>
                  <w:r>
                    <w:rPr>
                      <w:lang w:val="ro-RO"/>
                    </w:rPr>
                    <w:t>-110</w:t>
                  </w:r>
                </w:p>
              </w:tc>
              <w:tc>
                <w:tcPr>
                  <w:tcW w:w="1702" w:type="dxa"/>
                </w:tcPr>
                <w:p w:rsidR="004D7642" w:rsidRDefault="004D7642" w:rsidP="007B7E68">
                  <w:pPr>
                    <w:rPr>
                      <w:lang w:val="ro-RO"/>
                    </w:rPr>
                  </w:pPr>
                  <w:r>
                    <w:rPr>
                      <w:lang w:val="ro-RO"/>
                    </w:rPr>
                    <w:t xml:space="preserve">   -21…-16</w:t>
                  </w:r>
                </w:p>
              </w:tc>
            </w:tr>
          </w:tbl>
          <w:p w:rsidR="00087F2E" w:rsidRDefault="00087F2E" w:rsidP="00905D8B">
            <w:pPr>
              <w:rPr>
                <w:lang w:val="ro-RO"/>
              </w:rPr>
            </w:pPr>
          </w:p>
        </w:tc>
      </w:tr>
    </w:tbl>
    <w:p w:rsidR="00905D8B" w:rsidRDefault="004D7642" w:rsidP="00905D8B">
      <w:pPr>
        <w:rPr>
          <w:lang w:val="ro-RO"/>
        </w:rPr>
      </w:pPr>
      <w:r>
        <w:rPr>
          <w:lang w:val="ro-RO"/>
        </w:rPr>
        <w:t>Dar astfel de tranziții nu se pot produce atâta timp cât nivelul K este ocupat!</w:t>
      </w:r>
    </w:p>
    <w:p w:rsidR="00954DEB" w:rsidRDefault="00954DEB" w:rsidP="00905D8B">
      <w:pPr>
        <w:rPr>
          <w:lang w:val="ro-RO"/>
        </w:rPr>
      </w:pPr>
    </w:p>
    <w:p w:rsidR="004D7642" w:rsidRPr="004D7642" w:rsidRDefault="004D7642" w:rsidP="00905D8B">
      <w:pPr>
        <w:rPr>
          <w:b/>
          <w:sz w:val="28"/>
          <w:szCs w:val="28"/>
          <w:lang w:val="ro-RO"/>
        </w:rPr>
      </w:pPr>
      <w:r w:rsidRPr="004D7642">
        <w:rPr>
          <w:b/>
          <w:sz w:val="28"/>
          <w:szCs w:val="28"/>
          <w:lang w:val="ro-RO"/>
        </w:rPr>
        <w:t>Provocarea 10-2</w:t>
      </w:r>
    </w:p>
    <w:p w:rsidR="004D7642" w:rsidRDefault="004D7642" w:rsidP="004D7642">
      <w:pPr>
        <w:ind w:left="708"/>
        <w:rPr>
          <w:lang w:val="ro-RO"/>
        </w:rPr>
      </w:pPr>
      <w:r>
        <w:rPr>
          <w:lang w:val="ro-RO"/>
        </w:rPr>
        <w:t xml:space="preserve">Ce s-ar întâmpla dacă o particulă având zeci sau sute de </w:t>
      </w:r>
      <w:proofErr w:type="spellStart"/>
      <w:r>
        <w:rPr>
          <w:lang w:val="ro-RO"/>
        </w:rPr>
        <w:t>keV</w:t>
      </w:r>
      <w:proofErr w:type="spellEnd"/>
      <w:r>
        <w:rPr>
          <w:lang w:val="ro-RO"/>
        </w:rPr>
        <w:t xml:space="preserve"> ar expulza pur și simplu un electron de pe nivelul K?</w:t>
      </w:r>
    </w:p>
    <w:p w:rsidR="00954DEB" w:rsidRPr="00E636FE" w:rsidRDefault="00954DEB" w:rsidP="004D7642">
      <w:pPr>
        <w:ind w:left="708"/>
        <w:rPr>
          <w:lang w:val="ro-RO"/>
        </w:rPr>
      </w:pPr>
    </w:p>
    <w:p w:rsidR="00905D8B" w:rsidRDefault="00591A2F">
      <w:pPr>
        <w:rPr>
          <w:lang w:val="ro-RO"/>
        </w:rPr>
      </w:pPr>
      <w:r>
        <w:rPr>
          <w:noProof/>
          <w:lang w:val="ro-RO" w:eastAsia="ro-RO"/>
        </w:rPr>
        <w:drawing>
          <wp:anchor distT="0" distB="0" distL="114300" distR="114300" simplePos="0" relativeHeight="251659264" behindDoc="0" locked="0" layoutInCell="1" allowOverlap="1">
            <wp:simplePos x="0" y="0"/>
            <wp:positionH relativeFrom="column">
              <wp:posOffset>3660775</wp:posOffset>
            </wp:positionH>
            <wp:positionV relativeFrom="paragraph">
              <wp:posOffset>526415</wp:posOffset>
            </wp:positionV>
            <wp:extent cx="2160270" cy="624840"/>
            <wp:effectExtent l="19050" t="0" r="0" b="0"/>
            <wp:wrapSquare wrapText="bothSides"/>
            <wp:docPr id="4" name="Imagine 3" descr="x-ray_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tube.jpg"/>
                    <pic:cNvPicPr/>
                  </pic:nvPicPr>
                  <pic:blipFill>
                    <a:blip r:embed="rId6" cstate="print"/>
                    <a:stretch>
                      <a:fillRect/>
                    </a:stretch>
                  </pic:blipFill>
                  <pic:spPr>
                    <a:xfrm>
                      <a:off x="0" y="0"/>
                      <a:ext cx="2160270" cy="624840"/>
                    </a:xfrm>
                    <a:prstGeom prst="rect">
                      <a:avLst/>
                    </a:prstGeom>
                  </pic:spPr>
                </pic:pic>
              </a:graphicData>
            </a:graphic>
          </wp:anchor>
        </w:drawing>
      </w:r>
      <w:r w:rsidR="004D7642">
        <w:rPr>
          <w:lang w:val="ro-RO"/>
        </w:rPr>
        <w:t>Locul rămas liber ar fi imediat ocupat de un electron de pe nivelele superioare</w:t>
      </w:r>
      <w:r w:rsidR="00954DEB">
        <w:rPr>
          <w:lang w:val="ro-RO"/>
        </w:rPr>
        <w:t xml:space="preserve">, generând un foton X având energia de zeci de </w:t>
      </w:r>
      <w:proofErr w:type="spellStart"/>
      <w:r w:rsidR="00954DEB">
        <w:rPr>
          <w:lang w:val="ro-RO"/>
        </w:rPr>
        <w:t>keV</w:t>
      </w:r>
      <w:proofErr w:type="spellEnd"/>
      <w:r w:rsidR="00954DEB">
        <w:rPr>
          <w:lang w:val="ro-RO"/>
        </w:rPr>
        <w:t xml:space="preserve"> (diferența dintre energiile L și K).</w:t>
      </w:r>
    </w:p>
    <w:p w:rsidR="00954DEB" w:rsidRDefault="00954DEB">
      <w:pPr>
        <w:rPr>
          <w:lang w:val="ro-RO"/>
        </w:rPr>
      </w:pPr>
      <w:r>
        <w:rPr>
          <w:lang w:val="ro-RO"/>
        </w:rPr>
        <w:t xml:space="preserve">Pentru a expulza electroni K putem folosi chiar electroni accelerați la tensiuni de zeci de </w:t>
      </w:r>
      <w:proofErr w:type="spellStart"/>
      <w:r>
        <w:rPr>
          <w:lang w:val="ro-RO"/>
        </w:rPr>
        <w:t>keV</w:t>
      </w:r>
      <w:proofErr w:type="spellEnd"/>
      <w:r>
        <w:rPr>
          <w:lang w:val="ro-RO"/>
        </w:rPr>
        <w:t>, într-un tub de raze X, ca cel din figura alăturată.</w:t>
      </w:r>
    </w:p>
    <w:p w:rsidR="00954DEB" w:rsidRDefault="00064BB2">
      <w:pPr>
        <w:rPr>
          <w:lang w:val="ro-RO"/>
        </w:rPr>
      </w:pPr>
      <w:r>
        <w:rPr>
          <w:noProof/>
          <w:lang w:val="ro-RO" w:eastAsia="ro-RO"/>
        </w:rPr>
        <w:drawing>
          <wp:anchor distT="0" distB="0" distL="114300" distR="114300" simplePos="0" relativeHeight="251660288" behindDoc="0" locked="0" layoutInCell="1" allowOverlap="1">
            <wp:simplePos x="0" y="0"/>
            <wp:positionH relativeFrom="column">
              <wp:posOffset>3660775</wp:posOffset>
            </wp:positionH>
            <wp:positionV relativeFrom="paragraph">
              <wp:posOffset>186690</wp:posOffset>
            </wp:positionV>
            <wp:extent cx="2160270" cy="1234440"/>
            <wp:effectExtent l="19050" t="0" r="0" b="0"/>
            <wp:wrapSquare wrapText="bothSides"/>
            <wp:docPr id="5" name="Imagine 4" descr="x-ray_tub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tube2.jpg"/>
                    <pic:cNvPicPr/>
                  </pic:nvPicPr>
                  <pic:blipFill>
                    <a:blip r:embed="rId7" cstate="print"/>
                    <a:stretch>
                      <a:fillRect/>
                    </a:stretch>
                  </pic:blipFill>
                  <pic:spPr>
                    <a:xfrm>
                      <a:off x="0" y="0"/>
                      <a:ext cx="2160270" cy="1234440"/>
                    </a:xfrm>
                    <a:prstGeom prst="rect">
                      <a:avLst/>
                    </a:prstGeom>
                  </pic:spPr>
                </pic:pic>
              </a:graphicData>
            </a:graphic>
          </wp:anchor>
        </w:drawing>
      </w:r>
      <w:r>
        <w:rPr>
          <w:lang w:val="ro-RO"/>
        </w:rPr>
        <w:t>Catodul, încălzit de un filament parcurs de curent, emite electroni care sunt accelerați în spațiul dintre catod și anod la o tensiune de zeci de kV.</w:t>
      </w:r>
    </w:p>
    <w:p w:rsidR="00064BB2" w:rsidRPr="00064BB2" w:rsidRDefault="00591A2F">
      <w:pPr>
        <w:rPr>
          <w:lang w:val="ro-RO"/>
        </w:rPr>
      </w:pPr>
      <w:r>
        <w:rPr>
          <w:noProof/>
          <w:lang w:val="ro-RO" w:eastAsia="ro-RO"/>
        </w:rPr>
        <w:drawing>
          <wp:anchor distT="0" distB="0" distL="114300" distR="114300" simplePos="0" relativeHeight="251661312" behindDoc="0" locked="0" layoutInCell="1" allowOverlap="1">
            <wp:simplePos x="0" y="0"/>
            <wp:positionH relativeFrom="column">
              <wp:posOffset>3660775</wp:posOffset>
            </wp:positionH>
            <wp:positionV relativeFrom="paragraph">
              <wp:posOffset>790575</wp:posOffset>
            </wp:positionV>
            <wp:extent cx="2160270" cy="1242060"/>
            <wp:effectExtent l="19050" t="0" r="0" b="0"/>
            <wp:wrapSquare wrapText="bothSides"/>
            <wp:docPr id="6" name="Imagine 5" descr="x-ray 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 spectrum.jpg"/>
                    <pic:cNvPicPr/>
                  </pic:nvPicPr>
                  <pic:blipFill>
                    <a:blip r:embed="rId8" cstate="print"/>
                    <a:stretch>
                      <a:fillRect/>
                    </a:stretch>
                  </pic:blipFill>
                  <pic:spPr>
                    <a:xfrm>
                      <a:off x="0" y="0"/>
                      <a:ext cx="2160270" cy="1242060"/>
                    </a:xfrm>
                    <a:prstGeom prst="rect">
                      <a:avLst/>
                    </a:prstGeom>
                  </pic:spPr>
                </pic:pic>
              </a:graphicData>
            </a:graphic>
          </wp:anchor>
        </w:drawing>
      </w:r>
      <w:r w:rsidR="00064BB2">
        <w:rPr>
          <w:lang w:val="ro-RO"/>
        </w:rPr>
        <w:t xml:space="preserve">Electronii foarte energici se izbesc de anod (realizat dintr-un metal cu mulți electroni în atom) și expulzează electroni K. Prin reocuparea nivelului K se eliberează fotoni X. Fotonii au energii corespunzătoare diferențelor de energie dintre nivelele între care se realizează tranzițiile. Aceasta este </w:t>
      </w:r>
      <w:r w:rsidR="00064BB2">
        <w:rPr>
          <w:i/>
          <w:lang w:val="ro-RO"/>
        </w:rPr>
        <w:t>radiația caracteristică</w:t>
      </w:r>
      <w:r w:rsidR="00064BB2">
        <w:rPr>
          <w:lang w:val="ro-RO"/>
        </w:rPr>
        <w:t>, proprie elementului din care este realizat anodul.</w:t>
      </w:r>
    </w:p>
    <w:p w:rsidR="00064BB2" w:rsidRDefault="00064BB2">
      <w:pPr>
        <w:rPr>
          <w:lang w:val="ro-RO"/>
        </w:rPr>
      </w:pPr>
      <w:r>
        <w:rPr>
          <w:lang w:val="ro-RO"/>
        </w:rPr>
        <w:t xml:space="preserve">Alți electroni energici sunt frânați de nucleele cu mulți protoni ale anodului și emit radiație X având o mulțime de frecvențe – </w:t>
      </w:r>
      <w:r>
        <w:rPr>
          <w:i/>
          <w:lang w:val="ro-RO"/>
        </w:rPr>
        <w:t>radiația de frânare</w:t>
      </w:r>
      <w:r>
        <w:rPr>
          <w:lang w:val="ro-RO"/>
        </w:rPr>
        <w:t>.</w:t>
      </w:r>
    </w:p>
    <w:p w:rsidR="00591A2F" w:rsidRDefault="00591A2F">
      <w:pPr>
        <w:rPr>
          <w:lang w:val="ro-RO"/>
        </w:rPr>
      </w:pPr>
    </w:p>
    <w:p w:rsidR="00591A2F" w:rsidRPr="00591A2F" w:rsidRDefault="00591A2F">
      <w:pPr>
        <w:rPr>
          <w:b/>
          <w:sz w:val="28"/>
          <w:szCs w:val="28"/>
          <w:lang w:val="ro-RO"/>
        </w:rPr>
      </w:pPr>
      <w:r>
        <w:rPr>
          <w:b/>
          <w:sz w:val="28"/>
          <w:szCs w:val="28"/>
          <w:lang w:val="ro-RO"/>
        </w:rPr>
        <w:t>Provocarea 10-3</w:t>
      </w:r>
    </w:p>
    <w:p w:rsidR="00591A2F" w:rsidRPr="00064BB2" w:rsidRDefault="00591A2F" w:rsidP="00591A2F">
      <w:pPr>
        <w:ind w:left="708"/>
        <w:rPr>
          <w:lang w:val="ro-RO"/>
        </w:rPr>
      </w:pPr>
      <w:r>
        <w:rPr>
          <w:lang w:val="ro-RO"/>
        </w:rPr>
        <w:t>Caută imagini realizate utilizând radiații X și inserează aici pe cele mai spectaculoase!</w:t>
      </w:r>
    </w:p>
    <w:sectPr w:rsidR="00591A2F" w:rsidRPr="00064BB2" w:rsidSect="00214D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3A38"/>
    <w:rsid w:val="00064BB2"/>
    <w:rsid w:val="00087F2E"/>
    <w:rsid w:val="000958F5"/>
    <w:rsid w:val="00214D3B"/>
    <w:rsid w:val="002C6096"/>
    <w:rsid w:val="00334A60"/>
    <w:rsid w:val="003414A3"/>
    <w:rsid w:val="00426F8F"/>
    <w:rsid w:val="0049202E"/>
    <w:rsid w:val="004C2396"/>
    <w:rsid w:val="004D7642"/>
    <w:rsid w:val="00591A2F"/>
    <w:rsid w:val="006045A2"/>
    <w:rsid w:val="00737333"/>
    <w:rsid w:val="007B3620"/>
    <w:rsid w:val="007F3A38"/>
    <w:rsid w:val="007F3A55"/>
    <w:rsid w:val="00816C60"/>
    <w:rsid w:val="008216E6"/>
    <w:rsid w:val="008D5212"/>
    <w:rsid w:val="00905D8B"/>
    <w:rsid w:val="009247F8"/>
    <w:rsid w:val="00932560"/>
    <w:rsid w:val="009427BF"/>
    <w:rsid w:val="00954DEB"/>
    <w:rsid w:val="00A06552"/>
    <w:rsid w:val="00A16392"/>
    <w:rsid w:val="00C66F09"/>
    <w:rsid w:val="00E636FE"/>
    <w:rsid w:val="00F96B60"/>
    <w:rsid w:val="00FB731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BF"/>
    <w:rPr>
      <w:rFonts w:ascii="Arial" w:hAnsi="Arial"/>
      <w:sz w:val="20"/>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3414A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3414A3"/>
    <w:rPr>
      <w:rFonts w:ascii="Tahoma" w:hAnsi="Tahoma" w:cs="Tahoma"/>
      <w:sz w:val="16"/>
      <w:szCs w:val="16"/>
      <w:lang w:val="en-GB"/>
    </w:rPr>
  </w:style>
  <w:style w:type="table" w:styleId="GrilTabel">
    <w:name w:val="Table Grid"/>
    <w:basedOn w:val="TabelNormal"/>
    <w:uiPriority w:val="59"/>
    <w:rsid w:val="00087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substituent">
    <w:name w:val="Placeholder Text"/>
    <w:basedOn w:val="Fontdeparagrafimplicit"/>
    <w:uiPriority w:val="99"/>
    <w:semiHidden/>
    <w:rsid w:val="00087F2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501</Words>
  <Characters>2907</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5</cp:revision>
  <dcterms:created xsi:type="dcterms:W3CDTF">2014-12-14T17:26:00Z</dcterms:created>
  <dcterms:modified xsi:type="dcterms:W3CDTF">2014-12-14T21:59:00Z</dcterms:modified>
</cp:coreProperties>
</file>