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3C" w:rsidRPr="009D3934" w:rsidRDefault="002D5E3C" w:rsidP="0029124C">
      <w:pPr>
        <w:tabs>
          <w:tab w:val="left" w:pos="2977"/>
        </w:tabs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9D3934">
        <w:rPr>
          <w:rFonts w:ascii="Times New Roman" w:hAnsi="Times New Roman" w:cs="Times New Roman"/>
          <w:b/>
          <w:sz w:val="44"/>
          <w:szCs w:val="44"/>
          <w:lang w:val="uk-UA"/>
        </w:rPr>
        <w:t>РЕЗЮМЕ</w:t>
      </w:r>
    </w:p>
    <w:p w:rsidR="001E5613" w:rsidRPr="009D3934" w:rsidRDefault="001E5613" w:rsidP="0029124C">
      <w:pPr>
        <w:tabs>
          <w:tab w:val="left" w:pos="2977"/>
        </w:tabs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464"/>
        <w:gridCol w:w="29"/>
        <w:gridCol w:w="1577"/>
        <w:gridCol w:w="6819"/>
      </w:tblGrid>
      <w:tr w:rsidR="0029124C" w:rsidRPr="009D3934" w:rsidTr="00910B56">
        <w:trPr>
          <w:trHeight w:val="1740"/>
        </w:trPr>
        <w:tc>
          <w:tcPr>
            <w:tcW w:w="30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124C" w:rsidRPr="009D3934" w:rsidRDefault="004969DF" w:rsidP="001E5613">
            <w:pPr>
              <w:spacing w:after="200" w:line="276" w:lineRule="auto"/>
              <w:ind w:firstLine="284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75719" cy="1762897"/>
                  <wp:effectExtent l="19050" t="0" r="0" b="0"/>
                  <wp:docPr id="1" name="Рисунок 4" descr="C:\Documents and Settings\Admin\Рабочий стол\00193936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Admin\Рабочий стол\00193936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671" cy="176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</w:tcPr>
          <w:p w:rsidR="001E5613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sz w:val="40"/>
                <w:szCs w:val="40"/>
                <w:lang w:val="uk-UA"/>
              </w:rPr>
              <w:t>ЄФРЕМОВА</w:t>
            </w:r>
          </w:p>
          <w:p w:rsidR="0029124C" w:rsidRPr="000D5B57" w:rsidRDefault="0023468C" w:rsidP="000D5B57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sz w:val="40"/>
                <w:szCs w:val="40"/>
                <w:lang w:val="uk-UA"/>
              </w:rPr>
              <w:t>Ірина Вікторівна</w:t>
            </w:r>
          </w:p>
        </w:tc>
      </w:tr>
      <w:tr w:rsidR="00F5077F" w:rsidRPr="009D3934" w:rsidTr="00910B56">
        <w:trPr>
          <w:trHeight w:val="465"/>
        </w:trPr>
        <w:tc>
          <w:tcPr>
            <w:tcW w:w="30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D5E3C" w:rsidRPr="009D3934" w:rsidRDefault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3468C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Irinawe@ukr.net</w:t>
            </w:r>
          </w:p>
        </w:tc>
      </w:tr>
      <w:tr w:rsidR="00F5077F" w:rsidRPr="009D3934" w:rsidTr="00C97578">
        <w:trPr>
          <w:trHeight w:val="1219"/>
        </w:trPr>
        <w:tc>
          <w:tcPr>
            <w:tcW w:w="30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D5E3C" w:rsidRPr="009D3934" w:rsidRDefault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</w:tcPr>
          <w:p w:rsidR="002D5E3C" w:rsidRPr="009D3934" w:rsidRDefault="0023468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Тел.: +38 050 144 06 96</w:t>
            </w:r>
          </w:p>
          <w:p w:rsidR="00053D7E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Тел.: +38 098 656 03 40</w:t>
            </w:r>
          </w:p>
        </w:tc>
      </w:tr>
      <w:tr w:rsidR="002D5E3C" w:rsidRPr="009D3934" w:rsidTr="00910B56">
        <w:tc>
          <w:tcPr>
            <w:tcW w:w="9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5E3C" w:rsidRPr="009D3934" w:rsidRDefault="002D5E3C" w:rsidP="000D5B57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5077F" w:rsidRPr="009D3934" w:rsidTr="00910B56">
        <w:tc>
          <w:tcPr>
            <w:tcW w:w="3070" w:type="dxa"/>
            <w:gridSpan w:val="3"/>
            <w:tcBorders>
              <w:top w:val="single" w:sz="4" w:space="0" w:color="auto"/>
            </w:tcBorders>
          </w:tcPr>
          <w:p w:rsidR="002D5E3C" w:rsidRPr="009D3934" w:rsidRDefault="0023468C" w:rsidP="002D5E3C">
            <w:pPr>
              <w:spacing w:after="200" w:line="276" w:lineRule="auto"/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Період</w:t>
            </w:r>
          </w:p>
        </w:tc>
        <w:tc>
          <w:tcPr>
            <w:tcW w:w="6819" w:type="dxa"/>
            <w:tcBorders>
              <w:top w:val="single" w:sz="4" w:space="0" w:color="auto"/>
            </w:tcBorders>
          </w:tcPr>
          <w:p w:rsidR="00F7366E" w:rsidRDefault="0023468C">
            <w:pPr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468C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ОСВІТА</w:t>
            </w:r>
          </w:p>
        </w:tc>
      </w:tr>
      <w:tr w:rsidR="00A86D48" w:rsidRPr="009D3934" w:rsidTr="00910B56">
        <w:tc>
          <w:tcPr>
            <w:tcW w:w="1493" w:type="dxa"/>
            <w:gridSpan w:val="2"/>
            <w:tcBorders>
              <w:righ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1577" w:type="dxa"/>
            <w:tcBorders>
              <w:lef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Закінчення</w:t>
            </w:r>
          </w:p>
        </w:tc>
        <w:tc>
          <w:tcPr>
            <w:tcW w:w="6819" w:type="dxa"/>
            <w:vMerge w:val="restart"/>
          </w:tcPr>
          <w:p w:rsidR="002D5E3C" w:rsidRPr="00966E50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468C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Харківський національний університет внутрішніх справ</w:t>
            </w:r>
          </w:p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Факультет:              економіко - правовий</w:t>
            </w:r>
          </w:p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Спеціальність:        правознавство</w:t>
            </w:r>
          </w:p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Кваліфікація:          юрист</w:t>
            </w:r>
          </w:p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Форма навчання:    денна</w:t>
            </w:r>
          </w:p>
          <w:p w:rsidR="00AA37C5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Диплом спеціаліста з відзнакою.</w:t>
            </w:r>
          </w:p>
        </w:tc>
      </w:tr>
      <w:tr w:rsidR="00A86D48" w:rsidRPr="009D3934" w:rsidTr="00910B56">
        <w:tc>
          <w:tcPr>
            <w:tcW w:w="1493" w:type="dxa"/>
            <w:gridSpan w:val="2"/>
            <w:tcBorders>
              <w:righ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2001</w:t>
            </w:r>
          </w:p>
        </w:tc>
        <w:tc>
          <w:tcPr>
            <w:tcW w:w="1577" w:type="dxa"/>
            <w:tcBorders>
              <w:lef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2006</w:t>
            </w:r>
          </w:p>
        </w:tc>
        <w:tc>
          <w:tcPr>
            <w:tcW w:w="6819" w:type="dxa"/>
            <w:vMerge/>
          </w:tcPr>
          <w:p w:rsidR="002D5E3C" w:rsidRPr="009D3934" w:rsidRDefault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</w:tr>
      <w:tr w:rsidR="00F5077F" w:rsidRPr="009D3934" w:rsidTr="00910B56">
        <w:tc>
          <w:tcPr>
            <w:tcW w:w="3070" w:type="dxa"/>
            <w:gridSpan w:val="3"/>
          </w:tcPr>
          <w:p w:rsidR="002D5E3C" w:rsidRPr="009D3934" w:rsidRDefault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  <w:tc>
          <w:tcPr>
            <w:tcW w:w="6819" w:type="dxa"/>
            <w:vMerge/>
          </w:tcPr>
          <w:p w:rsidR="002D5E3C" w:rsidRPr="009D3934" w:rsidRDefault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</w:tr>
      <w:tr w:rsidR="001E5613" w:rsidRPr="00D92BE0" w:rsidTr="00910B56">
        <w:tc>
          <w:tcPr>
            <w:tcW w:w="3070" w:type="dxa"/>
            <w:gridSpan w:val="3"/>
          </w:tcPr>
          <w:p w:rsidR="001E5613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15.06.2012</w:t>
            </w:r>
          </w:p>
        </w:tc>
        <w:tc>
          <w:tcPr>
            <w:tcW w:w="6819" w:type="dxa"/>
          </w:tcPr>
          <w:p w:rsidR="00F7366E" w:rsidRDefault="0027178E" w:rsidP="00C97578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Полтавською обласною кваліфікаційно – дисциплінарною комісією </w:t>
            </w:r>
            <w:r w:rsidR="0023468C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адвокатури видано Свідоцтво про право на заняття адвокатською діяльністю за </w:t>
            </w: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№12.</w:t>
            </w:r>
          </w:p>
        </w:tc>
      </w:tr>
      <w:tr w:rsidR="002D5E3C" w:rsidRPr="00D92BE0" w:rsidTr="00910B56">
        <w:trPr>
          <w:trHeight w:val="173"/>
        </w:trPr>
        <w:tc>
          <w:tcPr>
            <w:tcW w:w="9889" w:type="dxa"/>
            <w:gridSpan w:val="4"/>
          </w:tcPr>
          <w:p w:rsidR="002D5E3C" w:rsidRPr="009D3934" w:rsidRDefault="002D5E3C" w:rsidP="002D5E3C">
            <w:pPr>
              <w:spacing w:after="200" w:line="276" w:lineRule="auto"/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5077F" w:rsidRPr="009D3934" w:rsidTr="00910B56">
        <w:tc>
          <w:tcPr>
            <w:tcW w:w="1464" w:type="dxa"/>
            <w:tcBorders>
              <w:righ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Прийнято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2D5E3C" w:rsidRPr="009D3934" w:rsidRDefault="0023468C" w:rsidP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Звільнено</w:t>
            </w:r>
          </w:p>
        </w:tc>
        <w:tc>
          <w:tcPr>
            <w:tcW w:w="6819" w:type="dxa"/>
          </w:tcPr>
          <w:p w:rsidR="00F7366E" w:rsidRDefault="0023468C">
            <w:pPr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ДОСВІД РОБОТИ </w:t>
            </w:r>
          </w:p>
        </w:tc>
      </w:tr>
      <w:tr w:rsidR="00A86D48" w:rsidRPr="009D3934" w:rsidTr="00D92BE0">
        <w:trPr>
          <w:trHeight w:val="1030"/>
        </w:trPr>
        <w:tc>
          <w:tcPr>
            <w:tcW w:w="1464" w:type="dxa"/>
            <w:tcBorders>
              <w:right w:val="single" w:sz="4" w:space="0" w:color="auto"/>
            </w:tcBorders>
          </w:tcPr>
          <w:p w:rsidR="002D5E3C" w:rsidRPr="009D3934" w:rsidRDefault="0023468C" w:rsidP="00882F8E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26.09.2006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22.09.2008</w:t>
            </w:r>
          </w:p>
        </w:tc>
        <w:tc>
          <w:tcPr>
            <w:tcW w:w="6819" w:type="dxa"/>
          </w:tcPr>
          <w:p w:rsidR="002D5E3C" w:rsidRPr="009D3934" w:rsidRDefault="0023468C" w:rsidP="00C97578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Державний податковий інспектор юридичного відділу Державної податкової інспекції у Московському районі м. Харкова.</w:t>
            </w:r>
          </w:p>
          <w:p w:rsidR="002D5E3C" w:rsidRPr="009D3934" w:rsidRDefault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</w:tr>
      <w:tr w:rsidR="00F5077F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14.10.2008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2D5E3C" w:rsidRPr="009D3934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10.08.2009</w:t>
            </w:r>
          </w:p>
        </w:tc>
        <w:tc>
          <w:tcPr>
            <w:tcW w:w="6819" w:type="dxa"/>
          </w:tcPr>
          <w:p w:rsidR="002D5E3C" w:rsidRPr="009D3934" w:rsidRDefault="0023468C" w:rsidP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Юрисконсульт ТОВ «АСАД Юридична компанія».</w:t>
            </w:r>
          </w:p>
        </w:tc>
      </w:tr>
      <w:tr w:rsidR="004641EC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4641EC" w:rsidRPr="00C923D2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bookmarkStart w:id="0" w:name="_GoBack" w:colFirst="0" w:colLast="2"/>
            <w:r w:rsidRPr="00C923D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10.08.2009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4641EC" w:rsidRPr="00C923D2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C923D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02.10.2009</w:t>
            </w:r>
          </w:p>
        </w:tc>
        <w:tc>
          <w:tcPr>
            <w:tcW w:w="6819" w:type="dxa"/>
          </w:tcPr>
          <w:p w:rsidR="004641EC" w:rsidRPr="00C923D2" w:rsidRDefault="0023468C" w:rsidP="002D5E3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C923D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Головний Юрисконсульт ТОВ «АСАД</w:t>
            </w:r>
            <w:r w:rsidR="0049182B" w:rsidRPr="00C923D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 </w:t>
            </w:r>
            <w:r w:rsidRPr="00C923D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 Юридична компанія».</w:t>
            </w:r>
          </w:p>
        </w:tc>
      </w:tr>
      <w:bookmarkEnd w:id="0"/>
      <w:tr w:rsidR="004F0C58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4F0C58" w:rsidRPr="00A7496A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A7496A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05.10.2009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4F0C58" w:rsidRPr="00A7496A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A7496A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19.10.2009</w:t>
            </w:r>
          </w:p>
        </w:tc>
        <w:tc>
          <w:tcPr>
            <w:tcW w:w="6819" w:type="dxa"/>
          </w:tcPr>
          <w:p w:rsidR="004F0C58" w:rsidRPr="00A7496A" w:rsidRDefault="0023468C" w:rsidP="00C97578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A7496A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Головний юрисконсульт відповідальний працівник з фінансового моніторингу РД ВАТ «БАНК КІПРУ» у м. Харків.</w:t>
            </w:r>
          </w:p>
        </w:tc>
      </w:tr>
      <w:tr w:rsidR="00975E11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975E11" w:rsidRPr="009940A5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9940A5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19.10.2009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975E11" w:rsidRPr="009940A5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9940A5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01.10.2010</w:t>
            </w:r>
          </w:p>
        </w:tc>
        <w:tc>
          <w:tcPr>
            <w:tcW w:w="6819" w:type="dxa"/>
          </w:tcPr>
          <w:p w:rsidR="00975E11" w:rsidRPr="009940A5" w:rsidRDefault="0023468C" w:rsidP="00975E11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9940A5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Провідний юрист РД ВАТ «БАНК КІПРУ» </w:t>
            </w:r>
            <w:r w:rsidR="0049182B" w:rsidRPr="009940A5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 </w:t>
            </w:r>
            <w:r w:rsidRPr="009940A5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у м. Харків.</w:t>
            </w:r>
          </w:p>
        </w:tc>
      </w:tr>
      <w:tr w:rsidR="00975E11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975E11" w:rsidRPr="007A109E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7A10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lastRenderedPageBreak/>
              <w:t>01.10.2010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975E11" w:rsidRPr="007A109E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7A10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13.12.2011</w:t>
            </w:r>
          </w:p>
        </w:tc>
        <w:tc>
          <w:tcPr>
            <w:tcW w:w="6819" w:type="dxa"/>
          </w:tcPr>
          <w:p w:rsidR="00975E11" w:rsidRPr="007A109E" w:rsidRDefault="0023468C" w:rsidP="00C97578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7A10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Провідний спеціаліст Відділу судового захисту інтересів банку юридичного управління ПАТ «БАНК КІПРУ» (ВАТ «БАНК КІПРУ» 08.07.2010 р. перейменовано на ПАТ «БАНК КІПРУ»).</w:t>
            </w:r>
          </w:p>
        </w:tc>
      </w:tr>
      <w:tr w:rsidR="00A86D48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A86D48" w:rsidRPr="007A109E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7A10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13.12.2011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A86D48" w:rsidRPr="007A109E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7A10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26.07.2012</w:t>
            </w:r>
          </w:p>
        </w:tc>
        <w:tc>
          <w:tcPr>
            <w:tcW w:w="6819" w:type="dxa"/>
          </w:tcPr>
          <w:p w:rsidR="00A86D48" w:rsidRPr="007A109E" w:rsidRDefault="0023468C" w:rsidP="00C97578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7A10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Провідний юрисконсульт Відділу судового захисту інтересів банку юридичного управління ПАТ «БАНК КІПРУ».</w:t>
            </w:r>
          </w:p>
        </w:tc>
      </w:tr>
      <w:tr w:rsidR="005728F8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5728F8" w:rsidRPr="0052239E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5223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10.08.2012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5728F8" w:rsidRPr="0052239E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5223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10.02.2013 р.</w:t>
            </w:r>
          </w:p>
        </w:tc>
        <w:tc>
          <w:tcPr>
            <w:tcW w:w="6819" w:type="dxa"/>
          </w:tcPr>
          <w:p w:rsidR="005728F8" w:rsidRPr="0052239E" w:rsidRDefault="0023468C" w:rsidP="00AC39AE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52239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Директор Товариства з обмеженою відповідальністю «Єфремова та партнери».</w:t>
            </w:r>
          </w:p>
        </w:tc>
      </w:tr>
      <w:tr w:rsidR="00053D7E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053D7E" w:rsidRPr="00211529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211529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04.03.2013 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053D7E" w:rsidRPr="00211529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211529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11.04.2014 р.</w:t>
            </w:r>
          </w:p>
        </w:tc>
        <w:tc>
          <w:tcPr>
            <w:tcW w:w="6819" w:type="dxa"/>
          </w:tcPr>
          <w:p w:rsidR="00053D7E" w:rsidRPr="00211529" w:rsidRDefault="0023468C" w:rsidP="00C97578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211529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Головний юрисконсульт Управління правового забезпечення Юридичного департаменту ПАТ «БАНК НАЦІОНАЛЬНИЙ КРЕДИТ».</w:t>
            </w:r>
          </w:p>
        </w:tc>
      </w:tr>
      <w:tr w:rsidR="001F5207" w:rsidRPr="009D3934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1F5207" w:rsidRPr="002862EC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2862EC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14.04.2014 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1F5207" w:rsidRPr="002862EC" w:rsidRDefault="0049182B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2862EC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29.08.2014</w:t>
            </w:r>
          </w:p>
        </w:tc>
        <w:tc>
          <w:tcPr>
            <w:tcW w:w="6819" w:type="dxa"/>
          </w:tcPr>
          <w:p w:rsidR="001F5207" w:rsidRPr="002862EC" w:rsidRDefault="0023468C" w:rsidP="00C97578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2862EC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Юрисконсульт ТОВ «ЮРИДИЧНА КОМПАНІЯ «ПРАВО та ГРОШІ».</w:t>
            </w:r>
          </w:p>
        </w:tc>
      </w:tr>
      <w:tr w:rsidR="0049182B" w:rsidRPr="0049182B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49182B" w:rsidRPr="00DA4D8E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DA4D8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17.10.2014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49182B" w:rsidRPr="00DA4D8E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DA4D8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30.04.2015</w:t>
            </w:r>
          </w:p>
        </w:tc>
        <w:tc>
          <w:tcPr>
            <w:tcW w:w="6819" w:type="dxa"/>
          </w:tcPr>
          <w:p w:rsidR="0049182B" w:rsidRPr="00DA4D8E" w:rsidRDefault="0049182B" w:rsidP="00C97578">
            <w:pPr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DA4D8E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Начальник юридичного департаменту ТОВ «ФІНАНСОВА КОМПАНІЯ «КАПІТАЛ ГАРАНТ ІНВЕСТ»</w:t>
            </w:r>
          </w:p>
        </w:tc>
      </w:tr>
      <w:tr w:rsidR="0049182B" w:rsidRPr="0049182B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49182B" w:rsidRPr="00B14CC2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B14CC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05.05.2015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49182B" w:rsidRPr="00B14CC2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B14CC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31.12.2015</w:t>
            </w:r>
          </w:p>
        </w:tc>
        <w:tc>
          <w:tcPr>
            <w:tcW w:w="6819" w:type="dxa"/>
          </w:tcPr>
          <w:p w:rsidR="0049182B" w:rsidRPr="00B14CC2" w:rsidRDefault="0049182B" w:rsidP="00C97578">
            <w:pPr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B14CC2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Начальник юридичного відділу ТОВ «Компанія з управління активами «РОЯЛ ФІНАНС»</w:t>
            </w:r>
          </w:p>
        </w:tc>
      </w:tr>
      <w:tr w:rsidR="0049182B" w:rsidRPr="0049182B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49182B" w:rsidRPr="000D35C4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0D35C4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14.01.2016 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49182B" w:rsidRPr="000D35C4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0D35C4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 xml:space="preserve">13.06.2017 </w:t>
            </w:r>
          </w:p>
        </w:tc>
        <w:tc>
          <w:tcPr>
            <w:tcW w:w="6819" w:type="dxa"/>
          </w:tcPr>
          <w:p w:rsidR="0049182B" w:rsidRPr="000D35C4" w:rsidRDefault="0049182B" w:rsidP="00C97578">
            <w:pPr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0D35C4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Начальник юридичного департаменту ТОВ «ФІНАНСОВА КОМПАНІЯ ІНВЕСТ БАЛТИК ГРУП»</w:t>
            </w:r>
          </w:p>
        </w:tc>
      </w:tr>
      <w:tr w:rsidR="0049182B" w:rsidRPr="0049182B" w:rsidTr="00910B56">
        <w:trPr>
          <w:trHeight w:val="547"/>
        </w:trPr>
        <w:tc>
          <w:tcPr>
            <w:tcW w:w="1464" w:type="dxa"/>
            <w:tcBorders>
              <w:right w:val="single" w:sz="4" w:space="0" w:color="auto"/>
            </w:tcBorders>
          </w:tcPr>
          <w:p w:rsidR="0049182B" w:rsidRPr="000D35C4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0D35C4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13.06.2017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</w:tcPr>
          <w:p w:rsidR="0049182B" w:rsidRPr="000D35C4" w:rsidRDefault="0049182B">
            <w:pPr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0D35C4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на цей час</w:t>
            </w:r>
          </w:p>
        </w:tc>
        <w:tc>
          <w:tcPr>
            <w:tcW w:w="6819" w:type="dxa"/>
          </w:tcPr>
          <w:p w:rsidR="0049182B" w:rsidRPr="000D35C4" w:rsidRDefault="0049182B" w:rsidP="00C97578">
            <w:pPr>
              <w:jc w:val="both"/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</w:pPr>
            <w:r w:rsidRPr="000D35C4">
              <w:rPr>
                <w:rStyle w:val="aa"/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uk-UA"/>
              </w:rPr>
              <w:t>Директор юридичного департаменту ТОВ «ФІНАНСОВА КОМПАНІЯ ІНВЕСТ БАЛТИК ГРУП»</w:t>
            </w:r>
          </w:p>
        </w:tc>
      </w:tr>
      <w:tr w:rsidR="002D5E3C" w:rsidRPr="009D3934" w:rsidTr="00910B56">
        <w:tc>
          <w:tcPr>
            <w:tcW w:w="9889" w:type="dxa"/>
            <w:gridSpan w:val="4"/>
          </w:tcPr>
          <w:p w:rsidR="002D5E3C" w:rsidRPr="009D3934" w:rsidRDefault="0023468C" w:rsidP="002D5E3C">
            <w:pPr>
              <w:spacing w:after="200" w:line="276" w:lineRule="auto"/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ПРАКТИЧНІ НАВИЧК</w:t>
            </w:r>
            <w:r w:rsidR="004969DF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</w:tr>
      <w:tr w:rsidR="00807B35" w:rsidRPr="00FA6BD1" w:rsidTr="00910B56">
        <w:tc>
          <w:tcPr>
            <w:tcW w:w="9889" w:type="dxa"/>
            <w:gridSpan w:val="4"/>
          </w:tcPr>
          <w:p w:rsidR="00E15AA3" w:rsidRPr="000D5B57" w:rsidRDefault="00E15AA3" w:rsidP="00966E50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Надання юридичних консультаці</w:t>
            </w:r>
            <w:r w:rsidR="00672150"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й</w:t>
            </w: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: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з </w:t>
            </w:r>
            <w:r w:rsidR="00FA6BD1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питань господарського, </w:t>
            </w:r>
            <w:r w:rsidR="00937268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корпоративного, </w:t>
            </w:r>
            <w:r w:rsidR="00FA6BD1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цивільного, трудового, сімейного, банківського </w:t>
            </w:r>
            <w:r w:rsidR="00937268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права,</w:t>
            </w:r>
            <w:r w:rsidR="00B1665F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з питань банкрутства, </w:t>
            </w:r>
            <w:r w:rsidR="00937268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захисту прав споживачів, щодо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FA6BD1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повернення</w:t>
            </w:r>
            <w:r w:rsidR="00937268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(стягнення)</w:t>
            </w:r>
            <w:r w:rsidR="00FA6BD1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дебіторської заборгованості</w:t>
            </w:r>
            <w:r w:rsidR="00756CDE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в судовому чи позасудовому порядку</w:t>
            </w:r>
            <w:r w:rsidR="00FA6BD1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, 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альтернативи</w:t>
            </w:r>
            <w:r w:rsidR="00937268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вирішення спорів, 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вивільнення майна з під арешту, щодо наявності правових підстав для звернення до Європейського суду з прав людини</w:t>
            </w:r>
            <w:r w:rsidR="00B1665F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,</w:t>
            </w:r>
            <w:r w:rsidR="00F51600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B1665F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щодо законності проведення перевірок контролюючими органами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.</w:t>
            </w:r>
          </w:p>
          <w:p w:rsidR="005D1057" w:rsidRPr="000D5B57" w:rsidRDefault="005D1057" w:rsidP="00966E50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Підготовка юридичних документів: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підготовка </w:t>
            </w:r>
            <w:r w:rsidR="00C57BDC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проектів та юридична експертиза усіх видів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цивільних, 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господарських договорів, 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зокрема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5D570B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договорів факторингу, </w:t>
            </w:r>
            <w:proofErr w:type="spellStart"/>
            <w:r w:rsidR="005D570B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цесії</w:t>
            </w:r>
            <w:proofErr w:type="spellEnd"/>
            <w:r w:rsidR="005D570B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, 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договорів купівлі-продажу нерухомого майна, 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договорів купівлі-продажу обладнання, договорів 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міни, 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договорів 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позики, 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договорів 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позички, договорів про надання послуг, договорів оренди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нерухомого майна/обладнання/транспортних засобів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, актів приймання-передачі, договорів про внесення змін та доповнень до договорів, договорів про розірвання договорів, та ін.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, </w:t>
            </w:r>
            <w:r w:rsidR="00183914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розробка внутрішніх документів для підприємства, зокрема</w:t>
            </w:r>
            <w:r w:rsidR="00183914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підготовка посадових інструкцій, положень про відділи та управління суб’єктів господарювання, </w:t>
            </w:r>
            <w:r w:rsidR="00183914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розробка проектів установчих документів 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та ін.</w:t>
            </w:r>
          </w:p>
          <w:p w:rsidR="005D1057" w:rsidRPr="000D5B57" w:rsidRDefault="00B85AAE" w:rsidP="005D1057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Реєстраційні дії: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3F3F18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</w:t>
            </w:r>
            <w:r w:rsidR="005D1057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ержавна реєстрація юридичних та фізичних осіб-підприємців, внесення змін до установчих документів юридичних осіб та внесення змін до відомостей про фізичних осіб-підприємців, відкриття/закриття рахунків в банківських установах, постановка юридичних осіб та ФОП на облік в контролюючих органах.</w:t>
            </w:r>
          </w:p>
          <w:p w:rsidR="00E15AA3" w:rsidRPr="000D5B57" w:rsidRDefault="00E15AA3" w:rsidP="005D1057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Робота в банківських установах</w:t>
            </w:r>
            <w:r w:rsidR="00B85AAE"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: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7D71F0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юридична</w:t>
            </w:r>
            <w:r w:rsidR="00356E48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7D71F0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експертиза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документів клієнтів банку </w:t>
            </w:r>
            <w:r w:rsidR="005D1057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з метою ідентифікації клієнтів банку та майна, що пропонується в заставу/іпотеку, 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вивчення установчих документів клієнтів 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банку, вивчення правовстановлюючих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документів на майно, яке пропонується в заставу/іпотеку, підготовка відповідних юридичних в</w:t>
            </w:r>
            <w:r w:rsidR="005D1057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исновків, участь у кредитних комітетах банку, надання усних та письмових консультації з юридичних питань в сфері банківського законодавства, 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податкового законодавства, </w:t>
            </w:r>
            <w:r w:rsidR="005D1057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трудового права, господарського та цивільного права, з питань вивчення та роз’яснення положень </w:t>
            </w:r>
            <w:r w:rsidR="00B85AAE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актів</w:t>
            </w:r>
            <w:r w:rsidR="005D1057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Національного банку України.</w:t>
            </w:r>
          </w:p>
          <w:p w:rsidR="00966E50" w:rsidRPr="000D5B57" w:rsidRDefault="00E15AA3" w:rsidP="00966E50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lastRenderedPageBreak/>
              <w:t>Робота з проблемною заборгованістю: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підготовка вимог, претензій, розрахунків заборгованості, </w:t>
            </w:r>
            <w:r w:rsidR="007D71F0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розробка схем повернення заборгованості, 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участь в переговорах з боржниками, моніторинг погашення заборгованості</w:t>
            </w:r>
            <w:r w:rsidR="0007340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,юридичний супровід угод з відступлення права вимоги виконання зобов’язання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.</w:t>
            </w:r>
          </w:p>
          <w:p w:rsidR="00F7366E" w:rsidRPr="000D5B57" w:rsidRDefault="00E15AA3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Претензійно-позовна робота: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підготовка та подання претензій, позовних заяв,</w:t>
            </w:r>
            <w:r w:rsidR="00B9630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заяв про порушення провадження у справі про банкрутство,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5D1057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адміністративних позовів,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апеляційних та касаційних скарг, мирових угод, клопотань, заперечень, участь в переговорах з процесуальними опонентами, участь в судових засіданнях з розгляду цивільних, господарських</w:t>
            </w:r>
            <w:r w:rsidR="005C2EC9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, кримінальних</w:t>
            </w:r>
            <w:r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та адміністративних справ.</w:t>
            </w:r>
          </w:p>
          <w:p w:rsidR="005D1057" w:rsidRPr="00A57222" w:rsidRDefault="005D1057" w:rsidP="00E15AA3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Робота з виконавчою службою:</w:t>
            </w:r>
            <w:r w:rsidR="005E1AFB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</w:t>
            </w:r>
            <w:r w:rsidR="00A57222" w:rsidRPr="00A57222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представництво інтересів стягувача, боржника, складання та подання заяв про відкриття виконавчого провадження, юридичний супровід вчинення виконавчих дій (опис, арешт, примусове </w:t>
            </w:r>
            <w:r w:rsidR="00DB089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проникнення</w:t>
            </w:r>
            <w:r w:rsidR="00A57222" w:rsidRPr="00A57222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тощо), оскарження рішень, дій чи бездіяльності державного виконавця, визнання виконавчих документів такими,</w:t>
            </w:r>
            <w:r w:rsidR="007D71F0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="00A57222" w:rsidRPr="00A57222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що не підлягають виконанню</w:t>
            </w:r>
            <w:r w:rsidR="00AF4F62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, участь в проведенні аукціонів (торгів), оскарження результатів аукціонів (торгів)</w:t>
            </w:r>
            <w:r w:rsidR="00A57222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.</w:t>
            </w:r>
            <w:r w:rsidR="00A57222" w:rsidRPr="00A57222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</w:p>
          <w:p w:rsidR="005D1057" w:rsidRPr="00910B56" w:rsidRDefault="005D1057" w:rsidP="00E15AA3">
            <w:pPr>
              <w:ind w:firstLine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u w:val="single"/>
                <w:lang w:val="uk-UA"/>
              </w:rPr>
            </w:pPr>
            <w:r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Робота з правоохоронними органами:</w:t>
            </w:r>
            <w:r w:rsidR="005D570B" w:rsidRPr="000D5B57">
              <w:rPr>
                <w:rStyle w:val="aa"/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</w:t>
            </w:r>
            <w:r w:rsidR="00C35A54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складання заяв (повідомлень) про вчинення кримінального правопорушення, складання цивільних позовів у кримінальному провадженні</w:t>
            </w:r>
            <w:r w:rsidR="00A33150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,</w:t>
            </w:r>
            <w:r w:rsidR="00C35A54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u w:val="single"/>
                <w:lang w:val="uk-UA"/>
              </w:rPr>
              <w:t xml:space="preserve"> </w:t>
            </w:r>
            <w:r w:rsidR="005D570B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оскарження рішень, дій чи бездіяльності</w:t>
            </w:r>
            <w:r w:rsidR="005D570B" w:rsidRPr="000D5B57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D570B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о</w:t>
            </w:r>
            <w:r w:rsidR="00910B56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рганів досудового розслідування, прокуратури</w:t>
            </w:r>
            <w:r w:rsidR="00A33150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, захист інтересів клієнта в будь-якому процесуальному статусі на стадії досудового та судового </w:t>
            </w:r>
            <w:r w:rsidR="00B1665F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розслідування,зокрема при проведенні слідчих дій</w:t>
            </w:r>
            <w:r w:rsidR="00910B56" w:rsidRPr="000D5B57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.</w:t>
            </w:r>
            <w:r w:rsidR="005D570B" w:rsidRPr="00910B56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u w:val="single"/>
                <w:lang w:val="uk-UA"/>
              </w:rPr>
              <w:t xml:space="preserve"> </w:t>
            </w:r>
          </w:p>
          <w:p w:rsidR="00807B35" w:rsidRPr="000D5B57" w:rsidRDefault="00807B35" w:rsidP="000D5B57">
            <w:pPr>
              <w:pStyle w:val="ab"/>
              <w:ind w:left="426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</w:tr>
      <w:tr w:rsidR="00BF538C" w:rsidRPr="009D3934" w:rsidTr="00910B56">
        <w:tc>
          <w:tcPr>
            <w:tcW w:w="3070" w:type="dxa"/>
            <w:gridSpan w:val="3"/>
          </w:tcPr>
          <w:p w:rsidR="00BF538C" w:rsidRPr="00CA7AFC" w:rsidRDefault="0023468C" w:rsidP="00AC39AE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AFC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Володіння мовами:</w:t>
            </w:r>
          </w:p>
        </w:tc>
        <w:tc>
          <w:tcPr>
            <w:tcW w:w="6819" w:type="dxa"/>
          </w:tcPr>
          <w:p w:rsidR="00807B35" w:rsidRPr="009D3934" w:rsidRDefault="0023468C" w:rsidP="00807B35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Українська – вільно.</w:t>
            </w:r>
          </w:p>
          <w:p w:rsidR="00807B35" w:rsidRPr="009D3934" w:rsidRDefault="0023468C" w:rsidP="00807B35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Російська  – вільно.</w:t>
            </w:r>
          </w:p>
          <w:p w:rsidR="00BF538C" w:rsidRPr="009D3934" w:rsidRDefault="0023468C" w:rsidP="00807B35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Німецька – середній рівень.</w:t>
            </w:r>
          </w:p>
        </w:tc>
      </w:tr>
      <w:tr w:rsidR="00F5077F" w:rsidRPr="009D3934" w:rsidTr="00910B56">
        <w:tc>
          <w:tcPr>
            <w:tcW w:w="3070" w:type="dxa"/>
            <w:gridSpan w:val="3"/>
          </w:tcPr>
          <w:p w:rsidR="002D5E3C" w:rsidRPr="00CA7AFC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AFC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Володіння комп’ютером:</w:t>
            </w:r>
          </w:p>
        </w:tc>
        <w:tc>
          <w:tcPr>
            <w:tcW w:w="6819" w:type="dxa"/>
          </w:tcPr>
          <w:p w:rsidR="002D5E3C" w:rsidRPr="009D3934" w:rsidRDefault="0049182B" w:rsidP="0049182B">
            <w:pPr>
              <w:spacing w:after="200" w:line="276" w:lineRule="auto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</w:t>
            </w:r>
            <w:r w:rsidR="0023468C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освідчений користувач ПК,</w:t>
            </w:r>
            <w:r w:rsidR="0023468C"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правових баз,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реєстрів</w:t>
            </w:r>
            <w:r w:rsidR="0023468C"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F5077F" w:rsidRPr="00D92BE0" w:rsidTr="00910B56">
        <w:tc>
          <w:tcPr>
            <w:tcW w:w="3070" w:type="dxa"/>
            <w:gridSpan w:val="3"/>
          </w:tcPr>
          <w:p w:rsidR="002D5E3C" w:rsidRPr="00CA7AFC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AFC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Особисті дані:</w:t>
            </w:r>
          </w:p>
        </w:tc>
        <w:tc>
          <w:tcPr>
            <w:tcW w:w="6819" w:type="dxa"/>
          </w:tcPr>
          <w:p w:rsidR="009D3934" w:rsidRPr="009D3934" w:rsidRDefault="0023468C" w:rsidP="00C9757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Проживаю в Дарницькому районі</w:t>
            </w:r>
            <w:r w:rsidR="00910B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м. Києва по вул. </w:t>
            </w:r>
            <w:proofErr w:type="spellStart"/>
            <w:r w:rsidR="00910B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Срібнокільські</w:t>
            </w:r>
            <w:r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  <w:proofErr w:type="spellEnd"/>
            <w:r w:rsidR="00910B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29124C" w:rsidRPr="009D3934" w:rsidRDefault="0023468C" w:rsidP="00C97578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В зареєстрованому шлюбі не перебуваю</w:t>
            </w:r>
          </w:p>
          <w:p w:rsidR="0029124C" w:rsidRPr="009D3934" w:rsidRDefault="0023468C" w:rsidP="00C9757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В наявності водійське посвідчення категорії «В»</w:t>
            </w:r>
          </w:p>
          <w:p w:rsidR="002D5E3C" w:rsidRPr="009D3934" w:rsidRDefault="0023468C" w:rsidP="007D71F0">
            <w:pPr>
              <w:spacing w:after="200" w:line="276" w:lineRule="auto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Неконфліктна,</w:t>
            </w:r>
            <w:r w:rsidRPr="0023468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7D71F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доброзичлива, </w:t>
            </w:r>
            <w:r w:rsidR="007D71F0" w:rsidRPr="0023468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енергійна,</w:t>
            </w:r>
            <w:r w:rsidR="007D71F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DB55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ініціативна, </w:t>
            </w:r>
            <w:r w:rsidRPr="0023468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відповідальна, комунікабельна, цілеспрямована, бажання постійно удосконалюватися.</w:t>
            </w:r>
          </w:p>
        </w:tc>
      </w:tr>
      <w:tr w:rsidR="007D71F0" w:rsidRPr="007D71F0" w:rsidTr="00910B56">
        <w:tc>
          <w:tcPr>
            <w:tcW w:w="3070" w:type="dxa"/>
            <w:gridSpan w:val="3"/>
          </w:tcPr>
          <w:p w:rsidR="007D71F0" w:rsidRPr="00CA7AFC" w:rsidRDefault="007D71F0">
            <w:pPr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AFC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Хобі:</w:t>
            </w:r>
          </w:p>
        </w:tc>
        <w:tc>
          <w:tcPr>
            <w:tcW w:w="6819" w:type="dxa"/>
          </w:tcPr>
          <w:p w:rsidR="007D71F0" w:rsidRPr="0023468C" w:rsidRDefault="007D71F0" w:rsidP="00C975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Спорт, читання, психологія.</w:t>
            </w:r>
          </w:p>
        </w:tc>
      </w:tr>
      <w:tr w:rsidR="00176E9A" w:rsidRPr="009D3934" w:rsidTr="00910B56">
        <w:tc>
          <w:tcPr>
            <w:tcW w:w="3070" w:type="dxa"/>
            <w:gridSpan w:val="3"/>
          </w:tcPr>
          <w:p w:rsidR="00176E9A" w:rsidRPr="00CA7AFC" w:rsidRDefault="0023468C">
            <w:pPr>
              <w:spacing w:after="200" w:line="276" w:lineRule="auto"/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AFC">
              <w:rPr>
                <w:rStyle w:val="aa"/>
                <w:rFonts w:ascii="Times New Roman" w:hAnsi="Times New Roman" w:cs="Times New Roman"/>
                <w:sz w:val="24"/>
                <w:szCs w:val="24"/>
                <w:lang w:val="uk-UA"/>
              </w:rPr>
              <w:t>Мета:</w:t>
            </w:r>
          </w:p>
        </w:tc>
        <w:tc>
          <w:tcPr>
            <w:tcW w:w="6819" w:type="dxa"/>
          </w:tcPr>
          <w:p w:rsidR="00176E9A" w:rsidRPr="009D3934" w:rsidRDefault="0023468C" w:rsidP="00C9757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468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Удосконалення </w:t>
            </w:r>
            <w:r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набутих знань та здобуття нових;</w:t>
            </w:r>
            <w:r w:rsidRPr="0023468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отримання роботи по юридичній спеціальності з метою подальшого</w:t>
            </w:r>
            <w:r w:rsidRPr="002346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3468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професійного росту.</w:t>
            </w:r>
          </w:p>
        </w:tc>
      </w:tr>
    </w:tbl>
    <w:p w:rsidR="002D5E3C" w:rsidRPr="009D3934" w:rsidRDefault="002D5E3C" w:rsidP="00AC39A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2D5E3C" w:rsidRPr="009D3934" w:rsidSect="009D393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F165E"/>
    <w:multiLevelType w:val="hybridMultilevel"/>
    <w:tmpl w:val="38A0DC66"/>
    <w:lvl w:ilvl="0" w:tplc="3D7C093A">
      <w:start w:val="10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144C"/>
    <w:multiLevelType w:val="hybridMultilevel"/>
    <w:tmpl w:val="D3CA6D2E"/>
    <w:lvl w:ilvl="0" w:tplc="C0400A4E">
      <w:start w:val="10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C0EDD"/>
    <w:multiLevelType w:val="hybridMultilevel"/>
    <w:tmpl w:val="AD1EE3F0"/>
    <w:lvl w:ilvl="0" w:tplc="FD3CA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5E3C"/>
    <w:rsid w:val="00050F6B"/>
    <w:rsid w:val="00051EA6"/>
    <w:rsid w:val="00053D7E"/>
    <w:rsid w:val="000661E3"/>
    <w:rsid w:val="0007340A"/>
    <w:rsid w:val="000D35C4"/>
    <w:rsid w:val="000D5B57"/>
    <w:rsid w:val="00126650"/>
    <w:rsid w:val="00176E9A"/>
    <w:rsid w:val="00183914"/>
    <w:rsid w:val="00187F7A"/>
    <w:rsid w:val="001B51BC"/>
    <w:rsid w:val="001E5613"/>
    <w:rsid w:val="001F5207"/>
    <w:rsid w:val="00202AB4"/>
    <w:rsid w:val="002100BA"/>
    <w:rsid w:val="00211529"/>
    <w:rsid w:val="0023468C"/>
    <w:rsid w:val="00250459"/>
    <w:rsid w:val="0027178E"/>
    <w:rsid w:val="002744FF"/>
    <w:rsid w:val="002862EC"/>
    <w:rsid w:val="0029124C"/>
    <w:rsid w:val="002D5E3C"/>
    <w:rsid w:val="002F7604"/>
    <w:rsid w:val="00356E48"/>
    <w:rsid w:val="003C2E61"/>
    <w:rsid w:val="003F3F18"/>
    <w:rsid w:val="004641EC"/>
    <w:rsid w:val="00464EC9"/>
    <w:rsid w:val="0048256A"/>
    <w:rsid w:val="0049182B"/>
    <w:rsid w:val="00495F14"/>
    <w:rsid w:val="004969DF"/>
    <w:rsid w:val="004F0C58"/>
    <w:rsid w:val="0052239E"/>
    <w:rsid w:val="00522D2D"/>
    <w:rsid w:val="005728F8"/>
    <w:rsid w:val="00573049"/>
    <w:rsid w:val="005C2EC9"/>
    <w:rsid w:val="005D1057"/>
    <w:rsid w:val="005D570B"/>
    <w:rsid w:val="005E1AFB"/>
    <w:rsid w:val="005E490A"/>
    <w:rsid w:val="0061466A"/>
    <w:rsid w:val="00672150"/>
    <w:rsid w:val="00687301"/>
    <w:rsid w:val="00733970"/>
    <w:rsid w:val="00755657"/>
    <w:rsid w:val="00756CDE"/>
    <w:rsid w:val="0078797A"/>
    <w:rsid w:val="007A109E"/>
    <w:rsid w:val="007D71F0"/>
    <w:rsid w:val="007D73E9"/>
    <w:rsid w:val="0080202B"/>
    <w:rsid w:val="00807B35"/>
    <w:rsid w:val="00882F8E"/>
    <w:rsid w:val="008E37E2"/>
    <w:rsid w:val="008F667D"/>
    <w:rsid w:val="00902A51"/>
    <w:rsid w:val="00910B56"/>
    <w:rsid w:val="00937268"/>
    <w:rsid w:val="00953EA8"/>
    <w:rsid w:val="00966E50"/>
    <w:rsid w:val="00975E11"/>
    <w:rsid w:val="009940A5"/>
    <w:rsid w:val="009D3934"/>
    <w:rsid w:val="009F0CA6"/>
    <w:rsid w:val="00A11E56"/>
    <w:rsid w:val="00A33150"/>
    <w:rsid w:val="00A47308"/>
    <w:rsid w:val="00A57222"/>
    <w:rsid w:val="00A72B1D"/>
    <w:rsid w:val="00A7496A"/>
    <w:rsid w:val="00A75DCF"/>
    <w:rsid w:val="00A77237"/>
    <w:rsid w:val="00A86D48"/>
    <w:rsid w:val="00AA37C5"/>
    <w:rsid w:val="00AC2E13"/>
    <w:rsid w:val="00AC39AE"/>
    <w:rsid w:val="00AF4F62"/>
    <w:rsid w:val="00B06AFC"/>
    <w:rsid w:val="00B14CC2"/>
    <w:rsid w:val="00B1665F"/>
    <w:rsid w:val="00B46266"/>
    <w:rsid w:val="00B85AAE"/>
    <w:rsid w:val="00B9630A"/>
    <w:rsid w:val="00BD48D3"/>
    <w:rsid w:val="00BF538C"/>
    <w:rsid w:val="00C2737F"/>
    <w:rsid w:val="00C3294F"/>
    <w:rsid w:val="00C35A54"/>
    <w:rsid w:val="00C55A0F"/>
    <w:rsid w:val="00C57BDC"/>
    <w:rsid w:val="00C923D2"/>
    <w:rsid w:val="00C97578"/>
    <w:rsid w:val="00CA7AFC"/>
    <w:rsid w:val="00D23E24"/>
    <w:rsid w:val="00D6018A"/>
    <w:rsid w:val="00D92BE0"/>
    <w:rsid w:val="00DA2346"/>
    <w:rsid w:val="00DA4D8E"/>
    <w:rsid w:val="00DB089A"/>
    <w:rsid w:val="00DB5506"/>
    <w:rsid w:val="00DB60E5"/>
    <w:rsid w:val="00E15AA3"/>
    <w:rsid w:val="00F46229"/>
    <w:rsid w:val="00F5077F"/>
    <w:rsid w:val="00F51600"/>
    <w:rsid w:val="00F7366E"/>
    <w:rsid w:val="00FA6BD1"/>
    <w:rsid w:val="00FA79EF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F0458-6C5C-49AB-B021-709BDE56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D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E3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D5E3C"/>
    <w:rPr>
      <w:color w:val="0000FF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2D5E3C"/>
    <w:pPr>
      <w:tabs>
        <w:tab w:val="decimal" w:pos="360"/>
      </w:tabs>
    </w:pPr>
    <w:rPr>
      <w:rFonts w:eastAsiaTheme="minorEastAsia"/>
    </w:rPr>
  </w:style>
  <w:style w:type="paragraph" w:styleId="a7">
    <w:name w:val="footnote text"/>
    <w:basedOn w:val="a"/>
    <w:link w:val="a8"/>
    <w:uiPriority w:val="99"/>
    <w:unhideWhenUsed/>
    <w:rsid w:val="002D5E3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2D5E3C"/>
    <w:rPr>
      <w:rFonts w:eastAsiaTheme="minorEastAsia"/>
      <w:sz w:val="20"/>
      <w:szCs w:val="20"/>
    </w:rPr>
  </w:style>
  <w:style w:type="character" w:styleId="a9">
    <w:name w:val="Subtle Emphasis"/>
    <w:basedOn w:val="a0"/>
    <w:uiPriority w:val="19"/>
    <w:qFormat/>
    <w:rsid w:val="002D5E3C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table" w:styleId="2-5">
    <w:name w:val="Medium Shading 2 Accent 5"/>
    <w:basedOn w:val="a1"/>
    <w:uiPriority w:val="64"/>
    <w:rsid w:val="002D5E3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a">
    <w:name w:val="Strong"/>
    <w:basedOn w:val="a0"/>
    <w:uiPriority w:val="22"/>
    <w:qFormat/>
    <w:rsid w:val="002D5E3C"/>
    <w:rPr>
      <w:b/>
      <w:bCs/>
    </w:rPr>
  </w:style>
  <w:style w:type="paragraph" w:styleId="ab">
    <w:name w:val="List Paragraph"/>
    <w:basedOn w:val="a"/>
    <w:uiPriority w:val="34"/>
    <w:qFormat/>
    <w:rsid w:val="002D5E3C"/>
    <w:pPr>
      <w:ind w:left="720"/>
      <w:contextualSpacing/>
    </w:pPr>
  </w:style>
  <w:style w:type="character" w:styleId="ac">
    <w:name w:val="Emphasis"/>
    <w:basedOn w:val="a0"/>
    <w:qFormat/>
    <w:rsid w:val="00176E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C4245-3DE3-4961-9808-7B03407F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Номе</dc:creator>
  <cp:lastModifiedBy>Пользователь Windows</cp:lastModifiedBy>
  <cp:revision>11</cp:revision>
  <cp:lastPrinted>2012-05-27T18:02:00Z</cp:lastPrinted>
  <dcterms:created xsi:type="dcterms:W3CDTF">2018-03-20T21:12:00Z</dcterms:created>
  <dcterms:modified xsi:type="dcterms:W3CDTF">2018-03-28T01:22:00Z</dcterms:modified>
</cp:coreProperties>
</file>