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0FCE03CD" w:rsidR="000920DB" w:rsidRPr="002203C7" w:rsidRDefault="2FD6157B" w:rsidP="00571335">
      <w:pPr>
        <w:spacing w:after="0" w:line="276" w:lineRule="auto"/>
        <w:jc w:val="center"/>
        <w:rPr>
          <w:rFonts w:ascii="Times New Roman" w:eastAsia="Times New Roman" w:hAnsi="Times New Roman" w:cs="Times New Roman"/>
          <w:sz w:val="28"/>
          <w:szCs w:val="28"/>
        </w:rPr>
      </w:pPr>
      <w:r w:rsidRPr="6B15F84B">
        <w:rPr>
          <w:rFonts w:ascii="Times New Roman" w:eastAsia="Times New Roman" w:hAnsi="Times New Roman" w:cs="Times New Roman"/>
          <w:b/>
          <w:bCs/>
          <w:sz w:val="28"/>
          <w:szCs w:val="28"/>
        </w:rPr>
        <w:t>Agnico-Eagle Mines case</w:t>
      </w:r>
    </w:p>
    <w:p w14:paraId="498520AD" w14:textId="5096EDB3" w:rsidR="622C174F" w:rsidRDefault="58672D1F" w:rsidP="00571335">
      <w:pPr>
        <w:spacing w:before="240" w:after="0" w:line="276" w:lineRule="auto"/>
        <w:jc w:val="both"/>
        <w:rPr>
          <w:rFonts w:ascii="Times New Roman" w:eastAsia="Times New Roman" w:hAnsi="Times New Roman" w:cs="Times New Roman"/>
          <w:b/>
          <w:bCs/>
          <w:sz w:val="28"/>
          <w:szCs w:val="28"/>
        </w:rPr>
      </w:pPr>
      <w:r w:rsidRPr="6B15F84B">
        <w:rPr>
          <w:rFonts w:ascii="Times New Roman" w:eastAsia="Times New Roman" w:hAnsi="Times New Roman" w:cs="Times New Roman"/>
          <w:b/>
          <w:bCs/>
          <w:sz w:val="28"/>
          <w:szCs w:val="28"/>
        </w:rPr>
        <w:t>1.0 Executive Summary</w:t>
      </w:r>
    </w:p>
    <w:p w14:paraId="16DB17FE" w14:textId="31E64286" w:rsidR="780098E2" w:rsidRDefault="780098E2" w:rsidP="00571335">
      <w:pPr>
        <w:spacing w:before="281" w:after="0" w:line="276" w:lineRule="auto"/>
        <w:jc w:val="both"/>
        <w:rPr>
          <w:rFonts w:ascii="Times New Roman" w:eastAsia="Times New Roman" w:hAnsi="Times New Roman" w:cs="Times New Roman"/>
        </w:rPr>
      </w:pPr>
      <w:r w:rsidRPr="6B15F84B">
        <w:rPr>
          <w:rFonts w:ascii="Times New Roman" w:eastAsia="Times New Roman" w:hAnsi="Times New Roman" w:cs="Times New Roman"/>
        </w:rPr>
        <w:t>Agnico-Eagle Mines Ltd. (AEM), a Canadian gold producer with over 30 years of mining experience, faced critical decisions in April 2002 after its stock price fell by nearly $1 in a single day. Dan Acker, a senior portfolio manager at National Securities, held substantial AEM shares in his portfolio and needed to assess whether the decline indicated further risks or was an opportunity to hold or increase his position.</w:t>
      </w:r>
    </w:p>
    <w:p w14:paraId="3BF339DA" w14:textId="7B42D3DF" w:rsidR="780098E2" w:rsidRDefault="780098E2" w:rsidP="00571335">
      <w:pPr>
        <w:spacing w:before="281" w:after="0" w:line="276" w:lineRule="auto"/>
        <w:jc w:val="both"/>
        <w:rPr>
          <w:rFonts w:ascii="Times New Roman" w:eastAsia="Times New Roman" w:hAnsi="Times New Roman" w:cs="Times New Roman"/>
        </w:rPr>
      </w:pPr>
      <w:r w:rsidRPr="6B15F84B">
        <w:rPr>
          <w:rFonts w:ascii="Times New Roman" w:eastAsia="Times New Roman" w:hAnsi="Times New Roman" w:cs="Times New Roman"/>
        </w:rPr>
        <w:t xml:space="preserve">AEM’s operations were centered around its LaRonde mine in Quebec, one of the largest gold deposits in Canada, featuring significant reserves of gold and by-products like zinc, copper, and silver. Recent investments, including the Penna Shaft, </w:t>
      </w:r>
      <w:r w:rsidR="5D00C04F" w:rsidRPr="0C1A8157">
        <w:rPr>
          <w:rFonts w:ascii="Times New Roman" w:eastAsia="Times New Roman" w:hAnsi="Times New Roman" w:cs="Times New Roman"/>
        </w:rPr>
        <w:t>have</w:t>
      </w:r>
      <w:r w:rsidRPr="6B15F84B">
        <w:rPr>
          <w:rFonts w:ascii="Times New Roman" w:eastAsia="Times New Roman" w:hAnsi="Times New Roman" w:cs="Times New Roman"/>
        </w:rPr>
        <w:t xml:space="preserve"> enhanced production capacity, positioning AEM for increased output and lower production costs.</w:t>
      </w:r>
    </w:p>
    <w:p w14:paraId="7FBC604E" w14:textId="51E4517A" w:rsidR="780098E2" w:rsidRDefault="780098E2" w:rsidP="00571335">
      <w:pPr>
        <w:spacing w:before="281" w:after="0" w:line="276" w:lineRule="auto"/>
        <w:jc w:val="both"/>
        <w:rPr>
          <w:rFonts w:ascii="Times New Roman" w:eastAsia="Times New Roman" w:hAnsi="Times New Roman" w:cs="Times New Roman"/>
        </w:rPr>
      </w:pPr>
      <w:r w:rsidRPr="6B15F84B">
        <w:rPr>
          <w:rFonts w:ascii="Times New Roman" w:eastAsia="Times New Roman" w:hAnsi="Times New Roman" w:cs="Times New Roman"/>
        </w:rPr>
        <w:t>With gold prices stabilizing above $300/oz and AEM’s expanded capacity at LaRonde, the company appeared well-positioned for future growth. However, AEM’s financial risks and performance gaps compared to peers raised concerns about its valuation and long-term competitiveness.</w:t>
      </w:r>
    </w:p>
    <w:p w14:paraId="49659574" w14:textId="0A3678A8" w:rsidR="780098E2" w:rsidRDefault="780098E2" w:rsidP="00571335">
      <w:pPr>
        <w:spacing w:before="281" w:after="0" w:line="276" w:lineRule="auto"/>
        <w:jc w:val="both"/>
        <w:rPr>
          <w:rFonts w:ascii="Times New Roman" w:eastAsia="Times New Roman" w:hAnsi="Times New Roman" w:cs="Times New Roman"/>
        </w:rPr>
      </w:pPr>
      <w:r w:rsidRPr="6B15F84B">
        <w:rPr>
          <w:rFonts w:ascii="Times New Roman" w:eastAsia="Times New Roman" w:hAnsi="Times New Roman" w:cs="Times New Roman"/>
        </w:rPr>
        <w:t>Acker needed to evaluate AEM’s intrinsic equity value by combining traditional DCF methods with real options valuation to account for unmined reserves. This analysis would guide his decision to hold, sell, or increase exposure to AEM, balancing potential rewards against the inherent risks of a single-mine operator.</w:t>
      </w:r>
    </w:p>
    <w:p w14:paraId="69A097ED" w14:textId="77777777" w:rsidR="00320B18" w:rsidRDefault="00320B18" w:rsidP="00571335">
      <w:pPr>
        <w:spacing w:before="281" w:after="0" w:line="276" w:lineRule="auto"/>
        <w:jc w:val="both"/>
        <w:rPr>
          <w:rFonts w:ascii="Times New Roman" w:eastAsia="Times New Roman" w:hAnsi="Times New Roman" w:cs="Times New Roman"/>
        </w:rPr>
      </w:pPr>
    </w:p>
    <w:p w14:paraId="19EBE837" w14:textId="19C0ED89" w:rsidR="21D9969A" w:rsidRDefault="21D9969A" w:rsidP="00571335">
      <w:pPr>
        <w:spacing w:after="0" w:line="276" w:lineRule="auto"/>
        <w:jc w:val="both"/>
        <w:rPr>
          <w:rFonts w:ascii="Times New Roman" w:eastAsia="Times New Roman" w:hAnsi="Times New Roman" w:cs="Times New Roman"/>
          <w:b/>
          <w:bCs/>
          <w:sz w:val="28"/>
          <w:szCs w:val="28"/>
        </w:rPr>
      </w:pPr>
      <w:r w:rsidRPr="6B15F84B">
        <w:rPr>
          <w:rFonts w:ascii="Times New Roman" w:eastAsia="Times New Roman" w:hAnsi="Times New Roman" w:cs="Times New Roman"/>
          <w:b/>
          <w:bCs/>
          <w:sz w:val="28"/>
          <w:szCs w:val="28"/>
        </w:rPr>
        <w:t>2.0</w:t>
      </w:r>
      <w:r w:rsidR="60CD4388" w:rsidRPr="6B15F84B">
        <w:rPr>
          <w:rFonts w:ascii="Times New Roman" w:eastAsia="Times New Roman" w:hAnsi="Times New Roman" w:cs="Times New Roman"/>
          <w:b/>
          <w:bCs/>
          <w:sz w:val="28"/>
          <w:szCs w:val="28"/>
        </w:rPr>
        <w:t xml:space="preserve"> </w:t>
      </w:r>
      <w:r w:rsidR="3B5CC0AE" w:rsidRPr="6B15F84B">
        <w:rPr>
          <w:rFonts w:ascii="Times New Roman" w:eastAsia="Times New Roman" w:hAnsi="Times New Roman" w:cs="Times New Roman"/>
          <w:b/>
          <w:bCs/>
          <w:sz w:val="28"/>
          <w:szCs w:val="28"/>
        </w:rPr>
        <w:t>Dan Acker’s Concern About AEM’s Stock</w:t>
      </w:r>
    </w:p>
    <w:p w14:paraId="2C6EA429" w14:textId="02BEBBE9" w:rsidR="49B2D772" w:rsidRDefault="49B2D772" w:rsidP="00571335">
      <w:pPr>
        <w:spacing w:before="281" w:after="0" w:line="276" w:lineRule="auto"/>
        <w:jc w:val="both"/>
        <w:rPr>
          <w:rFonts w:ascii="Times New Roman" w:eastAsia="Times New Roman" w:hAnsi="Times New Roman" w:cs="Times New Roman"/>
        </w:rPr>
      </w:pPr>
      <w:r w:rsidRPr="4C49C12D">
        <w:rPr>
          <w:rFonts w:ascii="Times New Roman" w:eastAsia="Times New Roman" w:hAnsi="Times New Roman" w:cs="Times New Roman"/>
        </w:rPr>
        <w:t xml:space="preserve">Dan Acker's concerns about Agnico-Eagle Mines Ltd. (AEM) stem from several factors. The immediate worry is the sharp decline in AEM's stock price, which raises questions about whether this signals a broader issue or a temporary market overreaction. Additionally, while AEM has shown strong recent performance, there are concerns that the stock may have become overvalued relative to its fundamental metrics. AEM's reliance on its single-mine operation at LaRonde heightens operational risk, as any disruptions at this site could severely impact the company. Financially, AEM's high dividend payout ratio reduces the capital available for reinvestment, putting it at a disadvantage compared to competitors that focus on growth and reinvestment. Moreover, AEM's relatively high leverage compared to its peers increases financial risk, </w:t>
      </w:r>
      <w:r w:rsidRPr="3ECB2941">
        <w:rPr>
          <w:rFonts w:ascii="Times New Roman" w:eastAsia="Times New Roman" w:hAnsi="Times New Roman" w:cs="Times New Roman"/>
        </w:rPr>
        <w:t>particularly in a volatile market environment. Finally, AEM's unhedged exposure to gold price fluctuations amplifies earnings volatility, as its performance is closely tied to the unpredictable movements of gold prices. These concerns collectively highlight the need for a detailed valuation and risk assessment to determine whether the stock's decline is justified.</w:t>
      </w:r>
    </w:p>
    <w:p w14:paraId="25491A56" w14:textId="35B6AF23" w:rsidR="3B95BBE4" w:rsidRDefault="3CD60F34" w:rsidP="00571335">
      <w:pPr>
        <w:spacing w:after="0" w:line="276" w:lineRule="auto"/>
        <w:jc w:val="both"/>
        <w:rPr>
          <w:rFonts w:ascii="Times New Roman" w:eastAsia="Times New Roman" w:hAnsi="Times New Roman" w:cs="Times New Roman"/>
        </w:rPr>
      </w:pPr>
      <w:r w:rsidRPr="3ECB2941">
        <w:rPr>
          <w:rFonts w:ascii="Times New Roman" w:eastAsia="Times New Roman" w:hAnsi="Times New Roman" w:cs="Times New Roman"/>
          <w:b/>
        </w:rPr>
        <w:t>Valuation Using DCF:</w:t>
      </w:r>
      <w:r w:rsidRPr="3ECB2941">
        <w:rPr>
          <w:rFonts w:ascii="Times New Roman" w:eastAsia="Times New Roman" w:hAnsi="Times New Roman" w:cs="Times New Roman"/>
        </w:rPr>
        <w:t xml:space="preserve"> To value AEM using the Discounted Cash Flow (DCF) method</w:t>
      </w:r>
      <w:r w:rsidR="2487F7F0" w:rsidRPr="3ECB2941">
        <w:rPr>
          <w:rFonts w:ascii="Times New Roman" w:eastAsia="Times New Roman" w:hAnsi="Times New Roman" w:cs="Times New Roman"/>
        </w:rPr>
        <w:t xml:space="preserve">, we </w:t>
      </w:r>
      <w:r w:rsidR="3B95BBE4" w:rsidRPr="3ECB2941">
        <w:rPr>
          <w:rFonts w:ascii="Times New Roman" w:eastAsia="Times New Roman" w:hAnsi="Times New Roman" w:cs="Times New Roman"/>
        </w:rPr>
        <w:t>estimate free cash flows by adjusting earnings before interest and taxes (EBIT) for non-cash items (like depreciation</w:t>
      </w:r>
      <w:r w:rsidR="5272009D" w:rsidRPr="3ECB2941">
        <w:rPr>
          <w:rFonts w:ascii="Times New Roman" w:eastAsia="Times New Roman" w:hAnsi="Times New Roman" w:cs="Times New Roman"/>
        </w:rPr>
        <w:t xml:space="preserve"> and amortization</w:t>
      </w:r>
      <w:r w:rsidR="3B95BBE4" w:rsidRPr="3ECB2941">
        <w:rPr>
          <w:rFonts w:ascii="Times New Roman" w:eastAsia="Times New Roman" w:hAnsi="Times New Roman" w:cs="Times New Roman"/>
        </w:rPr>
        <w:t>), subtracting changes in working capital, and deducting capital expenditures</w:t>
      </w:r>
      <w:r w:rsidR="3BE3E272" w:rsidRPr="3ECB2941">
        <w:rPr>
          <w:rFonts w:ascii="Times New Roman" w:eastAsia="Times New Roman" w:hAnsi="Times New Roman" w:cs="Times New Roman"/>
        </w:rPr>
        <w:t xml:space="preserve"> to arrive at the total free cash flow</w:t>
      </w:r>
      <w:r w:rsidR="3B95BBE4" w:rsidRPr="3ECB2941">
        <w:rPr>
          <w:rFonts w:ascii="Times New Roman" w:eastAsia="Times New Roman" w:hAnsi="Times New Roman" w:cs="Times New Roman"/>
        </w:rPr>
        <w:t xml:space="preserve">. From AEM’s projected financials, the gross cash flow and capital expenditures are key components in calculating </w:t>
      </w:r>
      <w:r w:rsidR="3FF493D4" w:rsidRPr="3ECB2941">
        <w:rPr>
          <w:rFonts w:ascii="Times New Roman" w:eastAsia="Times New Roman" w:hAnsi="Times New Roman" w:cs="Times New Roman"/>
        </w:rPr>
        <w:t xml:space="preserve">the </w:t>
      </w:r>
      <w:r w:rsidR="3B95BBE4" w:rsidRPr="3ECB2941">
        <w:rPr>
          <w:rFonts w:ascii="Times New Roman" w:eastAsia="Times New Roman" w:hAnsi="Times New Roman" w:cs="Times New Roman"/>
        </w:rPr>
        <w:t>free cash flow</w:t>
      </w:r>
      <w:r w:rsidR="4E889369" w:rsidRPr="3ECB2941">
        <w:rPr>
          <w:rFonts w:ascii="Times New Roman" w:eastAsia="Times New Roman" w:hAnsi="Times New Roman" w:cs="Times New Roman"/>
        </w:rPr>
        <w:t>.</w:t>
      </w:r>
    </w:p>
    <w:p w14:paraId="3B960AB0" w14:textId="325579FE" w:rsidR="339D968C" w:rsidRDefault="339D968C" w:rsidP="00571335">
      <w:pPr>
        <w:pStyle w:val="Heading3"/>
        <w:spacing w:before="281" w:after="0" w:line="276" w:lineRule="auto"/>
        <w:jc w:val="both"/>
        <w:rPr>
          <w:rFonts w:ascii="Times New Roman" w:eastAsia="Times New Roman" w:hAnsi="Times New Roman" w:cs="Times New Roman"/>
          <w:color w:val="auto"/>
          <w:sz w:val="24"/>
          <w:szCs w:val="24"/>
        </w:rPr>
      </w:pPr>
      <w:r w:rsidRPr="4C49C12D">
        <w:rPr>
          <w:rFonts w:ascii="Times New Roman" w:eastAsia="Times New Roman" w:hAnsi="Times New Roman" w:cs="Times New Roman"/>
          <w:sz w:val="24"/>
          <w:szCs w:val="24"/>
        </w:rPr>
        <w:t>Th</w:t>
      </w:r>
      <w:r w:rsidRPr="3ECB2941">
        <w:rPr>
          <w:rFonts w:ascii="Times New Roman" w:eastAsia="Times New Roman" w:hAnsi="Times New Roman" w:cs="Times New Roman"/>
          <w:color w:val="auto"/>
          <w:sz w:val="24"/>
          <w:szCs w:val="24"/>
        </w:rPr>
        <w:t>e Terminal Value (TV) is calculated by taking the NOPLATPA for the final forecast year (2008 in this case), adjusting it for the expected growth rate (g), and then dividing it by the WACC (K).</w:t>
      </w:r>
    </w:p>
    <w:p w14:paraId="488554C9" w14:textId="006A4855" w:rsidR="339D968C" w:rsidRDefault="339D968C" w:rsidP="00571335">
      <w:pPr>
        <w:pStyle w:val="Heading3"/>
        <w:spacing w:before="281" w:after="0" w:line="276" w:lineRule="auto"/>
        <w:jc w:val="both"/>
        <w:rPr>
          <w:rFonts w:ascii="Times New Roman" w:eastAsia="Times New Roman" w:hAnsi="Times New Roman" w:cs="Times New Roman"/>
          <w:color w:val="auto"/>
          <w:sz w:val="24"/>
          <w:szCs w:val="24"/>
        </w:rPr>
      </w:pPr>
      <w:r w:rsidRPr="4C49C12D">
        <w:rPr>
          <w:rFonts w:ascii="Times New Roman" w:eastAsia="Times New Roman" w:hAnsi="Times New Roman" w:cs="Times New Roman"/>
          <w:color w:val="auto"/>
          <w:sz w:val="24"/>
          <w:szCs w:val="24"/>
        </w:rPr>
        <w:t xml:space="preserve">This formula assumes that the company's operating profits will grow at a constant rate g indefinitely after 2008. The result of this formula is the value of all future cash flows from 2008 onward, </w:t>
      </w:r>
      <w:proofErr w:type="gramStart"/>
      <w:r w:rsidRPr="4C49C12D">
        <w:rPr>
          <w:rFonts w:ascii="Times New Roman" w:eastAsia="Times New Roman" w:hAnsi="Times New Roman" w:cs="Times New Roman"/>
          <w:color w:val="auto"/>
          <w:sz w:val="24"/>
          <w:szCs w:val="24"/>
        </w:rPr>
        <w:t>assuming that</w:t>
      </w:r>
      <w:proofErr w:type="gramEnd"/>
      <w:r w:rsidRPr="4C49C12D">
        <w:rPr>
          <w:rFonts w:ascii="Times New Roman" w:eastAsia="Times New Roman" w:hAnsi="Times New Roman" w:cs="Times New Roman"/>
          <w:color w:val="auto"/>
          <w:sz w:val="24"/>
          <w:szCs w:val="24"/>
        </w:rPr>
        <w:t xml:space="preserve"> the company grows at a constant rate forever</w:t>
      </w:r>
    </w:p>
    <w:p w14:paraId="3075354C" w14:textId="45A9DA93" w:rsidR="3CD60F34" w:rsidRDefault="3CD60F34" w:rsidP="00571335">
      <w:pPr>
        <w:pStyle w:val="Heading3"/>
        <w:spacing w:before="281" w:after="0" w:line="276" w:lineRule="auto"/>
        <w:jc w:val="both"/>
        <w:rPr>
          <w:rFonts w:ascii="Times New Roman" w:eastAsia="Times New Roman" w:hAnsi="Times New Roman" w:cs="Times New Roman"/>
          <w:color w:val="auto"/>
          <w:sz w:val="24"/>
          <w:szCs w:val="24"/>
        </w:rPr>
      </w:pPr>
      <w:r w:rsidRPr="3ECB2941">
        <w:rPr>
          <w:rFonts w:ascii="Times New Roman" w:eastAsia="Times New Roman" w:hAnsi="Times New Roman" w:cs="Times New Roman"/>
          <w:b/>
          <w:color w:val="auto"/>
          <w:sz w:val="24"/>
          <w:szCs w:val="24"/>
        </w:rPr>
        <w:t>Appropriate Discount Rate:</w:t>
      </w:r>
      <w:r w:rsidRPr="3ECB2941">
        <w:rPr>
          <w:rFonts w:ascii="Times New Roman" w:eastAsia="Times New Roman" w:hAnsi="Times New Roman" w:cs="Times New Roman"/>
          <w:color w:val="auto"/>
          <w:sz w:val="24"/>
          <w:szCs w:val="24"/>
        </w:rPr>
        <w:t xml:space="preserve"> </w:t>
      </w:r>
      <w:r w:rsidR="1E563750" w:rsidRPr="3ECB2941">
        <w:rPr>
          <w:rFonts w:ascii="Times New Roman" w:eastAsia="Times New Roman" w:hAnsi="Times New Roman" w:cs="Times New Roman"/>
          <w:color w:val="auto"/>
          <w:sz w:val="24"/>
          <w:szCs w:val="24"/>
        </w:rPr>
        <w:t xml:space="preserve">Appropriate Discount Rate: The discount rate should be the Weighted Average Cost of Capital (WACC), which considers AEM’s cost of debt and cost of equity. The WACC for AEM is based on historical capital structure weights. The cost of equity can be estimated using the Capital Asset Pricing Model (CAPM), while the cost of debt is based on the company’s bond yields and credit rating. </w:t>
      </w:r>
      <w:r w:rsidRPr="3ECB2941">
        <w:rPr>
          <w:rFonts w:ascii="Times New Roman" w:eastAsia="Times New Roman" w:hAnsi="Times New Roman" w:cs="Times New Roman"/>
          <w:color w:val="auto"/>
          <w:sz w:val="24"/>
          <w:szCs w:val="24"/>
        </w:rPr>
        <w:t xml:space="preserve">The discount rate to use for discounting the future cash flows is the WACC provided by A-G Financial Consulting. They used an adjusted beta of 1.05, and the WACC </w:t>
      </w:r>
      <w:r w:rsidRPr="4C49C12D">
        <w:rPr>
          <w:rFonts w:ascii="Times New Roman" w:eastAsia="Times New Roman" w:hAnsi="Times New Roman" w:cs="Times New Roman"/>
          <w:color w:val="auto"/>
          <w:sz w:val="24"/>
          <w:szCs w:val="24"/>
        </w:rPr>
        <w:t>represents a comprehensive estimate that accounts for the cost of equity and debt specific to AEM’s capital structure.</w:t>
      </w:r>
    </w:p>
    <w:p w14:paraId="175A35DD" w14:textId="3F452B01" w:rsidR="4C49C12D" w:rsidRDefault="4C49C12D" w:rsidP="00571335">
      <w:pPr>
        <w:spacing w:after="0" w:line="276" w:lineRule="auto"/>
        <w:jc w:val="both"/>
        <w:rPr>
          <w:rFonts w:ascii="Times New Roman" w:eastAsia="Times New Roman" w:hAnsi="Times New Roman" w:cs="Times New Roman"/>
        </w:rPr>
      </w:pPr>
    </w:p>
    <w:p w14:paraId="19CC1FE5" w14:textId="16EDE151" w:rsidR="20D8FA5A" w:rsidRDefault="20D8FA5A" w:rsidP="00571335">
      <w:pPr>
        <w:spacing w:after="0" w:line="276" w:lineRule="auto"/>
        <w:jc w:val="both"/>
        <w:rPr>
          <w:rFonts w:ascii="Times New Roman" w:eastAsia="Times New Roman" w:hAnsi="Times New Roman" w:cs="Times New Roman"/>
          <w:b/>
          <w:bCs/>
          <w:sz w:val="28"/>
          <w:szCs w:val="28"/>
        </w:rPr>
      </w:pPr>
      <w:r w:rsidRPr="6B15F84B">
        <w:rPr>
          <w:rFonts w:ascii="Times New Roman" w:eastAsia="Times New Roman" w:hAnsi="Times New Roman" w:cs="Times New Roman"/>
          <w:b/>
          <w:bCs/>
          <w:sz w:val="28"/>
          <w:szCs w:val="28"/>
        </w:rPr>
        <w:t>3.0 Enterprise Value Calculation</w:t>
      </w:r>
    </w:p>
    <w:p w14:paraId="08BA75B4" w14:textId="201A83D8" w:rsidR="2F4A6D0B" w:rsidRDefault="2F4A6D0B" w:rsidP="00571335">
      <w:pPr>
        <w:spacing w:after="0" w:line="276" w:lineRule="auto"/>
        <w:jc w:val="both"/>
        <w:rPr>
          <w:rFonts w:ascii="Times New Roman" w:eastAsia="Times New Roman" w:hAnsi="Times New Roman" w:cs="Times New Roman"/>
        </w:rPr>
      </w:pPr>
      <w:r w:rsidRPr="4C49C12D">
        <w:rPr>
          <w:rFonts w:ascii="Times New Roman" w:eastAsia="Times New Roman" w:hAnsi="Times New Roman" w:cs="Times New Roman"/>
        </w:rPr>
        <w:t xml:space="preserve">To calculate the enterprise value (EV) of AEM, </w:t>
      </w:r>
      <w:r w:rsidR="0D1B5B72" w:rsidRPr="4C49C12D">
        <w:rPr>
          <w:rFonts w:ascii="Times New Roman" w:eastAsia="Times New Roman" w:hAnsi="Times New Roman" w:cs="Times New Roman"/>
        </w:rPr>
        <w:t>we</w:t>
      </w:r>
      <w:r w:rsidRPr="4C49C12D">
        <w:rPr>
          <w:rFonts w:ascii="Times New Roman" w:eastAsia="Times New Roman" w:hAnsi="Times New Roman" w:cs="Times New Roman"/>
        </w:rPr>
        <w:t xml:space="preserve"> begin by estimating the value of the firm’s operations using the DCF model as outlined above.</w:t>
      </w:r>
      <w:r w:rsidR="1017AAD4" w:rsidRPr="4C49C12D">
        <w:rPr>
          <w:rFonts w:ascii="Times New Roman" w:eastAsia="Times New Roman" w:hAnsi="Times New Roman" w:cs="Times New Roman"/>
        </w:rPr>
        <w:t xml:space="preserve"> The Enterprise Value (EV) is the sum of the value of operations plus the non-operating assets and liabilities:</w:t>
      </w:r>
    </w:p>
    <w:p w14:paraId="3048DA87" w14:textId="022BA695" w:rsidR="1017AAD4" w:rsidRDefault="1017AAD4" w:rsidP="00571335">
      <w:pPr>
        <w:spacing w:after="0" w:line="276" w:lineRule="auto"/>
        <w:jc w:val="both"/>
        <w:rPr>
          <w:rFonts w:ascii="Times New Roman" w:eastAsia="Times New Roman" w:hAnsi="Times New Roman" w:cs="Times New Roman"/>
        </w:rPr>
      </w:pPr>
      <w:r w:rsidRPr="4C49C12D">
        <w:rPr>
          <w:rFonts w:ascii="Times New Roman" w:eastAsia="Times New Roman" w:hAnsi="Times New Roman" w:cs="Times New Roman"/>
          <w:b/>
          <w:bCs/>
        </w:rPr>
        <w:t>Non-Operating Assets:</w:t>
      </w:r>
      <w:r w:rsidRPr="4C49C12D">
        <w:rPr>
          <w:rFonts w:ascii="Times New Roman" w:eastAsia="Times New Roman" w:hAnsi="Times New Roman" w:cs="Times New Roman"/>
        </w:rPr>
        <w:t xml:space="preserve"> These include excess cash, marketable securities, and any investments not directly tied to AEM's operations.</w:t>
      </w:r>
    </w:p>
    <w:p w14:paraId="40408723" w14:textId="4FBDAFB3" w:rsidR="1017AAD4" w:rsidRDefault="1017AAD4" w:rsidP="00571335">
      <w:pPr>
        <w:spacing w:after="0" w:line="276" w:lineRule="auto"/>
        <w:jc w:val="both"/>
        <w:rPr>
          <w:rFonts w:ascii="Times New Roman" w:eastAsia="Times New Roman" w:hAnsi="Times New Roman" w:cs="Times New Roman"/>
        </w:rPr>
      </w:pPr>
      <w:r w:rsidRPr="4C49C12D">
        <w:rPr>
          <w:rFonts w:ascii="Times New Roman" w:eastAsia="Times New Roman" w:hAnsi="Times New Roman" w:cs="Times New Roman"/>
          <w:b/>
          <w:bCs/>
        </w:rPr>
        <w:t>Non-Operating Liabilities:</w:t>
      </w:r>
      <w:r w:rsidRPr="4C49C12D">
        <w:rPr>
          <w:rFonts w:ascii="Times New Roman" w:eastAsia="Times New Roman" w:hAnsi="Times New Roman" w:cs="Times New Roman"/>
        </w:rPr>
        <w:t xml:space="preserve"> These include the market value of AEM’s debt, pension liabilities, and any environmental obligations or deferred taxes</w:t>
      </w:r>
      <w:r w:rsidR="2A328190" w:rsidRPr="4C49C12D">
        <w:rPr>
          <w:rFonts w:ascii="Times New Roman" w:eastAsia="Times New Roman" w:hAnsi="Times New Roman" w:cs="Times New Roman"/>
        </w:rPr>
        <w:t>. Tax Loss</w:t>
      </w:r>
      <w:r w:rsidRPr="4C49C12D">
        <w:rPr>
          <w:rFonts w:ascii="Times New Roman" w:eastAsia="Times New Roman" w:hAnsi="Times New Roman" w:cs="Times New Roman"/>
        </w:rPr>
        <w:t xml:space="preserve"> and development expense carryforwards are crucial here. </w:t>
      </w:r>
    </w:p>
    <w:p w14:paraId="62290CFA" w14:textId="5BC9371E" w:rsidR="2F4A6D0B" w:rsidRDefault="2F4A6D0B" w:rsidP="00571335">
      <w:pPr>
        <w:pStyle w:val="ListParagraph"/>
        <w:numPr>
          <w:ilvl w:val="0"/>
          <w:numId w:val="2"/>
        </w:numPr>
        <w:spacing w:after="0" w:line="276" w:lineRule="auto"/>
        <w:jc w:val="both"/>
        <w:rPr>
          <w:rFonts w:ascii="Times New Roman" w:eastAsia="Times New Roman" w:hAnsi="Times New Roman" w:cs="Times New Roman"/>
        </w:rPr>
      </w:pPr>
      <w:r w:rsidRPr="4C49C12D">
        <w:rPr>
          <w:rFonts w:ascii="Times New Roman" w:eastAsia="Times New Roman" w:hAnsi="Times New Roman" w:cs="Times New Roman"/>
        </w:rPr>
        <w:t xml:space="preserve">Tax Loss Carryforwards: </w:t>
      </w:r>
      <w:r w:rsidR="2EE31882" w:rsidRPr="4C49C12D">
        <w:rPr>
          <w:rFonts w:ascii="Times New Roman" w:eastAsia="Times New Roman" w:hAnsi="Times New Roman" w:cs="Times New Roman"/>
        </w:rPr>
        <w:t xml:space="preserve">Tax loss carryforwards represent accumulated losses from prior years that can be used to reduce future taxable income. </w:t>
      </w:r>
      <w:r w:rsidR="5FBDAF12" w:rsidRPr="4C49C12D">
        <w:rPr>
          <w:rFonts w:ascii="Times New Roman" w:eastAsia="Times New Roman" w:hAnsi="Times New Roman" w:cs="Times New Roman"/>
        </w:rPr>
        <w:t xml:space="preserve"> </w:t>
      </w:r>
      <w:r w:rsidR="2EE31882" w:rsidRPr="4C49C12D">
        <w:rPr>
          <w:rFonts w:ascii="Times New Roman" w:eastAsia="Times New Roman" w:hAnsi="Times New Roman" w:cs="Times New Roman"/>
        </w:rPr>
        <w:t xml:space="preserve">In AEM's case, tax loss carryforwards can be applied until they are fully utilized, which is expected to be by </w:t>
      </w:r>
      <w:r w:rsidR="2EE31882" w:rsidRPr="4C49C12D">
        <w:rPr>
          <w:rFonts w:ascii="Times New Roman" w:eastAsia="Times New Roman" w:hAnsi="Times New Roman" w:cs="Times New Roman"/>
          <w:b/>
          <w:bCs/>
        </w:rPr>
        <w:t>2008</w:t>
      </w:r>
      <w:r w:rsidR="2EE31882" w:rsidRPr="4C49C12D">
        <w:rPr>
          <w:rFonts w:ascii="Times New Roman" w:eastAsia="Times New Roman" w:hAnsi="Times New Roman" w:cs="Times New Roman"/>
        </w:rPr>
        <w:t xml:space="preserve"> as mentioned.</w:t>
      </w:r>
      <w:r w:rsidR="1AF7E104" w:rsidRPr="4C49C12D">
        <w:rPr>
          <w:rFonts w:ascii="Times New Roman" w:eastAsia="Times New Roman" w:hAnsi="Times New Roman" w:cs="Times New Roman"/>
        </w:rPr>
        <w:t xml:space="preserve"> </w:t>
      </w:r>
      <w:r w:rsidR="2EE31882" w:rsidRPr="4C49C12D">
        <w:rPr>
          <w:rFonts w:ascii="Times New Roman" w:eastAsia="Times New Roman" w:hAnsi="Times New Roman" w:cs="Times New Roman"/>
        </w:rPr>
        <w:t>These carryforwards create a tax shield that lowers the future tax burden, effectively increasing the free cash flow available to the company.</w:t>
      </w:r>
      <w:r w:rsidR="6C93770F" w:rsidRPr="4C49C12D">
        <w:rPr>
          <w:rFonts w:ascii="Times New Roman" w:eastAsia="Times New Roman" w:hAnsi="Times New Roman" w:cs="Times New Roman"/>
        </w:rPr>
        <w:t xml:space="preserve"> The tax-shield for tax loss carry forward is</w:t>
      </w:r>
      <w:r w:rsidR="6C93770F" w:rsidRPr="4C49C12D">
        <w:rPr>
          <w:rFonts w:ascii="Times New Roman" w:eastAsia="Times New Roman" w:hAnsi="Times New Roman" w:cs="Times New Roman"/>
          <w:b/>
          <w:bCs/>
        </w:rPr>
        <w:t xml:space="preserve"> $ </w:t>
      </w:r>
      <w:r w:rsidR="49D31167" w:rsidRPr="4C49C12D">
        <w:rPr>
          <w:rFonts w:ascii="Times New Roman" w:eastAsia="Times New Roman" w:hAnsi="Times New Roman" w:cs="Times New Roman"/>
          <w:b/>
          <w:bCs/>
        </w:rPr>
        <w:t>9,164.83.</w:t>
      </w:r>
    </w:p>
    <w:p w14:paraId="55475859" w14:textId="30F997B5" w:rsidR="1EFE894C" w:rsidRDefault="1EFE894C" w:rsidP="00676DE8">
      <w:pPr>
        <w:pStyle w:val="ListParagraph"/>
        <w:numPr>
          <w:ilvl w:val="0"/>
          <w:numId w:val="2"/>
        </w:numPr>
        <w:spacing w:after="0" w:line="276" w:lineRule="auto"/>
        <w:ind w:left="0" w:firstLine="360"/>
        <w:jc w:val="both"/>
        <w:rPr>
          <w:rFonts w:ascii="Times New Roman" w:eastAsia="Times New Roman" w:hAnsi="Times New Roman" w:cs="Times New Roman"/>
        </w:rPr>
      </w:pPr>
      <w:r w:rsidRPr="4C49C12D">
        <w:rPr>
          <w:rFonts w:ascii="Times New Roman" w:eastAsia="Times New Roman" w:hAnsi="Times New Roman" w:cs="Times New Roman"/>
        </w:rPr>
        <w:t>Development Expense Carryforwards:</w:t>
      </w:r>
      <w:r w:rsidR="51388133" w:rsidRPr="4C49C12D">
        <w:rPr>
          <w:rFonts w:ascii="Times New Roman" w:eastAsia="Times New Roman" w:hAnsi="Times New Roman" w:cs="Times New Roman"/>
        </w:rPr>
        <w:t xml:space="preserve"> After the tax loss carryforwards have been exhausted (expected by 2008), </w:t>
      </w:r>
      <w:r w:rsidR="51388133" w:rsidRPr="4C49C12D">
        <w:rPr>
          <w:rFonts w:ascii="Times New Roman" w:eastAsia="Times New Roman" w:hAnsi="Times New Roman" w:cs="Times New Roman"/>
          <w:b/>
          <w:bCs/>
        </w:rPr>
        <w:t>development expense carryforwards</w:t>
      </w:r>
      <w:r w:rsidR="51388133" w:rsidRPr="4C49C12D">
        <w:rPr>
          <w:rFonts w:ascii="Times New Roman" w:eastAsia="Times New Roman" w:hAnsi="Times New Roman" w:cs="Times New Roman"/>
        </w:rPr>
        <w:t xml:space="preserve"> can be used for a further </w:t>
      </w:r>
      <w:r w:rsidR="51388133" w:rsidRPr="4C49C12D">
        <w:rPr>
          <w:rFonts w:ascii="Times New Roman" w:eastAsia="Times New Roman" w:hAnsi="Times New Roman" w:cs="Times New Roman"/>
          <w:b/>
          <w:bCs/>
        </w:rPr>
        <w:t>eight years</w:t>
      </w:r>
      <w:r w:rsidR="51388133" w:rsidRPr="4C49C12D">
        <w:rPr>
          <w:rFonts w:ascii="Times New Roman" w:eastAsia="Times New Roman" w:hAnsi="Times New Roman" w:cs="Times New Roman"/>
        </w:rPr>
        <w:t xml:space="preserve">. </w:t>
      </w:r>
      <w:proofErr w:type="gramStart"/>
      <w:r w:rsidR="51388133" w:rsidRPr="4C49C12D">
        <w:rPr>
          <w:rFonts w:ascii="Times New Roman" w:eastAsia="Times New Roman" w:hAnsi="Times New Roman" w:cs="Times New Roman"/>
        </w:rPr>
        <w:t>Similar to</w:t>
      </w:r>
      <w:proofErr w:type="gramEnd"/>
      <w:r w:rsidR="51388133" w:rsidRPr="4C49C12D">
        <w:rPr>
          <w:rFonts w:ascii="Times New Roman" w:eastAsia="Times New Roman" w:hAnsi="Times New Roman" w:cs="Times New Roman"/>
        </w:rPr>
        <w:t xml:space="preserve"> tax loss carryforwards, these allow AEM to reduce its</w:t>
      </w:r>
      <w:r w:rsidR="00676DE8">
        <w:rPr>
          <w:rFonts w:ascii="Times New Roman" w:eastAsia="Times New Roman" w:hAnsi="Times New Roman" w:cs="Times New Roman"/>
        </w:rPr>
        <w:t xml:space="preserve"> </w:t>
      </w:r>
      <w:r w:rsidR="51388133" w:rsidRPr="4C49C12D">
        <w:rPr>
          <w:rFonts w:ascii="Times New Roman" w:eastAsia="Times New Roman" w:hAnsi="Times New Roman" w:cs="Times New Roman"/>
        </w:rPr>
        <w:t>taxable income, providing a tax shield that improves the free cash flow available to equity holders.</w:t>
      </w:r>
      <w:r w:rsidR="4E5C683D" w:rsidRPr="4C49C12D">
        <w:rPr>
          <w:rFonts w:ascii="Times New Roman" w:eastAsia="Times New Roman" w:hAnsi="Times New Roman" w:cs="Times New Roman"/>
        </w:rPr>
        <w:t xml:space="preserve"> The Development Expense Carryforwards is </w:t>
      </w:r>
      <w:r w:rsidR="4E5C683D" w:rsidRPr="4C49C12D">
        <w:rPr>
          <w:rFonts w:ascii="Times New Roman" w:eastAsia="Times New Roman" w:hAnsi="Times New Roman" w:cs="Times New Roman"/>
          <w:b/>
          <w:bCs/>
        </w:rPr>
        <w:t>$39</w:t>
      </w:r>
      <w:r w:rsidR="005E70D4">
        <w:rPr>
          <w:rFonts w:ascii="Times New Roman" w:eastAsia="Times New Roman" w:hAnsi="Times New Roman" w:cs="Times New Roman"/>
          <w:b/>
          <w:bCs/>
        </w:rPr>
        <w:t>,</w:t>
      </w:r>
      <w:r w:rsidR="4E5C683D" w:rsidRPr="4C49C12D">
        <w:rPr>
          <w:rFonts w:ascii="Times New Roman" w:eastAsia="Times New Roman" w:hAnsi="Times New Roman" w:cs="Times New Roman"/>
          <w:b/>
          <w:bCs/>
        </w:rPr>
        <w:t>742.98million</w:t>
      </w:r>
    </w:p>
    <w:p w14:paraId="76CFCD15" w14:textId="0DDED924" w:rsidR="06F5D034" w:rsidRDefault="06F5D034" w:rsidP="00571335">
      <w:pPr>
        <w:spacing w:after="0" w:line="276" w:lineRule="auto"/>
        <w:jc w:val="both"/>
        <w:rPr>
          <w:rFonts w:ascii="Times New Roman" w:eastAsia="Times New Roman" w:hAnsi="Times New Roman" w:cs="Times New Roman"/>
        </w:rPr>
      </w:pPr>
      <w:r w:rsidRPr="4C49C12D">
        <w:rPr>
          <w:rFonts w:ascii="Times New Roman" w:eastAsia="Times New Roman" w:hAnsi="Times New Roman" w:cs="Times New Roman"/>
        </w:rPr>
        <w:t>The tax shields resulting from tax loss carryforwards and development expense carryforwards can be incorporated by calculating their present value using the cost of debt as the discount rate. This is because the tax shields carry a similar risk to that of debt, and the cost of debt is a reasonable approximation for the discount rate in this context.</w:t>
      </w:r>
    </w:p>
    <w:p w14:paraId="5D9C5D1C" w14:textId="77777777" w:rsidR="001E049B" w:rsidRDefault="001E049B" w:rsidP="00571335">
      <w:pPr>
        <w:spacing w:after="0" w:line="276" w:lineRule="auto"/>
        <w:jc w:val="both"/>
        <w:rPr>
          <w:rFonts w:ascii="Times New Roman" w:eastAsia="Times New Roman" w:hAnsi="Times New Roman" w:cs="Times New Roman"/>
        </w:rPr>
      </w:pPr>
    </w:p>
    <w:p w14:paraId="0C0972A0" w14:textId="7EB7D1D4" w:rsidR="06F5D034" w:rsidRDefault="06F5D034" w:rsidP="00571335">
      <w:pPr>
        <w:spacing w:after="0" w:line="276" w:lineRule="auto"/>
        <w:jc w:val="both"/>
        <w:rPr>
          <w:rFonts w:ascii="Times New Roman" w:eastAsia="Times New Roman" w:hAnsi="Times New Roman" w:cs="Times New Roman"/>
          <w:b/>
          <w:bCs/>
        </w:rPr>
      </w:pPr>
      <w:r w:rsidRPr="6B15F84B">
        <w:rPr>
          <w:rFonts w:ascii="Times New Roman" w:eastAsia="Times New Roman" w:hAnsi="Times New Roman" w:cs="Times New Roman"/>
          <w:b/>
          <w:bCs/>
        </w:rPr>
        <w:t xml:space="preserve"> Incorporate into Enterprise Value:</w:t>
      </w:r>
    </w:p>
    <w:p w14:paraId="109557B3" w14:textId="4FC22176" w:rsidR="06F5D034" w:rsidRDefault="06F5D034" w:rsidP="00571335">
      <w:pPr>
        <w:spacing w:after="0" w:line="276" w:lineRule="auto"/>
        <w:jc w:val="both"/>
        <w:rPr>
          <w:rFonts w:ascii="Times New Roman" w:eastAsia="Times New Roman" w:hAnsi="Times New Roman" w:cs="Times New Roman"/>
        </w:rPr>
      </w:pPr>
      <w:r w:rsidRPr="4C49C12D">
        <w:rPr>
          <w:rFonts w:ascii="Times New Roman" w:eastAsia="Times New Roman" w:hAnsi="Times New Roman" w:cs="Times New Roman"/>
        </w:rPr>
        <w:t>Add the Present Value of Tax Shields to Enterprise Value: The calculated present value of tax shields is then added to the enterprise value derived from DCF</w:t>
      </w:r>
      <w:r w:rsidR="56FAA4F0" w:rsidRPr="4C49C12D">
        <w:rPr>
          <w:rFonts w:ascii="Times New Roman" w:eastAsia="Times New Roman" w:hAnsi="Times New Roman" w:cs="Times New Roman"/>
        </w:rPr>
        <w:t xml:space="preserve"> which give us an Enterprise value of </w:t>
      </w:r>
      <w:r w:rsidR="56FAA4F0" w:rsidRPr="4C49C12D">
        <w:rPr>
          <w:rFonts w:ascii="Times New Roman" w:eastAsia="Times New Roman" w:hAnsi="Times New Roman" w:cs="Times New Roman"/>
          <w:b/>
          <w:bCs/>
        </w:rPr>
        <w:t>$</w:t>
      </w:r>
      <w:r w:rsidR="78B1DAD0" w:rsidRPr="4C49C12D">
        <w:rPr>
          <w:rFonts w:ascii="Times New Roman" w:eastAsia="Times New Roman" w:hAnsi="Times New Roman" w:cs="Times New Roman"/>
          <w:b/>
          <w:bCs/>
        </w:rPr>
        <w:t xml:space="preserve"> 199,889million</w:t>
      </w:r>
    </w:p>
    <w:p w14:paraId="7E497D6A" w14:textId="6FB7AA93" w:rsidR="06F5D034" w:rsidRDefault="06F5D034" w:rsidP="00571335">
      <w:pPr>
        <w:spacing w:after="0" w:line="276" w:lineRule="auto"/>
        <w:jc w:val="both"/>
        <w:rPr>
          <w:rFonts w:ascii="Times New Roman" w:eastAsia="Times New Roman" w:hAnsi="Times New Roman" w:cs="Times New Roman"/>
        </w:rPr>
      </w:pPr>
      <w:r w:rsidRPr="6B15F84B">
        <w:rPr>
          <w:rFonts w:ascii="Times New Roman" w:eastAsia="Times New Roman" w:hAnsi="Times New Roman" w:cs="Times New Roman"/>
        </w:rPr>
        <w:t>Adjustment to Free Cash Flows: The impact of tax shields is effectively included in the free cash flows (FCF) used in the DCF model. Each year’s free cash flows should be adjusted for the tax shields provided by the carryforwards.</w:t>
      </w:r>
    </w:p>
    <w:p w14:paraId="009598B6" w14:textId="77777777" w:rsidR="0014422B" w:rsidRDefault="0014422B" w:rsidP="00571335">
      <w:pPr>
        <w:spacing w:after="0" w:line="276" w:lineRule="auto"/>
        <w:jc w:val="both"/>
        <w:rPr>
          <w:rFonts w:ascii="Times New Roman" w:eastAsia="Times New Roman" w:hAnsi="Times New Roman" w:cs="Times New Roman"/>
        </w:rPr>
      </w:pPr>
    </w:p>
    <w:p w14:paraId="46ACB656" w14:textId="61E3F089" w:rsidR="14DB9FF7" w:rsidRDefault="14DB9FF7" w:rsidP="00571335">
      <w:pPr>
        <w:spacing w:after="0" w:line="276" w:lineRule="auto"/>
        <w:jc w:val="both"/>
        <w:rPr>
          <w:rFonts w:ascii="Times New Roman" w:eastAsia="Times New Roman" w:hAnsi="Times New Roman" w:cs="Times New Roman"/>
        </w:rPr>
      </w:pPr>
      <w:r w:rsidRPr="6B15F84B">
        <w:rPr>
          <w:rFonts w:ascii="Times New Roman" w:eastAsia="Times New Roman" w:hAnsi="Times New Roman" w:cs="Times New Roman"/>
          <w:b/>
          <w:bCs/>
          <w:sz w:val="28"/>
          <w:szCs w:val="28"/>
        </w:rPr>
        <w:t>4.0 Real Option Valuation - Unmined Gold</w:t>
      </w:r>
    </w:p>
    <w:p w14:paraId="0144E2C5" w14:textId="06102768" w:rsidR="41B91D79" w:rsidRDefault="41B91D79" w:rsidP="00571335">
      <w:pPr>
        <w:pStyle w:val="Heading3"/>
        <w:spacing w:before="281" w:after="0" w:line="276" w:lineRule="auto"/>
        <w:jc w:val="both"/>
        <w:rPr>
          <w:rFonts w:ascii="Times New Roman" w:eastAsia="Times New Roman" w:hAnsi="Times New Roman" w:cs="Times New Roman"/>
          <w:color w:val="auto"/>
          <w:sz w:val="24"/>
          <w:szCs w:val="24"/>
        </w:rPr>
      </w:pPr>
      <w:r w:rsidRPr="3ECB2941">
        <w:rPr>
          <w:rFonts w:ascii="Times New Roman" w:eastAsia="Times New Roman" w:hAnsi="Times New Roman" w:cs="Times New Roman"/>
          <w:color w:val="auto"/>
          <w:sz w:val="24"/>
          <w:szCs w:val="24"/>
        </w:rPr>
        <w:t>The unmined gold is treated as a real option, which gives AEM the flexibility to decide when to extract the gold, depending on market conditions such as the price of gold. To value this real option, the Black-Scholes option pricing model can be used.</w:t>
      </w:r>
    </w:p>
    <w:p w14:paraId="42AF2748" w14:textId="0517D250" w:rsidR="7607D7C4" w:rsidRDefault="7607D7C4" w:rsidP="00571335">
      <w:pPr>
        <w:pStyle w:val="Heading3"/>
        <w:spacing w:before="281" w:after="0" w:line="276" w:lineRule="auto"/>
        <w:jc w:val="both"/>
        <w:rPr>
          <w:rFonts w:ascii="Times New Roman" w:eastAsia="Times New Roman" w:hAnsi="Times New Roman" w:cs="Times New Roman"/>
          <w:color w:val="auto"/>
          <w:sz w:val="24"/>
          <w:szCs w:val="24"/>
        </w:rPr>
      </w:pPr>
      <w:r w:rsidRPr="6B15F84B">
        <w:rPr>
          <w:rFonts w:ascii="Times New Roman" w:eastAsia="Times New Roman" w:hAnsi="Times New Roman" w:cs="Times New Roman"/>
          <w:color w:val="auto"/>
          <w:sz w:val="24"/>
          <w:szCs w:val="24"/>
        </w:rPr>
        <w:t>Key steps and considerations for valuing the unmined gold as a real option include:</w:t>
      </w:r>
    </w:p>
    <w:p w14:paraId="6BB6A441" w14:textId="45B0FA37" w:rsidR="7607D7C4" w:rsidRDefault="7607D7C4" w:rsidP="00571335">
      <w:pPr>
        <w:pStyle w:val="Heading3"/>
        <w:spacing w:before="281" w:after="0" w:line="276" w:lineRule="auto"/>
        <w:jc w:val="both"/>
        <w:rPr>
          <w:rFonts w:ascii="Times New Roman" w:eastAsia="Times New Roman" w:hAnsi="Times New Roman" w:cs="Times New Roman"/>
          <w:color w:val="auto"/>
          <w:sz w:val="24"/>
          <w:szCs w:val="24"/>
        </w:rPr>
      </w:pPr>
      <w:r w:rsidRPr="6B15F84B">
        <w:rPr>
          <w:rFonts w:ascii="Times New Roman" w:eastAsia="Times New Roman" w:hAnsi="Times New Roman" w:cs="Times New Roman"/>
          <w:b/>
          <w:bCs/>
          <w:color w:val="auto"/>
          <w:sz w:val="24"/>
          <w:szCs w:val="24"/>
        </w:rPr>
        <w:t>Underlying Asset:</w:t>
      </w:r>
      <w:r w:rsidRPr="6B15F84B">
        <w:rPr>
          <w:rFonts w:ascii="Times New Roman" w:eastAsia="Times New Roman" w:hAnsi="Times New Roman" w:cs="Times New Roman"/>
          <w:color w:val="auto"/>
          <w:sz w:val="24"/>
          <w:szCs w:val="24"/>
        </w:rPr>
        <w:t xml:space="preserve"> Value of gold production, calculated as gold price × ounces produced per year × number of years</w:t>
      </w:r>
      <w:r w:rsidR="00610408">
        <w:rPr>
          <w:rFonts w:ascii="Times New Roman" w:eastAsia="Times New Roman" w:hAnsi="Times New Roman" w:cs="Times New Roman"/>
          <w:color w:val="auto"/>
          <w:sz w:val="24"/>
          <w:szCs w:val="24"/>
        </w:rPr>
        <w:t xml:space="preserve">, </w:t>
      </w:r>
      <w:r w:rsidR="00F7647F">
        <w:rPr>
          <w:rFonts w:ascii="Times New Roman" w:eastAsia="Times New Roman" w:hAnsi="Times New Roman" w:cs="Times New Roman"/>
          <w:color w:val="auto"/>
          <w:sz w:val="24"/>
          <w:szCs w:val="24"/>
        </w:rPr>
        <w:t xml:space="preserve">is </w:t>
      </w:r>
      <w:r w:rsidR="00F7647F" w:rsidRPr="004D4A88">
        <w:rPr>
          <w:rFonts w:ascii="Times New Roman" w:eastAsia="Times New Roman" w:hAnsi="Times New Roman" w:cs="Times New Roman"/>
          <w:b/>
          <w:bCs/>
          <w:color w:val="auto"/>
          <w:sz w:val="24"/>
          <w:szCs w:val="24"/>
        </w:rPr>
        <w:t>$2,756,000.00.</w:t>
      </w:r>
    </w:p>
    <w:p w14:paraId="4E3F124F" w14:textId="3CD7B257" w:rsidR="7607D7C4" w:rsidRDefault="7607D7C4" w:rsidP="00571335">
      <w:pPr>
        <w:pStyle w:val="Heading3"/>
        <w:spacing w:before="281" w:after="0" w:line="276" w:lineRule="auto"/>
        <w:jc w:val="both"/>
        <w:rPr>
          <w:rFonts w:ascii="Times New Roman" w:eastAsia="Times New Roman" w:hAnsi="Times New Roman" w:cs="Times New Roman"/>
          <w:color w:val="auto"/>
          <w:sz w:val="24"/>
          <w:szCs w:val="24"/>
        </w:rPr>
      </w:pPr>
      <w:r w:rsidRPr="6B15F84B">
        <w:rPr>
          <w:rFonts w:ascii="Times New Roman" w:eastAsia="Times New Roman" w:hAnsi="Times New Roman" w:cs="Times New Roman"/>
          <w:b/>
          <w:bCs/>
          <w:color w:val="auto"/>
          <w:sz w:val="24"/>
          <w:szCs w:val="24"/>
        </w:rPr>
        <w:t>Exercise Price:</w:t>
      </w:r>
      <w:r w:rsidRPr="6B15F84B">
        <w:rPr>
          <w:rFonts w:ascii="Times New Roman" w:eastAsia="Times New Roman" w:hAnsi="Times New Roman" w:cs="Times New Roman"/>
          <w:color w:val="auto"/>
          <w:sz w:val="24"/>
          <w:szCs w:val="24"/>
        </w:rPr>
        <w:t xml:space="preserve"> Present value of operating costs plus one-time mine opening costs</w:t>
      </w:r>
      <w:r w:rsidR="001E4DDA">
        <w:rPr>
          <w:rFonts w:ascii="Times New Roman" w:eastAsia="Times New Roman" w:hAnsi="Times New Roman" w:cs="Times New Roman"/>
          <w:color w:val="auto"/>
          <w:sz w:val="24"/>
          <w:szCs w:val="24"/>
        </w:rPr>
        <w:t xml:space="preserve"> was calculated as </w:t>
      </w:r>
      <w:r w:rsidR="001E4DDA" w:rsidRPr="004D4A88">
        <w:rPr>
          <w:rFonts w:ascii="Times New Roman" w:eastAsia="Times New Roman" w:hAnsi="Times New Roman" w:cs="Times New Roman"/>
          <w:b/>
          <w:bCs/>
          <w:color w:val="auto"/>
          <w:sz w:val="24"/>
          <w:szCs w:val="24"/>
        </w:rPr>
        <w:t>$1,082,379.88.</w:t>
      </w:r>
    </w:p>
    <w:p w14:paraId="75D73FD4" w14:textId="15F7D496" w:rsidR="7607D7C4" w:rsidRDefault="7607D7C4" w:rsidP="00571335">
      <w:pPr>
        <w:pStyle w:val="Heading3"/>
        <w:spacing w:before="281" w:after="0" w:line="276" w:lineRule="auto"/>
        <w:jc w:val="both"/>
        <w:rPr>
          <w:rFonts w:ascii="Times New Roman" w:eastAsia="Times New Roman" w:hAnsi="Times New Roman" w:cs="Times New Roman"/>
          <w:color w:val="auto"/>
          <w:sz w:val="24"/>
          <w:szCs w:val="24"/>
        </w:rPr>
      </w:pPr>
      <w:r w:rsidRPr="6B15F84B">
        <w:rPr>
          <w:rFonts w:ascii="Times New Roman" w:eastAsia="Times New Roman" w:hAnsi="Times New Roman" w:cs="Times New Roman"/>
          <w:b/>
          <w:bCs/>
          <w:color w:val="auto"/>
          <w:sz w:val="24"/>
          <w:szCs w:val="24"/>
        </w:rPr>
        <w:t>Time to Maturity:</w:t>
      </w:r>
      <w:r w:rsidRPr="6B15F84B">
        <w:rPr>
          <w:rFonts w:ascii="Times New Roman" w:eastAsia="Times New Roman" w:hAnsi="Times New Roman" w:cs="Times New Roman"/>
          <w:color w:val="auto"/>
          <w:sz w:val="24"/>
          <w:szCs w:val="24"/>
        </w:rPr>
        <w:t xml:space="preserve"> Lease period or time available for extracting the gold</w:t>
      </w:r>
      <w:r w:rsidR="005C572C">
        <w:rPr>
          <w:rFonts w:ascii="Times New Roman" w:eastAsia="Times New Roman" w:hAnsi="Times New Roman" w:cs="Times New Roman"/>
          <w:color w:val="auto"/>
          <w:sz w:val="24"/>
          <w:szCs w:val="24"/>
        </w:rPr>
        <w:t xml:space="preserve"> is 16 years.</w:t>
      </w:r>
    </w:p>
    <w:p w14:paraId="576412B7" w14:textId="7E34ADA2" w:rsidR="7607D7C4" w:rsidRDefault="7607D7C4" w:rsidP="00571335">
      <w:pPr>
        <w:pStyle w:val="Heading3"/>
        <w:spacing w:before="281" w:after="0" w:line="276" w:lineRule="auto"/>
        <w:jc w:val="both"/>
        <w:rPr>
          <w:rFonts w:ascii="Times New Roman" w:eastAsia="Times New Roman" w:hAnsi="Times New Roman" w:cs="Times New Roman"/>
          <w:color w:val="auto"/>
          <w:sz w:val="24"/>
          <w:szCs w:val="24"/>
        </w:rPr>
      </w:pPr>
      <w:r w:rsidRPr="6B15F84B">
        <w:rPr>
          <w:rFonts w:ascii="Times New Roman" w:eastAsia="Times New Roman" w:hAnsi="Times New Roman" w:cs="Times New Roman"/>
          <w:b/>
          <w:bCs/>
          <w:color w:val="auto"/>
          <w:sz w:val="24"/>
          <w:szCs w:val="24"/>
        </w:rPr>
        <w:t xml:space="preserve">Volatility: </w:t>
      </w:r>
      <w:r w:rsidRPr="6B15F84B">
        <w:rPr>
          <w:rFonts w:ascii="Times New Roman" w:eastAsia="Times New Roman" w:hAnsi="Times New Roman" w:cs="Times New Roman"/>
          <w:color w:val="auto"/>
          <w:sz w:val="24"/>
          <w:szCs w:val="24"/>
        </w:rPr>
        <w:t>Annualized standard deviation of monthly percentage changes in gold prices (around 20% as per historical data).</w:t>
      </w:r>
    </w:p>
    <w:p w14:paraId="247E7275" w14:textId="254DF155" w:rsidR="7607D7C4" w:rsidRDefault="7607D7C4" w:rsidP="00571335">
      <w:pPr>
        <w:pStyle w:val="Heading3"/>
        <w:spacing w:before="281" w:after="0" w:line="276" w:lineRule="auto"/>
        <w:jc w:val="both"/>
        <w:rPr>
          <w:rFonts w:ascii="Times New Roman" w:eastAsia="Times New Roman" w:hAnsi="Times New Roman" w:cs="Times New Roman"/>
          <w:color w:val="auto"/>
          <w:sz w:val="24"/>
          <w:szCs w:val="24"/>
        </w:rPr>
      </w:pPr>
      <w:r w:rsidRPr="4C49C12D">
        <w:rPr>
          <w:rFonts w:ascii="Times New Roman" w:eastAsia="Times New Roman" w:hAnsi="Times New Roman" w:cs="Times New Roman"/>
          <w:b/>
          <w:bCs/>
          <w:color w:val="auto"/>
          <w:sz w:val="24"/>
          <w:szCs w:val="24"/>
        </w:rPr>
        <w:t>Risk-Free Rate:</w:t>
      </w:r>
      <w:r w:rsidRPr="4C49C12D">
        <w:rPr>
          <w:rFonts w:ascii="Times New Roman" w:eastAsia="Times New Roman" w:hAnsi="Times New Roman" w:cs="Times New Roman"/>
          <w:color w:val="auto"/>
          <w:sz w:val="24"/>
          <w:szCs w:val="24"/>
        </w:rPr>
        <w:t xml:space="preserve"> Use the long-term government bond yield to maturity as the risk-free rate</w:t>
      </w:r>
      <w:r w:rsidR="797CA994" w:rsidRPr="4C49C12D">
        <w:rPr>
          <w:rFonts w:ascii="Times New Roman" w:eastAsia="Times New Roman" w:hAnsi="Times New Roman" w:cs="Times New Roman"/>
          <w:color w:val="auto"/>
          <w:sz w:val="24"/>
          <w:szCs w:val="24"/>
        </w:rPr>
        <w:t xml:space="preserve"> which is 5</w:t>
      </w:r>
      <w:r w:rsidR="041E0E24" w:rsidRPr="4C49C12D">
        <w:rPr>
          <w:rFonts w:ascii="Times New Roman" w:eastAsia="Times New Roman" w:hAnsi="Times New Roman" w:cs="Times New Roman"/>
          <w:color w:val="auto"/>
          <w:sz w:val="24"/>
          <w:szCs w:val="24"/>
        </w:rPr>
        <w:t>.98</w:t>
      </w:r>
      <w:r w:rsidR="797CA994" w:rsidRPr="4C49C12D">
        <w:rPr>
          <w:rFonts w:ascii="Times New Roman" w:eastAsia="Times New Roman" w:hAnsi="Times New Roman" w:cs="Times New Roman"/>
          <w:color w:val="auto"/>
          <w:sz w:val="24"/>
          <w:szCs w:val="24"/>
        </w:rPr>
        <w:t>%</w:t>
      </w:r>
      <w:r w:rsidRPr="4C49C12D">
        <w:rPr>
          <w:rFonts w:ascii="Times New Roman" w:eastAsia="Times New Roman" w:hAnsi="Times New Roman" w:cs="Times New Roman"/>
          <w:color w:val="auto"/>
          <w:sz w:val="24"/>
          <w:szCs w:val="24"/>
        </w:rPr>
        <w:t>.</w:t>
      </w:r>
    </w:p>
    <w:p w14:paraId="41A52DCD" w14:textId="32079701" w:rsidR="7607D7C4" w:rsidRDefault="7607D7C4" w:rsidP="00571335">
      <w:pPr>
        <w:pStyle w:val="Heading3"/>
        <w:spacing w:before="281" w:after="0" w:line="276" w:lineRule="auto"/>
        <w:jc w:val="both"/>
        <w:rPr>
          <w:rFonts w:ascii="Times New Roman" w:eastAsia="Times New Roman" w:hAnsi="Times New Roman" w:cs="Times New Roman"/>
          <w:color w:val="auto"/>
          <w:sz w:val="24"/>
          <w:szCs w:val="24"/>
        </w:rPr>
      </w:pPr>
      <w:r w:rsidRPr="6B15F84B">
        <w:rPr>
          <w:rFonts w:ascii="Times New Roman" w:eastAsia="Times New Roman" w:hAnsi="Times New Roman" w:cs="Times New Roman"/>
          <w:color w:val="auto"/>
          <w:sz w:val="24"/>
          <w:szCs w:val="24"/>
        </w:rPr>
        <w:t>The</w:t>
      </w:r>
      <w:r w:rsidR="2476232E" w:rsidRPr="6B15F84B">
        <w:rPr>
          <w:rFonts w:ascii="Times New Roman" w:eastAsia="Times New Roman" w:hAnsi="Times New Roman" w:cs="Times New Roman"/>
          <w:color w:val="auto"/>
          <w:sz w:val="24"/>
          <w:szCs w:val="24"/>
        </w:rPr>
        <w:t>se</w:t>
      </w:r>
      <w:r w:rsidRPr="6B15F84B">
        <w:rPr>
          <w:rFonts w:ascii="Times New Roman" w:eastAsia="Times New Roman" w:hAnsi="Times New Roman" w:cs="Times New Roman"/>
          <w:color w:val="auto"/>
          <w:sz w:val="24"/>
          <w:szCs w:val="24"/>
        </w:rPr>
        <w:t xml:space="preserve"> calculations </w:t>
      </w:r>
      <w:r w:rsidR="5B3DBD36" w:rsidRPr="6B15F84B">
        <w:rPr>
          <w:rFonts w:ascii="Times New Roman" w:eastAsia="Times New Roman" w:hAnsi="Times New Roman" w:cs="Times New Roman"/>
          <w:color w:val="auto"/>
          <w:sz w:val="24"/>
          <w:szCs w:val="24"/>
        </w:rPr>
        <w:t>are</w:t>
      </w:r>
      <w:r w:rsidRPr="6B15F84B">
        <w:rPr>
          <w:rFonts w:ascii="Times New Roman" w:eastAsia="Times New Roman" w:hAnsi="Times New Roman" w:cs="Times New Roman"/>
          <w:color w:val="auto"/>
          <w:sz w:val="24"/>
          <w:szCs w:val="24"/>
        </w:rPr>
        <w:t xml:space="preserve"> set up in the provided Excel spreadsheet</w:t>
      </w:r>
      <w:r w:rsidR="3F27B0B2" w:rsidRPr="6B15F84B">
        <w:rPr>
          <w:rFonts w:ascii="Times New Roman" w:eastAsia="Times New Roman" w:hAnsi="Times New Roman" w:cs="Times New Roman"/>
          <w:color w:val="auto"/>
          <w:sz w:val="24"/>
          <w:szCs w:val="24"/>
        </w:rPr>
        <w:t xml:space="preserve"> BS-Options Pricing </w:t>
      </w:r>
      <w:r w:rsidRPr="6B15F84B">
        <w:rPr>
          <w:rFonts w:ascii="Times New Roman" w:eastAsia="Times New Roman" w:hAnsi="Times New Roman" w:cs="Times New Roman"/>
          <w:color w:val="auto"/>
          <w:sz w:val="24"/>
          <w:szCs w:val="24"/>
        </w:rPr>
        <w:t>to determine the option value of the unmined gold. This option value represents the flexibility embedded in AEM’s operations that DCF alone cannot capture.</w:t>
      </w:r>
    </w:p>
    <w:p w14:paraId="7D0B5E21" w14:textId="1D3FC133" w:rsidR="6B15F84B" w:rsidRDefault="6B15F84B" w:rsidP="00571335">
      <w:pPr>
        <w:spacing w:after="0" w:line="276" w:lineRule="auto"/>
        <w:jc w:val="both"/>
      </w:pPr>
    </w:p>
    <w:p w14:paraId="1ADC96E7" w14:textId="77777777" w:rsidR="00C61350" w:rsidRDefault="00C61350" w:rsidP="00571335">
      <w:pPr>
        <w:spacing w:after="0" w:line="276" w:lineRule="auto"/>
        <w:jc w:val="both"/>
        <w:rPr>
          <w:rFonts w:ascii="Times New Roman" w:eastAsia="Times New Roman" w:hAnsi="Times New Roman" w:cs="Times New Roman"/>
        </w:rPr>
      </w:pPr>
    </w:p>
    <w:p w14:paraId="0B0E0CBB" w14:textId="5C2992FC" w:rsidR="6B15F84B" w:rsidRDefault="21E69B2B" w:rsidP="00571335">
      <w:pPr>
        <w:spacing w:after="0" w:line="276" w:lineRule="auto"/>
        <w:jc w:val="both"/>
        <w:rPr>
          <w:rFonts w:ascii="Times New Roman" w:eastAsia="Times New Roman" w:hAnsi="Times New Roman" w:cs="Times New Roman"/>
          <w:b/>
          <w:bCs/>
        </w:rPr>
      </w:pPr>
      <w:r w:rsidRPr="4C49C12D">
        <w:rPr>
          <w:rFonts w:ascii="Times New Roman" w:eastAsia="Times New Roman" w:hAnsi="Times New Roman" w:cs="Times New Roman"/>
          <w:b/>
          <w:bCs/>
        </w:rPr>
        <w:t>Step-by-Step Calculation:</w:t>
      </w:r>
    </w:p>
    <w:p w14:paraId="43B14D6B" w14:textId="6173F52E" w:rsidR="6B15F84B" w:rsidRDefault="21E69B2B" w:rsidP="00571335">
      <w:pPr>
        <w:pStyle w:val="ListParagraph"/>
        <w:numPr>
          <w:ilvl w:val="0"/>
          <w:numId w:val="1"/>
        </w:numPr>
        <w:spacing w:after="0" w:line="276" w:lineRule="auto"/>
        <w:jc w:val="both"/>
        <w:rPr>
          <w:rFonts w:ascii="Times New Roman" w:eastAsia="Times New Roman" w:hAnsi="Times New Roman" w:cs="Times New Roman"/>
        </w:rPr>
      </w:pPr>
      <w:r w:rsidRPr="4C49C12D">
        <w:rPr>
          <w:rFonts w:ascii="Times New Roman" w:eastAsia="Times New Roman" w:hAnsi="Times New Roman" w:cs="Times New Roman"/>
        </w:rPr>
        <w:t>Identify the Tax Shield Amount: For each year, the amount of tax shield equals the taxable income reduction due to carryforwards multiplied by the tax rate.</w:t>
      </w:r>
    </w:p>
    <w:p w14:paraId="3E857D90" w14:textId="6C8B4510" w:rsidR="6B15F84B" w:rsidRDefault="21E69B2B" w:rsidP="00571335">
      <w:pPr>
        <w:pStyle w:val="ListParagraph"/>
        <w:numPr>
          <w:ilvl w:val="0"/>
          <w:numId w:val="1"/>
        </w:numPr>
        <w:spacing w:after="0" w:line="276" w:lineRule="auto"/>
        <w:jc w:val="both"/>
        <w:rPr>
          <w:rFonts w:ascii="Times New Roman" w:eastAsia="Times New Roman" w:hAnsi="Times New Roman" w:cs="Times New Roman"/>
        </w:rPr>
      </w:pPr>
      <w:r w:rsidRPr="4C49C12D">
        <w:rPr>
          <w:rFonts w:ascii="Times New Roman" w:eastAsia="Times New Roman" w:hAnsi="Times New Roman" w:cs="Times New Roman"/>
        </w:rPr>
        <w:t xml:space="preserve">Discount the Future Tax Shields: The tax shield for each year is discounted using the </w:t>
      </w:r>
      <w:r w:rsidR="30D3FEE9" w:rsidRPr="4C49C12D">
        <w:rPr>
          <w:rFonts w:ascii="Times New Roman" w:eastAsia="Times New Roman" w:hAnsi="Times New Roman" w:cs="Times New Roman"/>
        </w:rPr>
        <w:t>before</w:t>
      </w:r>
      <w:r w:rsidRPr="4C49C12D">
        <w:rPr>
          <w:rFonts w:ascii="Times New Roman" w:eastAsia="Times New Roman" w:hAnsi="Times New Roman" w:cs="Times New Roman"/>
        </w:rPr>
        <w:t xml:space="preserve">-tax cost of debt. In AEM's case, the cost of debt is approximately </w:t>
      </w:r>
      <w:r w:rsidR="789D184E" w:rsidRPr="4C49C12D">
        <w:rPr>
          <w:rFonts w:ascii="Times New Roman" w:eastAsia="Times New Roman" w:hAnsi="Times New Roman" w:cs="Times New Roman"/>
        </w:rPr>
        <w:t>14.82</w:t>
      </w:r>
      <w:r w:rsidRPr="4C49C12D">
        <w:rPr>
          <w:rFonts w:ascii="Times New Roman" w:eastAsia="Times New Roman" w:hAnsi="Times New Roman" w:cs="Times New Roman"/>
        </w:rPr>
        <w:t xml:space="preserve">% to </w:t>
      </w:r>
      <w:r w:rsidR="1F77E4CB" w:rsidRPr="4C49C12D">
        <w:rPr>
          <w:rFonts w:ascii="Times New Roman" w:eastAsia="Times New Roman" w:hAnsi="Times New Roman" w:cs="Times New Roman"/>
        </w:rPr>
        <w:t>16.67</w:t>
      </w:r>
      <w:r w:rsidRPr="4C49C12D">
        <w:rPr>
          <w:rFonts w:ascii="Times New Roman" w:eastAsia="Times New Roman" w:hAnsi="Times New Roman" w:cs="Times New Roman"/>
        </w:rPr>
        <w:t>%, depending on the year.</w:t>
      </w:r>
    </w:p>
    <w:p w14:paraId="1D61F45C" w14:textId="1B82C936" w:rsidR="6B15F84B" w:rsidRDefault="21E69B2B" w:rsidP="00571335">
      <w:pPr>
        <w:pStyle w:val="ListParagraph"/>
        <w:numPr>
          <w:ilvl w:val="0"/>
          <w:numId w:val="1"/>
        </w:numPr>
        <w:spacing w:after="0" w:line="276" w:lineRule="auto"/>
        <w:jc w:val="both"/>
        <w:rPr>
          <w:rFonts w:ascii="Times New Roman" w:eastAsia="Times New Roman" w:hAnsi="Times New Roman" w:cs="Times New Roman"/>
        </w:rPr>
      </w:pPr>
      <w:r w:rsidRPr="4C49C12D">
        <w:rPr>
          <w:rFonts w:ascii="Times New Roman" w:eastAsia="Times New Roman" w:hAnsi="Times New Roman" w:cs="Times New Roman"/>
        </w:rPr>
        <w:t>Calculate the PV of Tax Shields: Sum the discounted tax shields over the relevant years (until 2008 for tax loss carryforwards and an additional eight years for development expense carryforwards).</w:t>
      </w:r>
    </w:p>
    <w:p w14:paraId="32A887B4" w14:textId="77777777" w:rsidR="005E49E1" w:rsidRPr="004C16FD" w:rsidRDefault="005E49E1" w:rsidP="00571335">
      <w:pPr>
        <w:pStyle w:val="ListParagraph"/>
        <w:spacing w:after="0" w:line="276" w:lineRule="auto"/>
        <w:jc w:val="both"/>
        <w:rPr>
          <w:rFonts w:ascii="Times New Roman" w:eastAsia="Times New Roman" w:hAnsi="Times New Roman" w:cs="Times New Roman"/>
          <w:b/>
          <w:bCs/>
          <w:sz w:val="28"/>
          <w:szCs w:val="28"/>
        </w:rPr>
      </w:pPr>
    </w:p>
    <w:p w14:paraId="7BDC814E" w14:textId="66E38A37" w:rsidR="0089417A" w:rsidRPr="004C16FD" w:rsidRDefault="0089417A" w:rsidP="00571335">
      <w:pPr>
        <w:spacing w:after="0" w:line="276" w:lineRule="auto"/>
        <w:jc w:val="both"/>
        <w:rPr>
          <w:rFonts w:ascii="Times New Roman" w:eastAsia="Times New Roman" w:hAnsi="Times New Roman" w:cs="Times New Roman"/>
          <w:b/>
          <w:bCs/>
          <w:sz w:val="28"/>
          <w:szCs w:val="28"/>
        </w:rPr>
      </w:pPr>
      <w:r w:rsidRPr="004C16FD">
        <w:rPr>
          <w:rFonts w:ascii="Times New Roman" w:eastAsia="Times New Roman" w:hAnsi="Times New Roman" w:cs="Times New Roman"/>
          <w:b/>
          <w:bCs/>
          <w:sz w:val="28"/>
          <w:szCs w:val="28"/>
        </w:rPr>
        <w:t>5.0 Appendix</w:t>
      </w:r>
    </w:p>
    <w:p w14:paraId="416ACA81" w14:textId="77777777" w:rsidR="0089417A" w:rsidRDefault="0089417A" w:rsidP="00571335">
      <w:pPr>
        <w:spacing w:after="0" w:line="276" w:lineRule="auto"/>
        <w:jc w:val="both"/>
        <w:rPr>
          <w:rFonts w:ascii="Times New Roman" w:eastAsia="Times New Roman" w:hAnsi="Times New Roman" w:cs="Times New Roman"/>
        </w:rPr>
      </w:pPr>
    </w:p>
    <w:p w14:paraId="26FD572F" w14:textId="498B8B5C" w:rsidR="0089417A" w:rsidRDefault="00096CAF" w:rsidP="00571335">
      <w:pPr>
        <w:pStyle w:val="ListParagraph"/>
        <w:numPr>
          <w:ilvl w:val="0"/>
          <w:numId w:val="10"/>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DCF Valuation</w:t>
      </w:r>
    </w:p>
    <w:p w14:paraId="5E4326EF" w14:textId="77777777" w:rsidR="00AF7172" w:rsidRDefault="00AF7172" w:rsidP="00571335">
      <w:pPr>
        <w:pStyle w:val="ListParagraph"/>
        <w:spacing w:after="0" w:line="276" w:lineRule="auto"/>
        <w:ind w:left="1080"/>
        <w:jc w:val="both"/>
        <w:rPr>
          <w:rFonts w:ascii="Times New Roman" w:eastAsia="Times New Roman" w:hAnsi="Times New Roman" w:cs="Times New Roman"/>
        </w:rPr>
      </w:pPr>
    </w:p>
    <w:p w14:paraId="5FEEC3FA" w14:textId="48CD16ED" w:rsidR="00096CAF" w:rsidRPr="00AF7172" w:rsidRDefault="00AF7172" w:rsidP="00571335">
      <w:pPr>
        <w:spacing w:after="0" w:line="276" w:lineRule="auto"/>
        <w:ind w:left="360"/>
        <w:jc w:val="both"/>
        <w:rPr>
          <w:rFonts w:ascii="Times New Roman" w:eastAsia="Times New Roman" w:hAnsi="Times New Roman" w:cs="Times New Roman"/>
        </w:rPr>
      </w:pPr>
      <w:r w:rsidRPr="00AF7172">
        <w:rPr>
          <w:rFonts w:ascii="Times New Roman" w:eastAsia="Times New Roman" w:hAnsi="Times New Roman" w:cs="Times New Roman"/>
        </w:rPr>
        <w:drawing>
          <wp:inline distT="0" distB="0" distL="0" distR="0" wp14:anchorId="7EF56ED1" wp14:editId="4E6E8EC3">
            <wp:extent cx="5943600" cy="3140710"/>
            <wp:effectExtent l="0" t="0" r="0" b="2540"/>
            <wp:docPr id="1605809266"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09266" name="Picture 1" descr="A screenshot of a spreadsheet&#10;&#10;Description automatically generated"/>
                    <pic:cNvPicPr/>
                  </pic:nvPicPr>
                  <pic:blipFill>
                    <a:blip r:embed="rId7"/>
                    <a:stretch>
                      <a:fillRect/>
                    </a:stretch>
                  </pic:blipFill>
                  <pic:spPr>
                    <a:xfrm>
                      <a:off x="0" y="0"/>
                      <a:ext cx="5943600" cy="3140710"/>
                    </a:xfrm>
                    <a:prstGeom prst="rect">
                      <a:avLst/>
                    </a:prstGeom>
                  </pic:spPr>
                </pic:pic>
              </a:graphicData>
            </a:graphic>
          </wp:inline>
        </w:drawing>
      </w:r>
    </w:p>
    <w:p w14:paraId="53D0C506" w14:textId="77777777" w:rsidR="0089417A" w:rsidRDefault="0089417A" w:rsidP="00571335">
      <w:pPr>
        <w:spacing w:after="0" w:line="276" w:lineRule="auto"/>
        <w:jc w:val="both"/>
        <w:rPr>
          <w:rFonts w:ascii="Times New Roman" w:eastAsia="Times New Roman" w:hAnsi="Times New Roman" w:cs="Times New Roman"/>
        </w:rPr>
      </w:pPr>
    </w:p>
    <w:p w14:paraId="515D674A" w14:textId="77777777" w:rsidR="005E49E1" w:rsidRDefault="005E49E1" w:rsidP="00571335">
      <w:pPr>
        <w:spacing w:after="0" w:line="276" w:lineRule="auto"/>
        <w:jc w:val="both"/>
        <w:rPr>
          <w:rFonts w:ascii="Times New Roman" w:eastAsia="Times New Roman" w:hAnsi="Times New Roman" w:cs="Times New Roman"/>
        </w:rPr>
      </w:pPr>
    </w:p>
    <w:p w14:paraId="30E1599F" w14:textId="77777777" w:rsidR="005E49E1" w:rsidRDefault="005E49E1" w:rsidP="00571335">
      <w:pPr>
        <w:spacing w:after="0" w:line="276" w:lineRule="auto"/>
        <w:jc w:val="both"/>
        <w:rPr>
          <w:rFonts w:ascii="Times New Roman" w:eastAsia="Times New Roman" w:hAnsi="Times New Roman" w:cs="Times New Roman"/>
        </w:rPr>
      </w:pPr>
    </w:p>
    <w:p w14:paraId="0E7B2E9F" w14:textId="77777777" w:rsidR="005E49E1" w:rsidRDefault="005E49E1" w:rsidP="00571335">
      <w:pPr>
        <w:spacing w:after="0" w:line="276" w:lineRule="auto"/>
        <w:jc w:val="both"/>
        <w:rPr>
          <w:rFonts w:ascii="Times New Roman" w:eastAsia="Times New Roman" w:hAnsi="Times New Roman" w:cs="Times New Roman"/>
        </w:rPr>
      </w:pPr>
    </w:p>
    <w:p w14:paraId="07A74117" w14:textId="77777777" w:rsidR="005E49E1" w:rsidRDefault="005E49E1" w:rsidP="00571335">
      <w:pPr>
        <w:spacing w:after="0" w:line="276" w:lineRule="auto"/>
        <w:jc w:val="both"/>
        <w:rPr>
          <w:rFonts w:ascii="Times New Roman" w:eastAsia="Times New Roman" w:hAnsi="Times New Roman" w:cs="Times New Roman"/>
        </w:rPr>
      </w:pPr>
    </w:p>
    <w:p w14:paraId="5375246D" w14:textId="77777777" w:rsidR="005E49E1" w:rsidRDefault="005E49E1" w:rsidP="00571335">
      <w:pPr>
        <w:spacing w:after="0" w:line="276" w:lineRule="auto"/>
        <w:jc w:val="both"/>
        <w:rPr>
          <w:rFonts w:ascii="Times New Roman" w:eastAsia="Times New Roman" w:hAnsi="Times New Roman" w:cs="Times New Roman"/>
        </w:rPr>
      </w:pPr>
    </w:p>
    <w:p w14:paraId="2B3B8EF6" w14:textId="77777777" w:rsidR="005E49E1" w:rsidRDefault="005E49E1" w:rsidP="00571335">
      <w:pPr>
        <w:spacing w:after="0" w:line="276" w:lineRule="auto"/>
        <w:jc w:val="both"/>
        <w:rPr>
          <w:rFonts w:ascii="Times New Roman" w:eastAsia="Times New Roman" w:hAnsi="Times New Roman" w:cs="Times New Roman"/>
        </w:rPr>
      </w:pPr>
    </w:p>
    <w:p w14:paraId="358862B9" w14:textId="77777777" w:rsidR="005E49E1" w:rsidRDefault="005E49E1" w:rsidP="00571335">
      <w:pPr>
        <w:spacing w:after="0" w:line="276" w:lineRule="auto"/>
        <w:jc w:val="both"/>
        <w:rPr>
          <w:rFonts w:ascii="Times New Roman" w:eastAsia="Times New Roman" w:hAnsi="Times New Roman" w:cs="Times New Roman"/>
        </w:rPr>
      </w:pPr>
    </w:p>
    <w:p w14:paraId="0D57C7B8" w14:textId="77777777" w:rsidR="00F804B6" w:rsidRDefault="00F804B6" w:rsidP="00571335">
      <w:pPr>
        <w:spacing w:after="0" w:line="276" w:lineRule="auto"/>
        <w:jc w:val="both"/>
        <w:rPr>
          <w:rFonts w:ascii="Times New Roman" w:eastAsia="Times New Roman" w:hAnsi="Times New Roman" w:cs="Times New Roman"/>
        </w:rPr>
      </w:pPr>
    </w:p>
    <w:p w14:paraId="7158ED01" w14:textId="77777777" w:rsidR="001718A4" w:rsidRDefault="001718A4" w:rsidP="00571335">
      <w:pPr>
        <w:spacing w:after="0" w:line="276" w:lineRule="auto"/>
        <w:jc w:val="both"/>
        <w:rPr>
          <w:rFonts w:ascii="Times New Roman" w:eastAsia="Times New Roman" w:hAnsi="Times New Roman" w:cs="Times New Roman"/>
        </w:rPr>
      </w:pPr>
    </w:p>
    <w:p w14:paraId="57C93AD5" w14:textId="77777777" w:rsidR="00A72D90" w:rsidRPr="0089417A" w:rsidRDefault="00A72D90" w:rsidP="00571335">
      <w:pPr>
        <w:spacing w:after="0" w:line="276" w:lineRule="auto"/>
        <w:jc w:val="both"/>
        <w:rPr>
          <w:rFonts w:ascii="Times New Roman" w:eastAsia="Times New Roman" w:hAnsi="Times New Roman" w:cs="Times New Roman"/>
        </w:rPr>
      </w:pPr>
    </w:p>
    <w:p w14:paraId="37BC482D" w14:textId="1FC8D8C7" w:rsidR="6B15F84B" w:rsidRDefault="00EC7804" w:rsidP="00571335">
      <w:pPr>
        <w:pStyle w:val="ListParagraph"/>
        <w:numPr>
          <w:ilvl w:val="0"/>
          <w:numId w:val="10"/>
        </w:numPr>
        <w:spacing w:after="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Tax Shield Calculation</w:t>
      </w:r>
    </w:p>
    <w:p w14:paraId="2F222D9E" w14:textId="1E3FF986" w:rsidR="00EC7804" w:rsidRPr="00EC7804" w:rsidRDefault="00EC7804" w:rsidP="00571335">
      <w:pPr>
        <w:spacing w:after="0" w:line="276" w:lineRule="auto"/>
        <w:jc w:val="both"/>
        <w:rPr>
          <w:rFonts w:ascii="Times New Roman" w:eastAsia="Times New Roman" w:hAnsi="Times New Roman" w:cs="Times New Roman"/>
          <w:b/>
          <w:bCs/>
          <w:sz w:val="28"/>
          <w:szCs w:val="28"/>
        </w:rPr>
      </w:pPr>
      <w:r w:rsidRPr="00EC7804">
        <w:rPr>
          <w:rFonts w:ascii="Times New Roman" w:eastAsia="Times New Roman" w:hAnsi="Times New Roman" w:cs="Times New Roman"/>
          <w:b/>
          <w:bCs/>
          <w:sz w:val="28"/>
          <w:szCs w:val="28"/>
        </w:rPr>
        <w:drawing>
          <wp:inline distT="0" distB="0" distL="0" distR="0" wp14:anchorId="17544EC4" wp14:editId="02543DED">
            <wp:extent cx="5943600" cy="2206625"/>
            <wp:effectExtent l="0" t="0" r="0" b="3175"/>
            <wp:docPr id="1888565159"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65159" name="Picture 1" descr="A screenshot of a spreadsheet&#10;&#10;Description automatically generated"/>
                    <pic:cNvPicPr/>
                  </pic:nvPicPr>
                  <pic:blipFill>
                    <a:blip r:embed="rId8"/>
                    <a:stretch>
                      <a:fillRect/>
                    </a:stretch>
                  </pic:blipFill>
                  <pic:spPr>
                    <a:xfrm>
                      <a:off x="0" y="0"/>
                      <a:ext cx="5943600" cy="2206625"/>
                    </a:xfrm>
                    <a:prstGeom prst="rect">
                      <a:avLst/>
                    </a:prstGeom>
                  </pic:spPr>
                </pic:pic>
              </a:graphicData>
            </a:graphic>
          </wp:inline>
        </w:drawing>
      </w:r>
    </w:p>
    <w:p w14:paraId="731F9746" w14:textId="3ADF6718" w:rsidR="6B15F84B" w:rsidRDefault="6B15F84B" w:rsidP="00571335">
      <w:pPr>
        <w:spacing w:after="0" w:line="276" w:lineRule="auto"/>
        <w:jc w:val="both"/>
        <w:rPr>
          <w:rFonts w:ascii="Times New Roman" w:eastAsia="Times New Roman" w:hAnsi="Times New Roman" w:cs="Times New Roman"/>
        </w:rPr>
      </w:pPr>
    </w:p>
    <w:p w14:paraId="1F7A9832" w14:textId="1A441AC7" w:rsidR="7D6BD03B" w:rsidRDefault="7D6BD03B" w:rsidP="00571335">
      <w:pPr>
        <w:spacing w:after="0" w:line="276" w:lineRule="auto"/>
        <w:jc w:val="both"/>
        <w:rPr>
          <w:rFonts w:ascii="Times New Roman" w:eastAsia="Times New Roman" w:hAnsi="Times New Roman" w:cs="Times New Roman"/>
        </w:rPr>
      </w:pPr>
    </w:p>
    <w:p w14:paraId="445514E1" w14:textId="0FDAC130" w:rsidR="442B91B2" w:rsidRDefault="442B91B2" w:rsidP="00571335">
      <w:pPr>
        <w:spacing w:after="0" w:line="276" w:lineRule="auto"/>
        <w:jc w:val="both"/>
        <w:rPr>
          <w:rFonts w:ascii="Times New Roman" w:eastAsia="Times New Roman" w:hAnsi="Times New Roman" w:cs="Times New Roman"/>
          <w:b/>
          <w:bCs/>
          <w:sz w:val="28"/>
          <w:szCs w:val="28"/>
        </w:rPr>
      </w:pPr>
    </w:p>
    <w:p w14:paraId="296896D3" w14:textId="30E91B8F" w:rsidR="00EC7804" w:rsidRDefault="004C16FD" w:rsidP="00571335">
      <w:pPr>
        <w:pStyle w:val="ListParagraph"/>
        <w:numPr>
          <w:ilvl w:val="0"/>
          <w:numId w:val="10"/>
        </w:numPr>
        <w:spacing w:after="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Real Option Valuation</w:t>
      </w:r>
    </w:p>
    <w:p w14:paraId="2EB15C80" w14:textId="47E40A8D" w:rsidR="004C16FD" w:rsidRPr="004C16FD" w:rsidRDefault="004C16FD" w:rsidP="00571335">
      <w:pPr>
        <w:spacing w:after="0" w:line="276" w:lineRule="auto"/>
        <w:jc w:val="both"/>
        <w:rPr>
          <w:rFonts w:ascii="Times New Roman" w:eastAsia="Times New Roman" w:hAnsi="Times New Roman" w:cs="Times New Roman"/>
          <w:b/>
          <w:bCs/>
          <w:sz w:val="28"/>
          <w:szCs w:val="28"/>
        </w:rPr>
      </w:pPr>
      <w:r w:rsidRPr="004C16FD">
        <w:rPr>
          <w:rFonts w:ascii="Times New Roman" w:eastAsia="Times New Roman" w:hAnsi="Times New Roman" w:cs="Times New Roman"/>
          <w:b/>
          <w:bCs/>
          <w:sz w:val="28"/>
          <w:szCs w:val="28"/>
        </w:rPr>
        <w:drawing>
          <wp:inline distT="0" distB="0" distL="0" distR="0" wp14:anchorId="127591C0" wp14:editId="48CD8758">
            <wp:extent cx="6115050" cy="3153563"/>
            <wp:effectExtent l="0" t="0" r="0" b="8890"/>
            <wp:docPr id="909892339"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92339" name="Picture 1" descr="A screenshot of a document&#10;&#10;Description automatically generated"/>
                    <pic:cNvPicPr/>
                  </pic:nvPicPr>
                  <pic:blipFill>
                    <a:blip r:embed="rId9"/>
                    <a:stretch>
                      <a:fillRect/>
                    </a:stretch>
                  </pic:blipFill>
                  <pic:spPr>
                    <a:xfrm>
                      <a:off x="0" y="0"/>
                      <a:ext cx="6118380" cy="3155280"/>
                    </a:xfrm>
                    <a:prstGeom prst="rect">
                      <a:avLst/>
                    </a:prstGeom>
                  </pic:spPr>
                </pic:pic>
              </a:graphicData>
            </a:graphic>
          </wp:inline>
        </w:drawing>
      </w:r>
    </w:p>
    <w:sectPr w:rsidR="004C16FD" w:rsidRPr="004C16FD" w:rsidSect="007B68E6">
      <w:headerReference w:type="default" r:id="rId10"/>
      <w:footerReference w:type="default" r:id="rId11"/>
      <w:pgSz w:w="12240" w:h="15840"/>
      <w:pgMar w:top="117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F38EEA" w14:textId="77777777" w:rsidR="00DD4A6C" w:rsidRDefault="00DD4A6C" w:rsidP="003A2A6D">
      <w:pPr>
        <w:spacing w:after="0" w:line="240" w:lineRule="auto"/>
      </w:pPr>
      <w:r>
        <w:separator/>
      </w:r>
    </w:p>
  </w:endnote>
  <w:endnote w:type="continuationSeparator" w:id="0">
    <w:p w14:paraId="0FC00433" w14:textId="77777777" w:rsidR="00DD4A6C" w:rsidRDefault="00DD4A6C" w:rsidP="003A2A6D">
      <w:pPr>
        <w:spacing w:after="0" w:line="240" w:lineRule="auto"/>
      </w:pPr>
      <w:r>
        <w:continuationSeparator/>
      </w:r>
    </w:p>
  </w:endnote>
  <w:endnote w:type="continuationNotice" w:id="1">
    <w:p w14:paraId="146026B8" w14:textId="77777777" w:rsidR="00DD4A6C" w:rsidRDefault="00DD4A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3038969"/>
      <w:docPartObj>
        <w:docPartGallery w:val="Page Numbers (Bottom of Page)"/>
        <w:docPartUnique/>
      </w:docPartObj>
    </w:sdtPr>
    <w:sdtEndPr>
      <w:rPr>
        <w:noProof/>
      </w:rPr>
    </w:sdtEndPr>
    <w:sdtContent>
      <w:p w14:paraId="084D74CD" w14:textId="79BBB016" w:rsidR="003A2A6D" w:rsidRDefault="003A2A6D">
        <w:pPr>
          <w:pStyle w:val="Footer"/>
        </w:pPr>
        <w:r>
          <w:fldChar w:fldCharType="begin"/>
        </w:r>
        <w:r>
          <w:instrText xml:space="preserve"> PAGE   \* MERGEFORMAT </w:instrText>
        </w:r>
        <w:r>
          <w:fldChar w:fldCharType="separate"/>
        </w:r>
        <w:r>
          <w:rPr>
            <w:noProof/>
          </w:rPr>
          <w:t>2</w:t>
        </w:r>
        <w:r>
          <w:rPr>
            <w:noProof/>
          </w:rPr>
          <w:fldChar w:fldCharType="end"/>
        </w:r>
      </w:p>
    </w:sdtContent>
  </w:sdt>
  <w:p w14:paraId="6D616169" w14:textId="77777777" w:rsidR="003A2A6D" w:rsidRDefault="003A2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D140CF" w14:textId="77777777" w:rsidR="00DD4A6C" w:rsidRDefault="00DD4A6C" w:rsidP="003A2A6D">
      <w:pPr>
        <w:spacing w:after="0" w:line="240" w:lineRule="auto"/>
      </w:pPr>
      <w:r>
        <w:separator/>
      </w:r>
    </w:p>
  </w:footnote>
  <w:footnote w:type="continuationSeparator" w:id="0">
    <w:p w14:paraId="65A648AA" w14:textId="77777777" w:rsidR="00DD4A6C" w:rsidRDefault="00DD4A6C" w:rsidP="003A2A6D">
      <w:pPr>
        <w:spacing w:after="0" w:line="240" w:lineRule="auto"/>
      </w:pPr>
      <w:r>
        <w:continuationSeparator/>
      </w:r>
    </w:p>
  </w:footnote>
  <w:footnote w:type="continuationNotice" w:id="1">
    <w:p w14:paraId="74EFD90B" w14:textId="77777777" w:rsidR="00DD4A6C" w:rsidRDefault="00DD4A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57C79" w14:textId="52051A89" w:rsidR="003A2A6D" w:rsidRDefault="5329CC59">
    <w:pPr>
      <w:pStyle w:val="Header"/>
    </w:pPr>
    <w:r>
      <w:t xml:space="preserve">Abdoulie Bah, Alexei Habermehl, Mustafa </w:t>
    </w:r>
    <w:proofErr w:type="spellStart"/>
    <w:r>
      <w:t>Abuelrish</w:t>
    </w:r>
    <w:proofErr w:type="spellEnd"/>
    <w:r>
      <w:t>, Victory Ejim</w:t>
    </w:r>
  </w:p>
  <w:p w14:paraId="2A01F57F" w14:textId="77777777" w:rsidR="003A2A6D" w:rsidRDefault="003A2A6D">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05C38"/>
    <w:multiLevelType w:val="hybridMultilevel"/>
    <w:tmpl w:val="6E44C21A"/>
    <w:lvl w:ilvl="0" w:tplc="79427E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46128"/>
    <w:multiLevelType w:val="hybridMultilevel"/>
    <w:tmpl w:val="9B98ACB8"/>
    <w:lvl w:ilvl="0" w:tplc="79A4F2C8">
      <w:start w:val="1"/>
      <w:numFmt w:val="decimal"/>
      <w:lvlText w:val="%1."/>
      <w:lvlJc w:val="left"/>
      <w:pPr>
        <w:ind w:left="360" w:hanging="360"/>
      </w:pPr>
      <w:rPr>
        <w:rFonts w:ascii="Calibri" w:hAnsi="Calibri" w:hint="default"/>
      </w:rPr>
    </w:lvl>
    <w:lvl w:ilvl="1" w:tplc="8D0EC828" w:tentative="1">
      <w:start w:val="1"/>
      <w:numFmt w:val="lowerLetter"/>
      <w:lvlText w:val="%2."/>
      <w:lvlJc w:val="left"/>
      <w:pPr>
        <w:ind w:left="1080" w:hanging="360"/>
      </w:pPr>
    </w:lvl>
    <w:lvl w:ilvl="2" w:tplc="33906158" w:tentative="1">
      <w:start w:val="1"/>
      <w:numFmt w:val="lowerRoman"/>
      <w:lvlText w:val="%3."/>
      <w:lvlJc w:val="right"/>
      <w:pPr>
        <w:ind w:left="1800" w:hanging="180"/>
      </w:pPr>
    </w:lvl>
    <w:lvl w:ilvl="3" w:tplc="DB08820E" w:tentative="1">
      <w:start w:val="1"/>
      <w:numFmt w:val="decimal"/>
      <w:lvlText w:val="%4."/>
      <w:lvlJc w:val="left"/>
      <w:pPr>
        <w:ind w:left="2520" w:hanging="360"/>
      </w:pPr>
    </w:lvl>
    <w:lvl w:ilvl="4" w:tplc="B5864780" w:tentative="1">
      <w:start w:val="1"/>
      <w:numFmt w:val="lowerLetter"/>
      <w:lvlText w:val="%5."/>
      <w:lvlJc w:val="left"/>
      <w:pPr>
        <w:ind w:left="3240" w:hanging="360"/>
      </w:pPr>
    </w:lvl>
    <w:lvl w:ilvl="5" w:tplc="8F3086FC" w:tentative="1">
      <w:start w:val="1"/>
      <w:numFmt w:val="lowerRoman"/>
      <w:lvlText w:val="%6."/>
      <w:lvlJc w:val="right"/>
      <w:pPr>
        <w:ind w:left="3960" w:hanging="180"/>
      </w:pPr>
    </w:lvl>
    <w:lvl w:ilvl="6" w:tplc="E5CEB180" w:tentative="1">
      <w:start w:val="1"/>
      <w:numFmt w:val="decimal"/>
      <w:lvlText w:val="%7."/>
      <w:lvlJc w:val="left"/>
      <w:pPr>
        <w:ind w:left="4680" w:hanging="360"/>
      </w:pPr>
    </w:lvl>
    <w:lvl w:ilvl="7" w:tplc="320E93AC" w:tentative="1">
      <w:start w:val="1"/>
      <w:numFmt w:val="lowerLetter"/>
      <w:lvlText w:val="%8."/>
      <w:lvlJc w:val="left"/>
      <w:pPr>
        <w:ind w:left="5400" w:hanging="360"/>
      </w:pPr>
    </w:lvl>
    <w:lvl w:ilvl="8" w:tplc="BFCC7AF2" w:tentative="1">
      <w:start w:val="1"/>
      <w:numFmt w:val="lowerRoman"/>
      <w:lvlText w:val="%9."/>
      <w:lvlJc w:val="right"/>
      <w:pPr>
        <w:ind w:left="6120" w:hanging="180"/>
      </w:pPr>
    </w:lvl>
  </w:abstractNum>
  <w:abstractNum w:abstractNumId="2" w15:restartNumberingAfterBreak="0">
    <w:nsid w:val="1EF14A80"/>
    <w:multiLevelType w:val="multilevel"/>
    <w:tmpl w:val="ADCC0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A26172"/>
    <w:multiLevelType w:val="multilevel"/>
    <w:tmpl w:val="21B4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7005B6"/>
    <w:multiLevelType w:val="hybridMultilevel"/>
    <w:tmpl w:val="FFFFFFFF"/>
    <w:lvl w:ilvl="0" w:tplc="621066E8">
      <w:start w:val="1"/>
      <w:numFmt w:val="bullet"/>
      <w:lvlText w:val=""/>
      <w:lvlJc w:val="left"/>
      <w:pPr>
        <w:ind w:left="720" w:hanging="360"/>
      </w:pPr>
      <w:rPr>
        <w:rFonts w:ascii="Symbol" w:hAnsi="Symbol" w:hint="default"/>
      </w:rPr>
    </w:lvl>
    <w:lvl w:ilvl="1" w:tplc="672A3090">
      <w:start w:val="1"/>
      <w:numFmt w:val="bullet"/>
      <w:lvlText w:val="o"/>
      <w:lvlJc w:val="left"/>
      <w:pPr>
        <w:ind w:left="1440" w:hanging="360"/>
      </w:pPr>
      <w:rPr>
        <w:rFonts w:ascii="Courier New" w:hAnsi="Courier New" w:hint="default"/>
      </w:rPr>
    </w:lvl>
    <w:lvl w:ilvl="2" w:tplc="64DEFC4A">
      <w:start w:val="1"/>
      <w:numFmt w:val="bullet"/>
      <w:lvlText w:val=""/>
      <w:lvlJc w:val="left"/>
      <w:pPr>
        <w:ind w:left="2160" w:hanging="360"/>
      </w:pPr>
      <w:rPr>
        <w:rFonts w:ascii="Wingdings" w:hAnsi="Wingdings" w:hint="default"/>
      </w:rPr>
    </w:lvl>
    <w:lvl w:ilvl="3" w:tplc="4E58F738">
      <w:start w:val="1"/>
      <w:numFmt w:val="bullet"/>
      <w:lvlText w:val=""/>
      <w:lvlJc w:val="left"/>
      <w:pPr>
        <w:ind w:left="2880" w:hanging="360"/>
      </w:pPr>
      <w:rPr>
        <w:rFonts w:ascii="Symbol" w:hAnsi="Symbol" w:hint="default"/>
      </w:rPr>
    </w:lvl>
    <w:lvl w:ilvl="4" w:tplc="AC329BBA">
      <w:start w:val="1"/>
      <w:numFmt w:val="bullet"/>
      <w:lvlText w:val="o"/>
      <w:lvlJc w:val="left"/>
      <w:pPr>
        <w:ind w:left="3600" w:hanging="360"/>
      </w:pPr>
      <w:rPr>
        <w:rFonts w:ascii="Courier New" w:hAnsi="Courier New" w:hint="default"/>
      </w:rPr>
    </w:lvl>
    <w:lvl w:ilvl="5" w:tplc="941C9DD0">
      <w:start w:val="1"/>
      <w:numFmt w:val="bullet"/>
      <w:lvlText w:val=""/>
      <w:lvlJc w:val="left"/>
      <w:pPr>
        <w:ind w:left="4320" w:hanging="360"/>
      </w:pPr>
      <w:rPr>
        <w:rFonts w:ascii="Wingdings" w:hAnsi="Wingdings" w:hint="default"/>
      </w:rPr>
    </w:lvl>
    <w:lvl w:ilvl="6" w:tplc="D924BBF2">
      <w:start w:val="1"/>
      <w:numFmt w:val="bullet"/>
      <w:lvlText w:val=""/>
      <w:lvlJc w:val="left"/>
      <w:pPr>
        <w:ind w:left="5040" w:hanging="360"/>
      </w:pPr>
      <w:rPr>
        <w:rFonts w:ascii="Symbol" w:hAnsi="Symbol" w:hint="default"/>
      </w:rPr>
    </w:lvl>
    <w:lvl w:ilvl="7" w:tplc="B47A191E">
      <w:start w:val="1"/>
      <w:numFmt w:val="bullet"/>
      <w:lvlText w:val="o"/>
      <w:lvlJc w:val="left"/>
      <w:pPr>
        <w:ind w:left="5760" w:hanging="360"/>
      </w:pPr>
      <w:rPr>
        <w:rFonts w:ascii="Courier New" w:hAnsi="Courier New" w:hint="default"/>
      </w:rPr>
    </w:lvl>
    <w:lvl w:ilvl="8" w:tplc="163A24D6">
      <w:start w:val="1"/>
      <w:numFmt w:val="bullet"/>
      <w:lvlText w:val=""/>
      <w:lvlJc w:val="left"/>
      <w:pPr>
        <w:ind w:left="6480" w:hanging="360"/>
      </w:pPr>
      <w:rPr>
        <w:rFonts w:ascii="Wingdings" w:hAnsi="Wingdings" w:hint="default"/>
      </w:rPr>
    </w:lvl>
  </w:abstractNum>
  <w:abstractNum w:abstractNumId="5" w15:restartNumberingAfterBreak="0">
    <w:nsid w:val="68875652"/>
    <w:multiLevelType w:val="hybridMultilevel"/>
    <w:tmpl w:val="C7081472"/>
    <w:lvl w:ilvl="0" w:tplc="5E507F18">
      <w:start w:val="1"/>
      <w:numFmt w:val="decimal"/>
      <w:lvlText w:val="%1."/>
      <w:lvlJc w:val="left"/>
      <w:pPr>
        <w:ind w:left="360" w:hanging="360"/>
      </w:pPr>
    </w:lvl>
    <w:lvl w:ilvl="1" w:tplc="55865E9E">
      <w:start w:val="1"/>
      <w:numFmt w:val="lowerLetter"/>
      <w:lvlText w:val="%2."/>
      <w:lvlJc w:val="left"/>
      <w:pPr>
        <w:ind w:left="1080" w:hanging="360"/>
      </w:pPr>
    </w:lvl>
    <w:lvl w:ilvl="2" w:tplc="51C436E8">
      <w:start w:val="1"/>
      <w:numFmt w:val="lowerRoman"/>
      <w:lvlText w:val="%3."/>
      <w:lvlJc w:val="right"/>
      <w:pPr>
        <w:ind w:left="1800" w:hanging="180"/>
      </w:pPr>
    </w:lvl>
    <w:lvl w:ilvl="3" w:tplc="B3100D42">
      <w:start w:val="1"/>
      <w:numFmt w:val="decimal"/>
      <w:lvlText w:val="%4."/>
      <w:lvlJc w:val="left"/>
      <w:pPr>
        <w:ind w:left="2520" w:hanging="360"/>
      </w:pPr>
    </w:lvl>
    <w:lvl w:ilvl="4" w:tplc="D890B4CE">
      <w:start w:val="1"/>
      <w:numFmt w:val="lowerLetter"/>
      <w:lvlText w:val="%5."/>
      <w:lvlJc w:val="left"/>
      <w:pPr>
        <w:ind w:left="3240" w:hanging="360"/>
      </w:pPr>
    </w:lvl>
    <w:lvl w:ilvl="5" w:tplc="DA0A538A">
      <w:start w:val="1"/>
      <w:numFmt w:val="lowerRoman"/>
      <w:lvlText w:val="%6."/>
      <w:lvlJc w:val="right"/>
      <w:pPr>
        <w:ind w:left="3960" w:hanging="180"/>
      </w:pPr>
    </w:lvl>
    <w:lvl w:ilvl="6" w:tplc="6E588264">
      <w:start w:val="1"/>
      <w:numFmt w:val="decimal"/>
      <w:lvlText w:val="%7."/>
      <w:lvlJc w:val="left"/>
      <w:pPr>
        <w:ind w:left="4680" w:hanging="360"/>
      </w:pPr>
    </w:lvl>
    <w:lvl w:ilvl="7" w:tplc="A7D29E08">
      <w:start w:val="1"/>
      <w:numFmt w:val="lowerLetter"/>
      <w:lvlText w:val="%8."/>
      <w:lvlJc w:val="left"/>
      <w:pPr>
        <w:ind w:left="5400" w:hanging="360"/>
      </w:pPr>
    </w:lvl>
    <w:lvl w:ilvl="8" w:tplc="0C8E270C">
      <w:start w:val="1"/>
      <w:numFmt w:val="lowerRoman"/>
      <w:lvlText w:val="%9."/>
      <w:lvlJc w:val="right"/>
      <w:pPr>
        <w:ind w:left="6120" w:hanging="180"/>
      </w:pPr>
    </w:lvl>
  </w:abstractNum>
  <w:abstractNum w:abstractNumId="6" w15:restartNumberingAfterBreak="0">
    <w:nsid w:val="6A687B6B"/>
    <w:multiLevelType w:val="hybridMultilevel"/>
    <w:tmpl w:val="FFFFFFFF"/>
    <w:lvl w:ilvl="0" w:tplc="226AA4DC">
      <w:start w:val="1"/>
      <w:numFmt w:val="decimal"/>
      <w:lvlText w:val="%1."/>
      <w:lvlJc w:val="left"/>
      <w:pPr>
        <w:ind w:left="720" w:hanging="360"/>
      </w:pPr>
    </w:lvl>
    <w:lvl w:ilvl="1" w:tplc="FCCA62B2">
      <w:start w:val="1"/>
      <w:numFmt w:val="lowerLetter"/>
      <w:lvlText w:val="%2."/>
      <w:lvlJc w:val="left"/>
      <w:pPr>
        <w:ind w:left="1440" w:hanging="360"/>
      </w:pPr>
    </w:lvl>
    <w:lvl w:ilvl="2" w:tplc="B63CCAB8">
      <w:start w:val="1"/>
      <w:numFmt w:val="lowerRoman"/>
      <w:lvlText w:val="%3."/>
      <w:lvlJc w:val="right"/>
      <w:pPr>
        <w:ind w:left="2160" w:hanging="180"/>
      </w:pPr>
    </w:lvl>
    <w:lvl w:ilvl="3" w:tplc="88CA4BC0">
      <w:start w:val="1"/>
      <w:numFmt w:val="decimal"/>
      <w:lvlText w:val="%4."/>
      <w:lvlJc w:val="left"/>
      <w:pPr>
        <w:ind w:left="2880" w:hanging="360"/>
      </w:pPr>
    </w:lvl>
    <w:lvl w:ilvl="4" w:tplc="9020865A">
      <w:start w:val="1"/>
      <w:numFmt w:val="lowerLetter"/>
      <w:lvlText w:val="%5."/>
      <w:lvlJc w:val="left"/>
      <w:pPr>
        <w:ind w:left="3600" w:hanging="360"/>
      </w:pPr>
    </w:lvl>
    <w:lvl w:ilvl="5" w:tplc="CF441C16">
      <w:start w:val="1"/>
      <w:numFmt w:val="lowerRoman"/>
      <w:lvlText w:val="%6."/>
      <w:lvlJc w:val="right"/>
      <w:pPr>
        <w:ind w:left="4320" w:hanging="180"/>
      </w:pPr>
    </w:lvl>
    <w:lvl w:ilvl="6" w:tplc="031EFC1E">
      <w:start w:val="1"/>
      <w:numFmt w:val="decimal"/>
      <w:lvlText w:val="%7."/>
      <w:lvlJc w:val="left"/>
      <w:pPr>
        <w:ind w:left="5040" w:hanging="360"/>
      </w:pPr>
    </w:lvl>
    <w:lvl w:ilvl="7" w:tplc="A2AE8D96">
      <w:start w:val="1"/>
      <w:numFmt w:val="lowerLetter"/>
      <w:lvlText w:val="%8."/>
      <w:lvlJc w:val="left"/>
      <w:pPr>
        <w:ind w:left="5760" w:hanging="360"/>
      </w:pPr>
    </w:lvl>
    <w:lvl w:ilvl="8" w:tplc="1B502AD4">
      <w:start w:val="1"/>
      <w:numFmt w:val="lowerRoman"/>
      <w:lvlText w:val="%9."/>
      <w:lvlJc w:val="right"/>
      <w:pPr>
        <w:ind w:left="6480" w:hanging="180"/>
      </w:pPr>
    </w:lvl>
  </w:abstractNum>
  <w:abstractNum w:abstractNumId="7" w15:restartNumberingAfterBreak="0">
    <w:nsid w:val="6FBAC9B8"/>
    <w:multiLevelType w:val="hybridMultilevel"/>
    <w:tmpl w:val="FFFFFFFF"/>
    <w:lvl w:ilvl="0" w:tplc="379E1DAE">
      <w:start w:val="1"/>
      <w:numFmt w:val="bullet"/>
      <w:lvlText w:val=""/>
      <w:lvlJc w:val="left"/>
      <w:pPr>
        <w:ind w:left="720" w:hanging="360"/>
      </w:pPr>
      <w:rPr>
        <w:rFonts w:ascii="Symbol" w:hAnsi="Symbol" w:hint="default"/>
      </w:rPr>
    </w:lvl>
    <w:lvl w:ilvl="1" w:tplc="F514AFB2">
      <w:start w:val="1"/>
      <w:numFmt w:val="bullet"/>
      <w:lvlText w:val="o"/>
      <w:lvlJc w:val="left"/>
      <w:pPr>
        <w:ind w:left="1440" w:hanging="360"/>
      </w:pPr>
      <w:rPr>
        <w:rFonts w:ascii="Courier New" w:hAnsi="Courier New" w:hint="default"/>
      </w:rPr>
    </w:lvl>
    <w:lvl w:ilvl="2" w:tplc="D226A15E">
      <w:start w:val="1"/>
      <w:numFmt w:val="bullet"/>
      <w:lvlText w:val=""/>
      <w:lvlJc w:val="left"/>
      <w:pPr>
        <w:ind w:left="2160" w:hanging="360"/>
      </w:pPr>
      <w:rPr>
        <w:rFonts w:ascii="Wingdings" w:hAnsi="Wingdings" w:hint="default"/>
      </w:rPr>
    </w:lvl>
    <w:lvl w:ilvl="3" w:tplc="FFC60A38">
      <w:start w:val="1"/>
      <w:numFmt w:val="bullet"/>
      <w:lvlText w:val=""/>
      <w:lvlJc w:val="left"/>
      <w:pPr>
        <w:ind w:left="2880" w:hanging="360"/>
      </w:pPr>
      <w:rPr>
        <w:rFonts w:ascii="Symbol" w:hAnsi="Symbol" w:hint="default"/>
      </w:rPr>
    </w:lvl>
    <w:lvl w:ilvl="4" w:tplc="479A3900">
      <w:start w:val="1"/>
      <w:numFmt w:val="bullet"/>
      <w:lvlText w:val="o"/>
      <w:lvlJc w:val="left"/>
      <w:pPr>
        <w:ind w:left="3600" w:hanging="360"/>
      </w:pPr>
      <w:rPr>
        <w:rFonts w:ascii="Courier New" w:hAnsi="Courier New" w:hint="default"/>
      </w:rPr>
    </w:lvl>
    <w:lvl w:ilvl="5" w:tplc="3E2A215A">
      <w:start w:val="1"/>
      <w:numFmt w:val="bullet"/>
      <w:lvlText w:val=""/>
      <w:lvlJc w:val="left"/>
      <w:pPr>
        <w:ind w:left="4320" w:hanging="360"/>
      </w:pPr>
      <w:rPr>
        <w:rFonts w:ascii="Wingdings" w:hAnsi="Wingdings" w:hint="default"/>
      </w:rPr>
    </w:lvl>
    <w:lvl w:ilvl="6" w:tplc="FC3083FC">
      <w:start w:val="1"/>
      <w:numFmt w:val="bullet"/>
      <w:lvlText w:val=""/>
      <w:lvlJc w:val="left"/>
      <w:pPr>
        <w:ind w:left="5040" w:hanging="360"/>
      </w:pPr>
      <w:rPr>
        <w:rFonts w:ascii="Symbol" w:hAnsi="Symbol" w:hint="default"/>
      </w:rPr>
    </w:lvl>
    <w:lvl w:ilvl="7" w:tplc="E398BCD2">
      <w:start w:val="1"/>
      <w:numFmt w:val="bullet"/>
      <w:lvlText w:val="o"/>
      <w:lvlJc w:val="left"/>
      <w:pPr>
        <w:ind w:left="5760" w:hanging="360"/>
      </w:pPr>
      <w:rPr>
        <w:rFonts w:ascii="Courier New" w:hAnsi="Courier New" w:hint="default"/>
      </w:rPr>
    </w:lvl>
    <w:lvl w:ilvl="8" w:tplc="4DFAFBF4">
      <w:start w:val="1"/>
      <w:numFmt w:val="bullet"/>
      <w:lvlText w:val=""/>
      <w:lvlJc w:val="left"/>
      <w:pPr>
        <w:ind w:left="6480" w:hanging="360"/>
      </w:pPr>
      <w:rPr>
        <w:rFonts w:ascii="Wingdings" w:hAnsi="Wingdings" w:hint="default"/>
      </w:rPr>
    </w:lvl>
  </w:abstractNum>
  <w:abstractNum w:abstractNumId="8" w15:restartNumberingAfterBreak="0">
    <w:nsid w:val="71D2559F"/>
    <w:multiLevelType w:val="multilevel"/>
    <w:tmpl w:val="E10E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53D8E0"/>
    <w:multiLevelType w:val="hybridMultilevel"/>
    <w:tmpl w:val="FFFFFFFF"/>
    <w:lvl w:ilvl="0" w:tplc="31563574">
      <w:start w:val="1"/>
      <w:numFmt w:val="bullet"/>
      <w:lvlText w:val=""/>
      <w:lvlJc w:val="left"/>
      <w:pPr>
        <w:ind w:left="720" w:hanging="360"/>
      </w:pPr>
      <w:rPr>
        <w:rFonts w:ascii="Symbol" w:hAnsi="Symbol" w:hint="default"/>
      </w:rPr>
    </w:lvl>
    <w:lvl w:ilvl="1" w:tplc="2AB48C7A">
      <w:start w:val="1"/>
      <w:numFmt w:val="bullet"/>
      <w:lvlText w:val="o"/>
      <w:lvlJc w:val="left"/>
      <w:pPr>
        <w:ind w:left="1440" w:hanging="360"/>
      </w:pPr>
      <w:rPr>
        <w:rFonts w:ascii="Courier New" w:hAnsi="Courier New" w:hint="default"/>
      </w:rPr>
    </w:lvl>
    <w:lvl w:ilvl="2" w:tplc="8E689056">
      <w:start w:val="1"/>
      <w:numFmt w:val="bullet"/>
      <w:lvlText w:val=""/>
      <w:lvlJc w:val="left"/>
      <w:pPr>
        <w:ind w:left="2160" w:hanging="360"/>
      </w:pPr>
      <w:rPr>
        <w:rFonts w:ascii="Wingdings" w:hAnsi="Wingdings" w:hint="default"/>
      </w:rPr>
    </w:lvl>
    <w:lvl w:ilvl="3" w:tplc="C3180B86">
      <w:start w:val="1"/>
      <w:numFmt w:val="bullet"/>
      <w:lvlText w:val=""/>
      <w:lvlJc w:val="left"/>
      <w:pPr>
        <w:ind w:left="2880" w:hanging="360"/>
      </w:pPr>
      <w:rPr>
        <w:rFonts w:ascii="Symbol" w:hAnsi="Symbol" w:hint="default"/>
      </w:rPr>
    </w:lvl>
    <w:lvl w:ilvl="4" w:tplc="5A56F06C">
      <w:start w:val="1"/>
      <w:numFmt w:val="bullet"/>
      <w:lvlText w:val="o"/>
      <w:lvlJc w:val="left"/>
      <w:pPr>
        <w:ind w:left="3600" w:hanging="360"/>
      </w:pPr>
      <w:rPr>
        <w:rFonts w:ascii="Courier New" w:hAnsi="Courier New" w:hint="default"/>
      </w:rPr>
    </w:lvl>
    <w:lvl w:ilvl="5" w:tplc="F6BA0174">
      <w:start w:val="1"/>
      <w:numFmt w:val="bullet"/>
      <w:lvlText w:val=""/>
      <w:lvlJc w:val="left"/>
      <w:pPr>
        <w:ind w:left="4320" w:hanging="360"/>
      </w:pPr>
      <w:rPr>
        <w:rFonts w:ascii="Wingdings" w:hAnsi="Wingdings" w:hint="default"/>
      </w:rPr>
    </w:lvl>
    <w:lvl w:ilvl="6" w:tplc="31F4B13A">
      <w:start w:val="1"/>
      <w:numFmt w:val="bullet"/>
      <w:lvlText w:val=""/>
      <w:lvlJc w:val="left"/>
      <w:pPr>
        <w:ind w:left="5040" w:hanging="360"/>
      </w:pPr>
      <w:rPr>
        <w:rFonts w:ascii="Symbol" w:hAnsi="Symbol" w:hint="default"/>
      </w:rPr>
    </w:lvl>
    <w:lvl w:ilvl="7" w:tplc="934A12DC">
      <w:start w:val="1"/>
      <w:numFmt w:val="bullet"/>
      <w:lvlText w:val="o"/>
      <w:lvlJc w:val="left"/>
      <w:pPr>
        <w:ind w:left="5760" w:hanging="360"/>
      </w:pPr>
      <w:rPr>
        <w:rFonts w:ascii="Courier New" w:hAnsi="Courier New" w:hint="default"/>
      </w:rPr>
    </w:lvl>
    <w:lvl w:ilvl="8" w:tplc="E214A046">
      <w:start w:val="1"/>
      <w:numFmt w:val="bullet"/>
      <w:lvlText w:val=""/>
      <w:lvlJc w:val="left"/>
      <w:pPr>
        <w:ind w:left="6480" w:hanging="360"/>
      </w:pPr>
      <w:rPr>
        <w:rFonts w:ascii="Wingdings" w:hAnsi="Wingdings" w:hint="default"/>
      </w:rPr>
    </w:lvl>
  </w:abstractNum>
  <w:num w:numId="1" w16cid:durableId="926570775">
    <w:abstractNumId w:val="4"/>
  </w:num>
  <w:num w:numId="2" w16cid:durableId="751436967">
    <w:abstractNumId w:val="7"/>
  </w:num>
  <w:num w:numId="3" w16cid:durableId="1170289469">
    <w:abstractNumId w:val="5"/>
  </w:num>
  <w:num w:numId="4" w16cid:durableId="1672638984">
    <w:abstractNumId w:val="6"/>
  </w:num>
  <w:num w:numId="5" w16cid:durableId="1632134225">
    <w:abstractNumId w:val="3"/>
  </w:num>
  <w:num w:numId="6" w16cid:durableId="799374914">
    <w:abstractNumId w:val="2"/>
  </w:num>
  <w:num w:numId="7" w16cid:durableId="1358236542">
    <w:abstractNumId w:val="8"/>
  </w:num>
  <w:num w:numId="8" w16cid:durableId="1524394512">
    <w:abstractNumId w:val="9"/>
  </w:num>
  <w:num w:numId="9" w16cid:durableId="560603486">
    <w:abstractNumId w:val="1"/>
  </w:num>
  <w:num w:numId="10" w16cid:durableId="173291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E4100C"/>
    <w:rsid w:val="0000251F"/>
    <w:rsid w:val="00013F40"/>
    <w:rsid w:val="00034B67"/>
    <w:rsid w:val="00052F61"/>
    <w:rsid w:val="00060FF5"/>
    <w:rsid w:val="00062E4E"/>
    <w:rsid w:val="00066FF4"/>
    <w:rsid w:val="00070781"/>
    <w:rsid w:val="00071AAD"/>
    <w:rsid w:val="00074625"/>
    <w:rsid w:val="00083F83"/>
    <w:rsid w:val="00084700"/>
    <w:rsid w:val="000920DB"/>
    <w:rsid w:val="00096CAF"/>
    <w:rsid w:val="000A4E5E"/>
    <w:rsid w:val="000B5578"/>
    <w:rsid w:val="000B78D3"/>
    <w:rsid w:val="000C2B0A"/>
    <w:rsid w:val="000C72F8"/>
    <w:rsid w:val="000F139D"/>
    <w:rsid w:val="000F4D94"/>
    <w:rsid w:val="00117BAD"/>
    <w:rsid w:val="00123B2F"/>
    <w:rsid w:val="00133C70"/>
    <w:rsid w:val="00141FFF"/>
    <w:rsid w:val="001433AE"/>
    <w:rsid w:val="0014422B"/>
    <w:rsid w:val="00150266"/>
    <w:rsid w:val="001554AD"/>
    <w:rsid w:val="001606DC"/>
    <w:rsid w:val="00166825"/>
    <w:rsid w:val="001718A4"/>
    <w:rsid w:val="00174F1E"/>
    <w:rsid w:val="001913F0"/>
    <w:rsid w:val="0019623F"/>
    <w:rsid w:val="001974FC"/>
    <w:rsid w:val="001A3872"/>
    <w:rsid w:val="001A42F0"/>
    <w:rsid w:val="001B177D"/>
    <w:rsid w:val="001B7EF9"/>
    <w:rsid w:val="001C6A14"/>
    <w:rsid w:val="001D28DF"/>
    <w:rsid w:val="001D7CCF"/>
    <w:rsid w:val="001E049B"/>
    <w:rsid w:val="001E4DDA"/>
    <w:rsid w:val="001F0DA0"/>
    <w:rsid w:val="00210DE2"/>
    <w:rsid w:val="002203C7"/>
    <w:rsid w:val="0022395F"/>
    <w:rsid w:val="00241928"/>
    <w:rsid w:val="00257AF5"/>
    <w:rsid w:val="002601EA"/>
    <w:rsid w:val="002833B4"/>
    <w:rsid w:val="00285923"/>
    <w:rsid w:val="0029166A"/>
    <w:rsid w:val="002A497E"/>
    <w:rsid w:val="002E4F72"/>
    <w:rsid w:val="00301637"/>
    <w:rsid w:val="00302828"/>
    <w:rsid w:val="00310BBC"/>
    <w:rsid w:val="00320B18"/>
    <w:rsid w:val="00321471"/>
    <w:rsid w:val="00326378"/>
    <w:rsid w:val="00331225"/>
    <w:rsid w:val="003434BB"/>
    <w:rsid w:val="00350D61"/>
    <w:rsid w:val="0035223F"/>
    <w:rsid w:val="00353800"/>
    <w:rsid w:val="0036584F"/>
    <w:rsid w:val="0038010F"/>
    <w:rsid w:val="00395BA6"/>
    <w:rsid w:val="00396568"/>
    <w:rsid w:val="003968CE"/>
    <w:rsid w:val="003A2A6D"/>
    <w:rsid w:val="003C1628"/>
    <w:rsid w:val="003C5FF4"/>
    <w:rsid w:val="003D03F1"/>
    <w:rsid w:val="00415607"/>
    <w:rsid w:val="00416CFD"/>
    <w:rsid w:val="00432382"/>
    <w:rsid w:val="0043351F"/>
    <w:rsid w:val="00435F35"/>
    <w:rsid w:val="00441EC4"/>
    <w:rsid w:val="0046268B"/>
    <w:rsid w:val="00462C76"/>
    <w:rsid w:val="00463515"/>
    <w:rsid w:val="004717A5"/>
    <w:rsid w:val="00474F82"/>
    <w:rsid w:val="00481FB4"/>
    <w:rsid w:val="004901F0"/>
    <w:rsid w:val="004969A4"/>
    <w:rsid w:val="004A5466"/>
    <w:rsid w:val="004B1E11"/>
    <w:rsid w:val="004C16FD"/>
    <w:rsid w:val="004C33C9"/>
    <w:rsid w:val="004C565C"/>
    <w:rsid w:val="004D15B9"/>
    <w:rsid w:val="004D4A88"/>
    <w:rsid w:val="004F5BAF"/>
    <w:rsid w:val="0050785A"/>
    <w:rsid w:val="00516CD8"/>
    <w:rsid w:val="0052036D"/>
    <w:rsid w:val="00530F94"/>
    <w:rsid w:val="00537A0A"/>
    <w:rsid w:val="00546DAE"/>
    <w:rsid w:val="00560934"/>
    <w:rsid w:val="00563F10"/>
    <w:rsid w:val="00571335"/>
    <w:rsid w:val="005713C8"/>
    <w:rsid w:val="00572477"/>
    <w:rsid w:val="00595132"/>
    <w:rsid w:val="00595DCB"/>
    <w:rsid w:val="005A4CD9"/>
    <w:rsid w:val="005A6D1D"/>
    <w:rsid w:val="005C0ADF"/>
    <w:rsid w:val="005C572C"/>
    <w:rsid w:val="005E49E1"/>
    <w:rsid w:val="005E70D4"/>
    <w:rsid w:val="005F192C"/>
    <w:rsid w:val="0060377A"/>
    <w:rsid w:val="006045CD"/>
    <w:rsid w:val="00610408"/>
    <w:rsid w:val="006316EE"/>
    <w:rsid w:val="006330CB"/>
    <w:rsid w:val="00637306"/>
    <w:rsid w:val="0067594F"/>
    <w:rsid w:val="00676DE8"/>
    <w:rsid w:val="00686CEB"/>
    <w:rsid w:val="00697E38"/>
    <w:rsid w:val="006A5966"/>
    <w:rsid w:val="006B5C91"/>
    <w:rsid w:val="006F0163"/>
    <w:rsid w:val="00706E2B"/>
    <w:rsid w:val="007417B4"/>
    <w:rsid w:val="007914E9"/>
    <w:rsid w:val="007B68E6"/>
    <w:rsid w:val="007D15E6"/>
    <w:rsid w:val="007D2CD5"/>
    <w:rsid w:val="007E304F"/>
    <w:rsid w:val="007E7C68"/>
    <w:rsid w:val="00831243"/>
    <w:rsid w:val="0083456B"/>
    <w:rsid w:val="0085132D"/>
    <w:rsid w:val="008515B0"/>
    <w:rsid w:val="00874CE7"/>
    <w:rsid w:val="0089417A"/>
    <w:rsid w:val="008A5343"/>
    <w:rsid w:val="008B7B15"/>
    <w:rsid w:val="008F5B24"/>
    <w:rsid w:val="009243EA"/>
    <w:rsid w:val="00925851"/>
    <w:rsid w:val="00933CBB"/>
    <w:rsid w:val="00951947"/>
    <w:rsid w:val="00967160"/>
    <w:rsid w:val="009A14DE"/>
    <w:rsid w:val="009B6BD3"/>
    <w:rsid w:val="009D22BB"/>
    <w:rsid w:val="00A72D90"/>
    <w:rsid w:val="00A82E8E"/>
    <w:rsid w:val="00A87281"/>
    <w:rsid w:val="00A940BD"/>
    <w:rsid w:val="00A959B5"/>
    <w:rsid w:val="00AC5335"/>
    <w:rsid w:val="00AC682E"/>
    <w:rsid w:val="00AF270B"/>
    <w:rsid w:val="00AF7172"/>
    <w:rsid w:val="00B03981"/>
    <w:rsid w:val="00B1268A"/>
    <w:rsid w:val="00B16B09"/>
    <w:rsid w:val="00B240C8"/>
    <w:rsid w:val="00B24C57"/>
    <w:rsid w:val="00B36CFB"/>
    <w:rsid w:val="00B420CA"/>
    <w:rsid w:val="00B431A3"/>
    <w:rsid w:val="00B47839"/>
    <w:rsid w:val="00B533BE"/>
    <w:rsid w:val="00B5573F"/>
    <w:rsid w:val="00B718DC"/>
    <w:rsid w:val="00B73C33"/>
    <w:rsid w:val="00BA3379"/>
    <w:rsid w:val="00BD111B"/>
    <w:rsid w:val="00BE4182"/>
    <w:rsid w:val="00BF29D9"/>
    <w:rsid w:val="00C02ED7"/>
    <w:rsid w:val="00C25BF4"/>
    <w:rsid w:val="00C42D0B"/>
    <w:rsid w:val="00C503B4"/>
    <w:rsid w:val="00C61350"/>
    <w:rsid w:val="00C64577"/>
    <w:rsid w:val="00C66CF9"/>
    <w:rsid w:val="00C714CF"/>
    <w:rsid w:val="00C75CAB"/>
    <w:rsid w:val="00C81850"/>
    <w:rsid w:val="00C83877"/>
    <w:rsid w:val="00CA0F0D"/>
    <w:rsid w:val="00CA10D1"/>
    <w:rsid w:val="00CC28BE"/>
    <w:rsid w:val="00CD3270"/>
    <w:rsid w:val="00CE619A"/>
    <w:rsid w:val="00CE694E"/>
    <w:rsid w:val="00CE6A0E"/>
    <w:rsid w:val="00CF4A72"/>
    <w:rsid w:val="00CF5068"/>
    <w:rsid w:val="00D15BAC"/>
    <w:rsid w:val="00D27C07"/>
    <w:rsid w:val="00D34672"/>
    <w:rsid w:val="00D5058A"/>
    <w:rsid w:val="00D509B5"/>
    <w:rsid w:val="00D71A24"/>
    <w:rsid w:val="00DC5583"/>
    <w:rsid w:val="00DD4A6C"/>
    <w:rsid w:val="00DD4CF9"/>
    <w:rsid w:val="00DD61F6"/>
    <w:rsid w:val="00DD6594"/>
    <w:rsid w:val="00DE139F"/>
    <w:rsid w:val="00DE586E"/>
    <w:rsid w:val="00DF30E2"/>
    <w:rsid w:val="00DF452A"/>
    <w:rsid w:val="00E268E5"/>
    <w:rsid w:val="00E31833"/>
    <w:rsid w:val="00E31B65"/>
    <w:rsid w:val="00E323FA"/>
    <w:rsid w:val="00E345FF"/>
    <w:rsid w:val="00E6411E"/>
    <w:rsid w:val="00E645C0"/>
    <w:rsid w:val="00E67AB1"/>
    <w:rsid w:val="00E74F35"/>
    <w:rsid w:val="00E75C48"/>
    <w:rsid w:val="00E76074"/>
    <w:rsid w:val="00E81E02"/>
    <w:rsid w:val="00EC193F"/>
    <w:rsid w:val="00EC2027"/>
    <w:rsid w:val="00EC2176"/>
    <w:rsid w:val="00EC61EE"/>
    <w:rsid w:val="00EC716B"/>
    <w:rsid w:val="00EC7804"/>
    <w:rsid w:val="00ED6451"/>
    <w:rsid w:val="00EE342F"/>
    <w:rsid w:val="00EE4E42"/>
    <w:rsid w:val="00EF7A40"/>
    <w:rsid w:val="00F01604"/>
    <w:rsid w:val="00F03F26"/>
    <w:rsid w:val="00F04EC3"/>
    <w:rsid w:val="00F1477B"/>
    <w:rsid w:val="00F166F7"/>
    <w:rsid w:val="00F37F2B"/>
    <w:rsid w:val="00F45C73"/>
    <w:rsid w:val="00F663C7"/>
    <w:rsid w:val="00F7647F"/>
    <w:rsid w:val="00F8049A"/>
    <w:rsid w:val="00F804B6"/>
    <w:rsid w:val="00F841BE"/>
    <w:rsid w:val="00F932E4"/>
    <w:rsid w:val="00F93FBC"/>
    <w:rsid w:val="00FA203B"/>
    <w:rsid w:val="00FA2753"/>
    <w:rsid w:val="00FA68D8"/>
    <w:rsid w:val="00FB0946"/>
    <w:rsid w:val="00FB2AF6"/>
    <w:rsid w:val="00FB453F"/>
    <w:rsid w:val="00FB5BA4"/>
    <w:rsid w:val="00FC2C21"/>
    <w:rsid w:val="00FE20CA"/>
    <w:rsid w:val="00FE65FC"/>
    <w:rsid w:val="00FE6968"/>
    <w:rsid w:val="00FE772A"/>
    <w:rsid w:val="0109C162"/>
    <w:rsid w:val="02238C33"/>
    <w:rsid w:val="03079A89"/>
    <w:rsid w:val="03263C83"/>
    <w:rsid w:val="041E0E24"/>
    <w:rsid w:val="04273F67"/>
    <w:rsid w:val="045BB7C0"/>
    <w:rsid w:val="049A69F8"/>
    <w:rsid w:val="04B26B91"/>
    <w:rsid w:val="04E150F5"/>
    <w:rsid w:val="05218BAB"/>
    <w:rsid w:val="052E20BB"/>
    <w:rsid w:val="0548C540"/>
    <w:rsid w:val="0558F193"/>
    <w:rsid w:val="058452C6"/>
    <w:rsid w:val="05FD2660"/>
    <w:rsid w:val="05FEB819"/>
    <w:rsid w:val="062AF92B"/>
    <w:rsid w:val="06F5D034"/>
    <w:rsid w:val="0700D0EA"/>
    <w:rsid w:val="0728DAA5"/>
    <w:rsid w:val="07F4BEEE"/>
    <w:rsid w:val="080311EB"/>
    <w:rsid w:val="08359A6A"/>
    <w:rsid w:val="089EB952"/>
    <w:rsid w:val="092FBDFE"/>
    <w:rsid w:val="093C6382"/>
    <w:rsid w:val="09C8BC9B"/>
    <w:rsid w:val="09FA80B4"/>
    <w:rsid w:val="0A761F49"/>
    <w:rsid w:val="0AB30CF5"/>
    <w:rsid w:val="0B800630"/>
    <w:rsid w:val="0B91A07C"/>
    <w:rsid w:val="0BD7190B"/>
    <w:rsid w:val="0BFEE0C7"/>
    <w:rsid w:val="0C1A8157"/>
    <w:rsid w:val="0C29DBFC"/>
    <w:rsid w:val="0CA9FEFC"/>
    <w:rsid w:val="0CC00C50"/>
    <w:rsid w:val="0D15282B"/>
    <w:rsid w:val="0D1B5B72"/>
    <w:rsid w:val="0DBD66DC"/>
    <w:rsid w:val="0E44556F"/>
    <w:rsid w:val="0E97F48D"/>
    <w:rsid w:val="0EC8CA07"/>
    <w:rsid w:val="0FE05014"/>
    <w:rsid w:val="0FF41AB8"/>
    <w:rsid w:val="1017AAD4"/>
    <w:rsid w:val="101FE1F1"/>
    <w:rsid w:val="107F0D95"/>
    <w:rsid w:val="10800DCD"/>
    <w:rsid w:val="10B02241"/>
    <w:rsid w:val="11BB4480"/>
    <w:rsid w:val="1206F2D7"/>
    <w:rsid w:val="1245B61E"/>
    <w:rsid w:val="12871D07"/>
    <w:rsid w:val="13122F56"/>
    <w:rsid w:val="13707DEC"/>
    <w:rsid w:val="13B5B242"/>
    <w:rsid w:val="13BF9F93"/>
    <w:rsid w:val="13F4E720"/>
    <w:rsid w:val="145EEEDD"/>
    <w:rsid w:val="147256F6"/>
    <w:rsid w:val="14DA268D"/>
    <w:rsid w:val="14DB9FF7"/>
    <w:rsid w:val="153E7D7B"/>
    <w:rsid w:val="15561232"/>
    <w:rsid w:val="158269EE"/>
    <w:rsid w:val="15AD7951"/>
    <w:rsid w:val="16282318"/>
    <w:rsid w:val="164AA9B5"/>
    <w:rsid w:val="164CDEFE"/>
    <w:rsid w:val="1679DD83"/>
    <w:rsid w:val="1683F591"/>
    <w:rsid w:val="16BA5542"/>
    <w:rsid w:val="17A07094"/>
    <w:rsid w:val="17B471F6"/>
    <w:rsid w:val="1888278A"/>
    <w:rsid w:val="18E6482F"/>
    <w:rsid w:val="191B0724"/>
    <w:rsid w:val="19226B72"/>
    <w:rsid w:val="1A35C5F4"/>
    <w:rsid w:val="1A58B9E0"/>
    <w:rsid w:val="1AC5998A"/>
    <w:rsid w:val="1AF77A97"/>
    <w:rsid w:val="1AF7E104"/>
    <w:rsid w:val="1B112F8A"/>
    <w:rsid w:val="1B1CE995"/>
    <w:rsid w:val="1B34C52F"/>
    <w:rsid w:val="1B6F7998"/>
    <w:rsid w:val="1B941CBC"/>
    <w:rsid w:val="1C64F361"/>
    <w:rsid w:val="1C6DC905"/>
    <w:rsid w:val="1D709FFE"/>
    <w:rsid w:val="1D782D83"/>
    <w:rsid w:val="1E1726B1"/>
    <w:rsid w:val="1E563750"/>
    <w:rsid w:val="1EE4100C"/>
    <w:rsid w:val="1EF224B5"/>
    <w:rsid w:val="1EFDB25B"/>
    <w:rsid w:val="1EFE894C"/>
    <w:rsid w:val="1F197818"/>
    <w:rsid w:val="1F3A8750"/>
    <w:rsid w:val="1F66A863"/>
    <w:rsid w:val="1F77E4CB"/>
    <w:rsid w:val="1F829E86"/>
    <w:rsid w:val="1FBAA948"/>
    <w:rsid w:val="20D8FA5A"/>
    <w:rsid w:val="2158B1F2"/>
    <w:rsid w:val="217123D8"/>
    <w:rsid w:val="21B1FF40"/>
    <w:rsid w:val="21C48DC1"/>
    <w:rsid w:val="21D9969A"/>
    <w:rsid w:val="21E54556"/>
    <w:rsid w:val="21E69B2B"/>
    <w:rsid w:val="227C68C0"/>
    <w:rsid w:val="22B1661D"/>
    <w:rsid w:val="22B6CC36"/>
    <w:rsid w:val="23553110"/>
    <w:rsid w:val="23C22E28"/>
    <w:rsid w:val="23CF5D03"/>
    <w:rsid w:val="23EBE24B"/>
    <w:rsid w:val="2444EA4E"/>
    <w:rsid w:val="245BE540"/>
    <w:rsid w:val="2476232E"/>
    <w:rsid w:val="2487F7F0"/>
    <w:rsid w:val="24B71E00"/>
    <w:rsid w:val="254739F9"/>
    <w:rsid w:val="25725889"/>
    <w:rsid w:val="2672E81B"/>
    <w:rsid w:val="27403801"/>
    <w:rsid w:val="27670702"/>
    <w:rsid w:val="27A175E5"/>
    <w:rsid w:val="27C93CC8"/>
    <w:rsid w:val="27CC6817"/>
    <w:rsid w:val="282D334F"/>
    <w:rsid w:val="288420CC"/>
    <w:rsid w:val="2904903C"/>
    <w:rsid w:val="292F7E1E"/>
    <w:rsid w:val="296D3109"/>
    <w:rsid w:val="2988787F"/>
    <w:rsid w:val="2A198C22"/>
    <w:rsid w:val="2A328190"/>
    <w:rsid w:val="2AACEA44"/>
    <w:rsid w:val="2B0E1A91"/>
    <w:rsid w:val="2B1BA6A8"/>
    <w:rsid w:val="2B528698"/>
    <w:rsid w:val="2B9204FD"/>
    <w:rsid w:val="2BDCE8AC"/>
    <w:rsid w:val="2C670016"/>
    <w:rsid w:val="2C8795B8"/>
    <w:rsid w:val="2CEEE18D"/>
    <w:rsid w:val="2DBCD50A"/>
    <w:rsid w:val="2DCA33D3"/>
    <w:rsid w:val="2E7093D0"/>
    <w:rsid w:val="2EE31882"/>
    <w:rsid w:val="2F1DB880"/>
    <w:rsid w:val="2F3B0D22"/>
    <w:rsid w:val="2F4A6D0B"/>
    <w:rsid w:val="2F82BB5A"/>
    <w:rsid w:val="2F9FB738"/>
    <w:rsid w:val="2FD6157B"/>
    <w:rsid w:val="2FF51D21"/>
    <w:rsid w:val="3045F439"/>
    <w:rsid w:val="3046838F"/>
    <w:rsid w:val="30D3FEE9"/>
    <w:rsid w:val="3117E102"/>
    <w:rsid w:val="31465082"/>
    <w:rsid w:val="31AAEB4D"/>
    <w:rsid w:val="31B8DDB7"/>
    <w:rsid w:val="323B278A"/>
    <w:rsid w:val="329C6658"/>
    <w:rsid w:val="3342CB2C"/>
    <w:rsid w:val="339D968C"/>
    <w:rsid w:val="3437EB08"/>
    <w:rsid w:val="34E3A750"/>
    <w:rsid w:val="3531EF26"/>
    <w:rsid w:val="355450EF"/>
    <w:rsid w:val="35A9471D"/>
    <w:rsid w:val="35E5A679"/>
    <w:rsid w:val="363D6220"/>
    <w:rsid w:val="36BB5E41"/>
    <w:rsid w:val="36C2F1D1"/>
    <w:rsid w:val="36CFFECB"/>
    <w:rsid w:val="3729F032"/>
    <w:rsid w:val="37EFE347"/>
    <w:rsid w:val="3912A581"/>
    <w:rsid w:val="391E751F"/>
    <w:rsid w:val="39366F57"/>
    <w:rsid w:val="3B0EA794"/>
    <w:rsid w:val="3B5CC0AE"/>
    <w:rsid w:val="3B7B04B7"/>
    <w:rsid w:val="3B95BBE4"/>
    <w:rsid w:val="3BE3E272"/>
    <w:rsid w:val="3BEF8A7A"/>
    <w:rsid w:val="3C4754DC"/>
    <w:rsid w:val="3C80A6C0"/>
    <w:rsid w:val="3CD60F34"/>
    <w:rsid w:val="3CF6D1EA"/>
    <w:rsid w:val="3D2CDA57"/>
    <w:rsid w:val="3D87C08E"/>
    <w:rsid w:val="3DCEF150"/>
    <w:rsid w:val="3EA4A271"/>
    <w:rsid w:val="3ECB2941"/>
    <w:rsid w:val="3EFA1A69"/>
    <w:rsid w:val="3F27B0B2"/>
    <w:rsid w:val="3F7D3436"/>
    <w:rsid w:val="3F97D5A0"/>
    <w:rsid w:val="3FD6A6D3"/>
    <w:rsid w:val="3FF493D4"/>
    <w:rsid w:val="4059F399"/>
    <w:rsid w:val="405C537B"/>
    <w:rsid w:val="40760762"/>
    <w:rsid w:val="407AF926"/>
    <w:rsid w:val="40A165EE"/>
    <w:rsid w:val="40AC0FB4"/>
    <w:rsid w:val="4128C642"/>
    <w:rsid w:val="41AED54C"/>
    <w:rsid w:val="41B91D79"/>
    <w:rsid w:val="41C32C9E"/>
    <w:rsid w:val="41D54DAB"/>
    <w:rsid w:val="4360BB26"/>
    <w:rsid w:val="4396EDA6"/>
    <w:rsid w:val="43CF287A"/>
    <w:rsid w:val="442B91B2"/>
    <w:rsid w:val="4434B77D"/>
    <w:rsid w:val="44376AE7"/>
    <w:rsid w:val="4455534B"/>
    <w:rsid w:val="448CF8D9"/>
    <w:rsid w:val="44D99562"/>
    <w:rsid w:val="45068F6E"/>
    <w:rsid w:val="452C0989"/>
    <w:rsid w:val="457891AF"/>
    <w:rsid w:val="45F84928"/>
    <w:rsid w:val="45FA25A0"/>
    <w:rsid w:val="46B01E89"/>
    <w:rsid w:val="46B891FF"/>
    <w:rsid w:val="470373B4"/>
    <w:rsid w:val="47F73B83"/>
    <w:rsid w:val="490AE2A4"/>
    <w:rsid w:val="498C9F14"/>
    <w:rsid w:val="49B2D772"/>
    <w:rsid w:val="49D31167"/>
    <w:rsid w:val="49E1AE78"/>
    <w:rsid w:val="49EA55E4"/>
    <w:rsid w:val="4AB8E736"/>
    <w:rsid w:val="4B72713E"/>
    <w:rsid w:val="4B76E38B"/>
    <w:rsid w:val="4C1CE1C4"/>
    <w:rsid w:val="4C49C12D"/>
    <w:rsid w:val="4C96C8E4"/>
    <w:rsid w:val="4C9D713F"/>
    <w:rsid w:val="4CD99E39"/>
    <w:rsid w:val="4D6794E2"/>
    <w:rsid w:val="4DB3DC22"/>
    <w:rsid w:val="4E341D5D"/>
    <w:rsid w:val="4E5C683D"/>
    <w:rsid w:val="4E7472D2"/>
    <w:rsid w:val="4E889369"/>
    <w:rsid w:val="4F32498E"/>
    <w:rsid w:val="50BE82D4"/>
    <w:rsid w:val="5134F220"/>
    <w:rsid w:val="51388133"/>
    <w:rsid w:val="51916DC9"/>
    <w:rsid w:val="519C03C7"/>
    <w:rsid w:val="51B3279B"/>
    <w:rsid w:val="51F8797A"/>
    <w:rsid w:val="51FB2187"/>
    <w:rsid w:val="525CAD64"/>
    <w:rsid w:val="5272009D"/>
    <w:rsid w:val="52A1C270"/>
    <w:rsid w:val="52ACD4C9"/>
    <w:rsid w:val="52D029A7"/>
    <w:rsid w:val="52FBE41F"/>
    <w:rsid w:val="5329CC59"/>
    <w:rsid w:val="53AC583F"/>
    <w:rsid w:val="53D34FEA"/>
    <w:rsid w:val="55AC7ABA"/>
    <w:rsid w:val="56205108"/>
    <w:rsid w:val="56E7A1F2"/>
    <w:rsid w:val="56FAA4F0"/>
    <w:rsid w:val="58071A0C"/>
    <w:rsid w:val="580A9522"/>
    <w:rsid w:val="584B8090"/>
    <w:rsid w:val="58672D1F"/>
    <w:rsid w:val="58881ADF"/>
    <w:rsid w:val="58C6E8BF"/>
    <w:rsid w:val="5910CC1D"/>
    <w:rsid w:val="5913E14C"/>
    <w:rsid w:val="59192771"/>
    <w:rsid w:val="593A4927"/>
    <w:rsid w:val="59A28262"/>
    <w:rsid w:val="5A2BC088"/>
    <w:rsid w:val="5AFD73E7"/>
    <w:rsid w:val="5B331E92"/>
    <w:rsid w:val="5B3DBD36"/>
    <w:rsid w:val="5CF3E1A6"/>
    <w:rsid w:val="5D00C04F"/>
    <w:rsid w:val="5D0C7803"/>
    <w:rsid w:val="5D7D7707"/>
    <w:rsid w:val="5DAF78A3"/>
    <w:rsid w:val="5DBDB85C"/>
    <w:rsid w:val="5E75BB63"/>
    <w:rsid w:val="5E88B1C8"/>
    <w:rsid w:val="5EF74915"/>
    <w:rsid w:val="5FBDAF12"/>
    <w:rsid w:val="5FFF8C8A"/>
    <w:rsid w:val="6022DFC4"/>
    <w:rsid w:val="603B4A58"/>
    <w:rsid w:val="6082097F"/>
    <w:rsid w:val="60AD3C69"/>
    <w:rsid w:val="60CD4388"/>
    <w:rsid w:val="60F0CA5C"/>
    <w:rsid w:val="60FCA052"/>
    <w:rsid w:val="616183BD"/>
    <w:rsid w:val="619F10B8"/>
    <w:rsid w:val="61CC8C2E"/>
    <w:rsid w:val="622C174F"/>
    <w:rsid w:val="62C5E241"/>
    <w:rsid w:val="630735D0"/>
    <w:rsid w:val="632A9F13"/>
    <w:rsid w:val="6361C1D3"/>
    <w:rsid w:val="63838341"/>
    <w:rsid w:val="642375E2"/>
    <w:rsid w:val="64FF4A13"/>
    <w:rsid w:val="65317655"/>
    <w:rsid w:val="65A3F014"/>
    <w:rsid w:val="65F76B06"/>
    <w:rsid w:val="6606A25F"/>
    <w:rsid w:val="663D32C3"/>
    <w:rsid w:val="66EDD4DD"/>
    <w:rsid w:val="672DBF1E"/>
    <w:rsid w:val="676DD35B"/>
    <w:rsid w:val="67787EB7"/>
    <w:rsid w:val="6778A4CE"/>
    <w:rsid w:val="68317E4A"/>
    <w:rsid w:val="68FAFB2F"/>
    <w:rsid w:val="69246B54"/>
    <w:rsid w:val="693C18C9"/>
    <w:rsid w:val="69577A8E"/>
    <w:rsid w:val="697BCF61"/>
    <w:rsid w:val="6994202D"/>
    <w:rsid w:val="699D1994"/>
    <w:rsid w:val="69F5F02D"/>
    <w:rsid w:val="6AA05C28"/>
    <w:rsid w:val="6AF6DFB3"/>
    <w:rsid w:val="6B15F84B"/>
    <w:rsid w:val="6B459EBF"/>
    <w:rsid w:val="6B90735F"/>
    <w:rsid w:val="6BF5FCA4"/>
    <w:rsid w:val="6C2785B8"/>
    <w:rsid w:val="6C93770F"/>
    <w:rsid w:val="6C9BEE61"/>
    <w:rsid w:val="6D1E88B2"/>
    <w:rsid w:val="6D4FBB41"/>
    <w:rsid w:val="6DDC22A7"/>
    <w:rsid w:val="6E92D00A"/>
    <w:rsid w:val="6EA214E7"/>
    <w:rsid w:val="6EB9D37F"/>
    <w:rsid w:val="6F2E4126"/>
    <w:rsid w:val="70379866"/>
    <w:rsid w:val="703EAE61"/>
    <w:rsid w:val="707EBBD5"/>
    <w:rsid w:val="70AA2B29"/>
    <w:rsid w:val="71657945"/>
    <w:rsid w:val="71695472"/>
    <w:rsid w:val="71CADFAC"/>
    <w:rsid w:val="71E8BBB8"/>
    <w:rsid w:val="723A2A59"/>
    <w:rsid w:val="73C9857B"/>
    <w:rsid w:val="73CFE009"/>
    <w:rsid w:val="74636982"/>
    <w:rsid w:val="74D8DAAC"/>
    <w:rsid w:val="74DA25D6"/>
    <w:rsid w:val="7516550E"/>
    <w:rsid w:val="75A4F3CE"/>
    <w:rsid w:val="75B3F81A"/>
    <w:rsid w:val="75B4D8B5"/>
    <w:rsid w:val="7605D738"/>
    <w:rsid w:val="7607D7C4"/>
    <w:rsid w:val="762B1560"/>
    <w:rsid w:val="7687E899"/>
    <w:rsid w:val="76E37351"/>
    <w:rsid w:val="771EB09D"/>
    <w:rsid w:val="773B77EC"/>
    <w:rsid w:val="7753950B"/>
    <w:rsid w:val="775C5AF5"/>
    <w:rsid w:val="775EB2E5"/>
    <w:rsid w:val="778105C6"/>
    <w:rsid w:val="7800064B"/>
    <w:rsid w:val="780098E2"/>
    <w:rsid w:val="781FE10F"/>
    <w:rsid w:val="7831679D"/>
    <w:rsid w:val="78856E78"/>
    <w:rsid w:val="78955A00"/>
    <w:rsid w:val="789D184E"/>
    <w:rsid w:val="78B1DAD0"/>
    <w:rsid w:val="78B30377"/>
    <w:rsid w:val="7918B047"/>
    <w:rsid w:val="793B2222"/>
    <w:rsid w:val="797CA994"/>
    <w:rsid w:val="79C7438A"/>
    <w:rsid w:val="7A57587D"/>
    <w:rsid w:val="7A63E1FB"/>
    <w:rsid w:val="7A8A3479"/>
    <w:rsid w:val="7BC3A83C"/>
    <w:rsid w:val="7C151C5E"/>
    <w:rsid w:val="7C205F03"/>
    <w:rsid w:val="7C3EEA47"/>
    <w:rsid w:val="7C6C7322"/>
    <w:rsid w:val="7D08CC24"/>
    <w:rsid w:val="7D47E970"/>
    <w:rsid w:val="7D4CA6D0"/>
    <w:rsid w:val="7D6BD03B"/>
    <w:rsid w:val="7D89A07D"/>
    <w:rsid w:val="7E6E035C"/>
    <w:rsid w:val="7E890E9B"/>
    <w:rsid w:val="7EC4C0DB"/>
    <w:rsid w:val="7F11576C"/>
    <w:rsid w:val="7F373CA7"/>
    <w:rsid w:val="7FF650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4100C"/>
  <w15:chartTrackingRefBased/>
  <w15:docId w15:val="{9A3E9705-B527-45D6-9A34-E719178B4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F2E4126"/>
    <w:pPr>
      <w:ind w:left="720"/>
      <w:contextualSpacing/>
    </w:pPr>
  </w:style>
  <w:style w:type="table" w:styleId="TableGrid">
    <w:name w:val="Table Grid"/>
    <w:basedOn w:val="TableNormal"/>
    <w:uiPriority w:val="59"/>
    <w:rsid w:val="005713C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2A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A6D"/>
  </w:style>
  <w:style w:type="paragraph" w:styleId="Footer">
    <w:name w:val="footer"/>
    <w:basedOn w:val="Normal"/>
    <w:link w:val="FooterChar"/>
    <w:uiPriority w:val="99"/>
    <w:unhideWhenUsed/>
    <w:rsid w:val="003A2A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A6D"/>
  </w:style>
  <w:style w:type="paragraph" w:styleId="NoSpacing">
    <w:name w:val="No Spacing"/>
    <w:uiPriority w:val="1"/>
    <w:qFormat/>
    <w:rsid w:val="6B15F84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390875">
      <w:bodyDiv w:val="1"/>
      <w:marLeft w:val="0"/>
      <w:marRight w:val="0"/>
      <w:marTop w:val="0"/>
      <w:marBottom w:val="0"/>
      <w:divBdr>
        <w:top w:val="none" w:sz="0" w:space="0" w:color="auto"/>
        <w:left w:val="none" w:sz="0" w:space="0" w:color="auto"/>
        <w:bottom w:val="none" w:sz="0" w:space="0" w:color="auto"/>
        <w:right w:val="none" w:sz="0" w:space="0" w:color="auto"/>
      </w:divBdr>
    </w:div>
    <w:div w:id="117580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1262</Words>
  <Characters>7194</Characters>
  <Application>Microsoft Office Word</Application>
  <DocSecurity>4</DocSecurity>
  <Lines>59</Lines>
  <Paragraphs>16</Paragraphs>
  <ScaleCrop>false</ScaleCrop>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Abdoulie Bah</dc:creator>
  <cp:keywords/>
  <dc:description/>
  <cp:lastModifiedBy>Abdoulie Bah</cp:lastModifiedBy>
  <cp:revision>158</cp:revision>
  <cp:lastPrinted>2024-12-04T00:33:00Z</cp:lastPrinted>
  <dcterms:created xsi:type="dcterms:W3CDTF">2024-09-14T18:44:00Z</dcterms:created>
  <dcterms:modified xsi:type="dcterms:W3CDTF">2024-12-03T21:35:00Z</dcterms:modified>
</cp:coreProperties>
</file>