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Test Case ID:</w:t>
      </w:r>
      <w:r>
        <w:rPr>
          <w:b w:val="false"/>
          <w:bCs w:val="false"/>
          <w:i w:val="false"/>
          <w:iCs w:val="false"/>
        </w:rPr>
        <w:t xml:space="preserve">Fun02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Test Title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 xml:space="preserve">Verify </w:t>
      </w:r>
      <w:bookmarkStart w:id="0" w:name="__DdeLink__577_440582758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>unsuccessful registration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  <w:bookmarkEnd w:id="0"/>
    </w:p>
    <w:tbl>
      <w:tblPr>
        <w:tblStyle w:val="PlainTable1"/>
        <w:tblW w:w="8459" w:type="dxa"/>
        <w:jc w:val="left"/>
        <w:tblInd w:w="53" w:type="dxa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540"/>
        <w:gridCol w:w="2789"/>
        <w:gridCol w:w="3422"/>
        <w:gridCol w:w="1707"/>
      </w:tblGrid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№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Step to reproduce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>Test Data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 xml:space="preserve">Expected Result 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1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Left user’s first name empty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 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 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Nimbus Mono L" w:cs="Liberation Mono"/>
                <w:b w:val="false"/>
                <w:b w:val="false"/>
                <w:bCs w:val="false"/>
                <w:i/>
                <w:i/>
                <w:iCs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</w:rPr>
              <w:t>2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 user’s Last name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Smith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“Smith” will displayed in login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3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Enter user’s email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j.smith@yahoo.com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‘</w:t>
            </w:r>
            <w:hyperlink r:id="rId2">
              <w:r>
                <w:rPr>
                  <w:rStyle w:val="InternetLink"/>
                  <w:i w:val="false"/>
                  <w:iCs w:val="false"/>
                </w:rPr>
                <w:t>j.smith@yahoo.com</w:t>
              </w:r>
            </w:hyperlink>
            <w:r>
              <w:rPr>
                <w:i w:val="false"/>
                <w:iCs w:val="false"/>
              </w:rPr>
              <w:t>’ will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4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Set data of birthday 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01/01/70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‘</w:t>
            </w:r>
            <w:hyperlink r:id="rId3">
              <w:r>
                <w:rPr>
                  <w:rStyle w:val="InternetLink"/>
                  <w:i w:val="false"/>
                  <w:iCs w:val="false"/>
                </w:rPr>
                <w:t>0</w:t>
              </w:r>
            </w:hyperlink>
            <w:r>
              <w:rPr>
                <w:i w:val="false"/>
                <w:iCs w:val="false"/>
              </w:rPr>
              <w:t>1/01.70’ is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5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Click on Sign-up button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Error message is displayed on site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smith@yahoo.com" TargetMode="External"/><Relationship Id="rId3" Type="http://schemas.openxmlformats.org/officeDocument/2006/relationships/hyperlink" Target="mailto:j.smith@yahoo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LibreOffice/6.0.3.2$Linux_X86_64 LibreOffice_project/00m0$Build-2</Application>
  <Pages>1</Pages>
  <Words>71</Words>
  <Characters>380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2018-08-07T00:12:48Z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