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Экономика Европы</w:t>
      </w:r>
    </w:p>
    <w:p>
      <w:pPr>
        <w:spacing w:before="0" w:after="140"/>
      </w:pPr>
      <w:r>
        <w:rPr>
          <w:rFonts w:ascii="Calibri" w:hAnsi="Calibri" w:cs="Calibri"/>
          <w:b/>
          <w:color w:val="1F3864"/>
          <w:sz w:val="26"/>
          <w:szCs w:val="26"/>
        </w:rPr>
        <w:t xml:space="preserve">1. Кто урежет выплаты мигрантам первым после Германии: Нидерланды, Австрия, Бельгия, Франция?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0" name="flag_nl.png"/>
                  <wp:cNvGraphicFramePr/>
                  <a:graphic xmlns:a="http://schemas.openxmlformats.org/drawingml/2006/main">
                    <a:graphicData uri="http://schemas.openxmlformats.org/drawingml/2006/picture">
                      <pic:pic xmlns:pic="http://schemas.openxmlformats.org/drawingml/2006/picture">
                        <pic:nvPicPr>
                          <pic:cNvPr id="1000" name="flag_nl.png"/>
                          <pic:cNvPicPr/>
                        </pic:nvPicPr>
                        <pic:blipFill>
                          <a:blip r:embed="rIdImg1"/>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Нидерланды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1" name="flag_at.png"/>
                  <wp:cNvGraphicFramePr/>
                  <a:graphic xmlns:a="http://schemas.openxmlformats.org/drawingml/2006/main">
                    <a:graphicData uri="http://schemas.openxmlformats.org/drawingml/2006/picture">
                      <pic:pic xmlns:pic="http://schemas.openxmlformats.org/drawingml/2006/picture">
                        <pic:nvPicPr>
                          <pic:cNvPr id="1001" name="flag_at.png"/>
                          <pic:cNvPicPr/>
                        </pic:nvPicPr>
                        <pic:blipFill>
                          <a:blip r:embed="rIdImg2"/>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Австрия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2" name="flag_be.png"/>
                  <wp:cNvGraphicFramePr/>
                  <a:graphic xmlns:a="http://schemas.openxmlformats.org/drawingml/2006/main">
                    <a:graphicData uri="http://schemas.openxmlformats.org/drawingml/2006/picture">
                      <pic:pic xmlns:pic="http://schemas.openxmlformats.org/drawingml/2006/picture">
                        <pic:nvPicPr>
                          <pic:cNvPr id="1002" name="flag_be.png"/>
                          <pic:cNvPicPr/>
                        </pic:nvPicPr>
                        <pic:blipFill>
                          <a:blip r:embed="rIdImg3"/>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Бельгия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3" name="flag_fr.png"/>
                  <wp:cNvGraphicFramePr/>
                  <a:graphic xmlns:a="http://schemas.openxmlformats.org/drawingml/2006/main">
                    <a:graphicData uri="http://schemas.openxmlformats.org/drawingml/2006/picture">
                      <pic:pic xmlns:pic="http://schemas.openxmlformats.org/drawingml/2006/picture">
                        <pic:nvPicPr>
                          <pic:cNvPr id="1003" name="flag_fr.png"/>
                          <pic:cNvPicPr/>
                        </pic:nvPicPr>
                        <pic:blipFill>
                          <a:blip r:embed="rIdImg4"/>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Франция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урежет ни одна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которая первой по хронологии в период с 09.08.2026 по 31.12.2026 принимает нормативный акт, снижающий размер денежных выплат просителям убежища либо сокращающий круг их получателей. Германия в списке не участвует: там сокращение уже действует с 01.07.2025.</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Акты, принятые до 07.08.2026; ужесточение процедур рассмотрения заявлений без изменения выплат; ускоренная депортация; сокращение мест в центрах размещения; замена денежных выплат картами при сохранении суммы; законопроекты без принятия. Действие страны, не названной в списке, — в этом случае выигрывает вариант «Не урежет ни одна до конца 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 опубликованным нормативным актам соответствующей страны и дате их принятия; Reuters, InfoMigrants.</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такой акт не принят ни в одной стране — «Не урежет ни одна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Правовые вестники стран ЕС; Reuters, InfoMigrants.</w:t>
      </w:r>
    </w:p>
    <w:p>
      <w:pPr>
        <w:spacing w:before="120" w:after="60"/>
      </w:pPr>
      <w:r>
        <w:rPr>
          <w:rFonts w:ascii="Calibri" w:hAnsi="Calibri" w:cs="Calibri"/>
          <w:i/>
          <w:color w:val="666666"/>
          <w:sz w:val="19"/>
          <w:szCs w:val="19"/>
        </w:rPr>
        <w:t xml:space="preserve">Контекст: Германия задала образец и вышла из гонки. С 1 июля 2025 выплата взрослому просителю убежища там упала с 410 до 320 евро — минус 20%, а Конституционный суд в октябре подтвердил, что это укладывается в европейский минимум. С 1 июля 2026 Bürgergeld заменён на «новое базовое обеспечение» с ужесточёнными требованиями, Мерц прямо назвал прежнюю систему «фактором притяжения». Расходы Германии на беженцев упали до 24.8 млрд евро — минимум с 2021 года. После прорыва в Сеуту, где 80 тысяч человек перешли границу за сутки, очередь за остальными.</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https://home-affairs.ec.europa.eu/policies/migration-and-asylum/common-european-asylum-system_en</w:t>
        </w:r>
      </w:hyperlink>
      <w:r>
        <w:rPr>
          <w:rFonts w:ascii="Calibri" w:hAnsi="Calibri" w:cs="Calibri"/>
          <w:color w:val="000000"/>
          <w:sz w:val="20"/>
          <w:szCs w:val="20"/>
        </w:rPr>
        <w:t xml:space="preserve"> (миграционное законодательство стран ЕС — арбитр факта) </w:t>
      </w:r>
      <w:hyperlink r:id="rIdLink2">
        <w:r>
          <w:rPr>
            <w:rFonts w:ascii="Calibri" w:hAnsi="Calibri"/>
            <w:color w:val="2554A0"/>
            <w:u w:val="single"/>
            <w:sz w:val="20"/>
            <w:szCs w:val="20"/>
          </w:rPr>
          <w:t xml:space="preserve">https://polymarket.com/predictions/europe</w:t>
        </w:r>
      </w:hyperlink>
      <w:r>
        <w:rPr>
          <w:rFonts w:ascii="Calibri" w:hAnsi="Calibri" w:cs="Calibri"/>
          <w:color w:val="000000"/>
          <w:sz w:val="20"/>
          <w:szCs w:val="20"/>
        </w:rPr>
        <w:t xml:space="preserve"> (раздел европейских рынков — сентимент по миграционным решениям)</w:t>
      </w:r>
    </w:p>
    <w:p>
      <w:pPr>
        <w:spacing w:before="320" w:after="140"/>
      </w:pPr>
      <w:r>
        <w:rPr>
          <w:rFonts w:ascii="Calibri" w:hAnsi="Calibri" w:cs="Calibri"/>
          <w:b/>
          <w:color w:val="1F3864"/>
          <w:sz w:val="26"/>
          <w:szCs w:val="26"/>
        </w:rPr>
        <w:t xml:space="preserve">2. Выделит ли Евросоюз Украине сверх 90 млрд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Совет ЕС или Европарламент официально утверждает выделение Украине средств сверх пакета в 90 млрд евро, одобренного 23.04.2026, в период с 09.08.2026 по 31.12.2026. Считается любая новая сумма — кредит, грант или военная помощь из бюджета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Перечисление траншей в рамках уже одобренных 90 млрд; двусторонняя помощь отдельных стран из национальных бюджетов; помощь стран за пределами ЕС; поставки вооружения из существующих запасов без нового решения о финансировании; заявления и предложения без утверждения.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решениям Совета ЕС и публикациям в Официальном журнале Европейского союза.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новых решений о выделении средств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Европарламент, Официальный журнал Европейского союза.</w:t>
      </w:r>
    </w:p>
    <w:p>
      <w:pPr>
        <w:spacing w:before="120" w:after="60"/>
      </w:pPr>
      <w:r>
        <w:rPr>
          <w:rFonts w:ascii="Calibri" w:hAnsi="Calibri" w:cs="Calibri"/>
          <w:i/>
          <w:color w:val="666666"/>
          <w:sz w:val="19"/>
          <w:szCs w:val="19"/>
        </w:rPr>
        <w:t xml:space="preserve">Контекст: 23 апреля ЕС утвердил Украине 90 млрд евро на 2026-2027 годы — после того как Венгрия сняла вето, а Орбан проиграл выборы и двухмесячный тупик закончился. В 2026 году Брюссель переводит 45 млрд, из них 28.3 млрд военной помощи. Но МВФ оценивает потребность Украины в 136 млрд, то есть пакет ЕС закрывает лишь две трети. Всего с 2022 года Европа отдала свыше 200 млрд: Германия 44.4 млрд, Франция 24.1 млрд. Вопрос в том, готов ли ЕС добавлять ещё, когда собственные бюджеты в дефиците, а военные расходы надо доводить до 5% ВВП.</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https://www.ifw-kiel.de/topics/war-against-ukraine/ukraine-support-tracker/</w:t>
        </w:r>
      </w:hyperlink>
      <w:r>
        <w:rPr>
          <w:rFonts w:ascii="Calibri" w:hAnsi="Calibri" w:cs="Calibri"/>
          <w:color w:val="000000"/>
          <w:sz w:val="20"/>
          <w:szCs w:val="20"/>
        </w:rPr>
        <w:t xml:space="preserve"> (трекер помощи Украине по странам и суммам — арбитр факта) </w:t>
      </w:r>
      <w:hyperlink r:id="rIdLink4">
        <w:r>
          <w:rPr>
            <w:rFonts w:ascii="Calibri" w:hAnsi="Calibri"/>
            <w:color w:val="2554A0"/>
            <w:u w:val="single"/>
            <w:sz w:val="20"/>
            <w:szCs w:val="20"/>
          </w:rPr>
          <w:t xml:space="preserve">https://www.consilium.europa.eu/en/policies/ukraine-solidarity-financial-support/</w:t>
        </w:r>
      </w:hyperlink>
      <w:r>
        <w:rPr>
          <w:rFonts w:ascii="Calibri" w:hAnsi="Calibri" w:cs="Calibri"/>
          <w:color w:val="000000"/>
          <w:sz w:val="20"/>
          <w:szCs w:val="20"/>
        </w:rPr>
        <w:t xml:space="preserve"> (официальные решения ЕС по финансированию Украины)</w:t>
      </w:r>
    </w:p>
    <w:p>
      <w:pPr>
        <w:spacing w:before="320" w:after="140"/>
      </w:pPr>
      <w:r>
        <w:rPr>
          <w:rFonts w:ascii="Calibri" w:hAnsi="Calibri" w:cs="Calibri"/>
          <w:b/>
          <w:color w:val="1F3864"/>
          <w:sz w:val="26"/>
          <w:szCs w:val="26"/>
        </w:rPr>
        <w:t xml:space="preserve">3. В каком диапазоне будет курс евро к доллару на 31 августа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1.10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1.10 до 1.15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1.15 до 1.20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1.20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Официальный справочный курс евро к доллару США, установленный ЕЦБ на 31.08.2026. Если это выходной, берётся курс последнего рабочего дня августа. Диапазон включает нижнюю границу и не включает верхнюю: курс ровно 1.15 попадает в «От 1.15 до 1.20».</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котировки; курсы коммерческих банков и обменников; кросс-курсы через другие валюты; котировки на выходных.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архиву официальных справочных курсов ЕЦБ за август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первому доступному официальному справочному курсу ЕЦБ за последний рабочий день августа 2026 года.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ЕЦБ, официальный справочный курс евро.</w:t>
      </w:r>
    </w:p>
    <w:p>
      <w:pPr>
        <w:spacing w:before="120" w:after="60"/>
      </w:pPr>
      <w:r>
        <w:rPr>
          <w:rFonts w:ascii="Calibri" w:hAnsi="Calibri" w:cs="Calibri"/>
          <w:i/>
          <w:color w:val="666666"/>
          <w:sz w:val="19"/>
          <w:szCs w:val="19"/>
        </w:rPr>
        <w:t xml:space="preserve">Контекст: на начало августа евро стоит около 1.15 доллара. За год пара ходила от 1.1356 до 1.2019, средний курс составил 1.1630, с начала года евро потерял к доллару около 1.8%. Сейчас на курс давят одновременно два фактора в разные стороны: ЕЦБ развернулся к повышению ставок, что евро поддерживает, но подорожавшая энергия и слабый рост тянут вниз. Рынок ждёт повышения ставки в сентябре с вероятностью около 70% — до этого решения курс будет ходить на ожиданиях.</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https://tradingeconomics.com/euro-area/currency</w:t>
        </w:r>
      </w:hyperlink>
      <w:r>
        <w:rPr>
          <w:rFonts w:ascii="Calibri" w:hAnsi="Calibri" w:cs="Calibri"/>
          <w:color w:val="000000"/>
          <w:sz w:val="20"/>
          <w:szCs w:val="20"/>
        </w:rPr>
        <w:t xml:space="preserve"> (живая котировка пары евро-доллар) </w:t>
      </w:r>
      <w:hyperlink r:id="rIdLink6">
        <w:r>
          <w:rPr>
            <w:rFonts w:ascii="Calibri" w:hAnsi="Calibri"/>
            <w:color w:val="2554A0"/>
            <w:u w:val="single"/>
            <w:sz w:val="20"/>
            <w:szCs w:val="20"/>
          </w:rPr>
          <w:t xml:space="preserve">https://www.ecb.europa.eu/stats/policy_and_exchange_rates/euro_reference_exchange_rates/html/index.en.html</w:t>
        </w:r>
      </w:hyperlink>
      <w:r>
        <w:rPr>
          <w:rFonts w:ascii="Calibri" w:hAnsi="Calibri" w:cs="Calibri"/>
          <w:color w:val="000000"/>
          <w:sz w:val="20"/>
          <w:szCs w:val="20"/>
        </w:rPr>
        <w:t xml:space="preserve"> (архив официальных справочных курсов ЕЦБ — арбитр факта)</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диапазоны пересчитать вокруг текущего курса (ЕЦБ, справочный курс).</w:t>
      </w:r>
    </w:p>
    <w:p>
      <w:pPr>
        <w:spacing w:before="320" w:after="140"/>
      </w:pPr>
      <w:r>
        <w:rPr>
          <w:rFonts w:ascii="Calibri" w:hAnsi="Calibri" w:cs="Calibri"/>
          <w:b/>
          <w:color w:val="1F3864"/>
          <w:sz w:val="26"/>
          <w:szCs w:val="26"/>
        </w:rPr>
        <w:t xml:space="preserve">4. Опустится ли евро до паритета с долларом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14.29 (7%)</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1.08 (93%)</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Официальный справочный курс евро к доллару США, установленный ЕЦБ, составляет 1.0000 или ниже хотя бы в один рабочий день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котировки на бирже без фиксации в справочном курсе ЕЦБ; курсы коммерческих банков и обменников; кросс-курсы через другие валюты; прогнозы аналитиков.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архиву официальных справочных курсов на сайте ЕЦБ.</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справочный курс ни разу не опускался до 1.0000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ЕЦБ, официальный справочный курс евро к доллару.</w:t>
      </w:r>
    </w:p>
    <w:p>
      <w:pPr>
        <w:spacing w:before="120" w:after="60"/>
      </w:pPr>
      <w:r>
        <w:rPr>
          <w:rFonts w:ascii="Calibri" w:hAnsi="Calibri" w:cs="Calibri"/>
          <w:i/>
          <w:color w:val="666666"/>
          <w:sz w:val="19"/>
          <w:szCs w:val="19"/>
        </w:rPr>
        <w:t xml:space="preserve">Контекст: на 7 августа 2026 года курс составляет 1,1535 доллара за евро по данным ЕЦБ — то есть до паритета евро должен потерять около 13 процентов за четыре месяца. Такое падение за столь короткий срок случалось лишь в моменты острых кризисов: ниже единицы евро уходил в 2022 году на фоне энергетического шока и разрыва с российским газом. Сейчас против падения играет то, что ставки ЕЦБ выше американских ожиданий по снижению, а за — слабость немецкой промышленности и торговый конфликт с Вашингтоном.</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https://tradingeconomics.com/euro-area/currency</w:t>
        </w:r>
      </w:hyperlink>
      <w:r>
        <w:rPr>
          <w:rFonts w:ascii="Calibri" w:hAnsi="Calibri" w:cs="Calibri"/>
          <w:color w:val="000000"/>
          <w:sz w:val="20"/>
          <w:szCs w:val="20"/>
        </w:rPr>
        <w:t xml:space="preserve"> (живая котировка пары евро-доллар) </w:t>
      </w:r>
      <w:hyperlink r:id="rIdLink8">
        <w:r>
          <w:rPr>
            <w:rFonts w:ascii="Calibri" w:hAnsi="Calibri"/>
            <w:color w:val="2554A0"/>
            <w:u w:val="single"/>
            <w:sz w:val="20"/>
            <w:szCs w:val="20"/>
          </w:rPr>
          <w:t xml:space="preserve">https://www.ecb.europa.eu/stats/policy_and_exchange_rates/euro_reference_exchange_rates/html/index.en.html</w:t>
        </w:r>
      </w:hyperlink>
      <w:r>
        <w:rPr>
          <w:rFonts w:ascii="Calibri" w:hAnsi="Calibri" w:cs="Calibri"/>
          <w:color w:val="000000"/>
          <w:sz w:val="20"/>
          <w:szCs w:val="20"/>
        </w:rPr>
        <w:t xml:space="preserve"> (архив официальных справочных курсов ЕЦБ — арбитр факта)</w:t>
      </w:r>
    </w:p>
    <w:p>
      <w:pPr>
        <w:spacing w:before="320" w:after="140"/>
      </w:pPr>
      <w:r>
        <w:rPr>
          <w:rFonts w:ascii="Calibri" w:hAnsi="Calibri" w:cs="Calibri"/>
          <w:b/>
          <w:color w:val="1F3864"/>
          <w:sz w:val="26"/>
          <w:szCs w:val="26"/>
        </w:rPr>
        <w:t xml:space="preserve">5. Что случится раньше: рецессия в Германии или ставка ЕЦБ ниже 2%?</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Рецессия в Германии</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Ставка ЕЦБ ниже 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то ни другое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2.78 (36%)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1.56 (64%)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Событие, наступившее первым по хронологии в период с 10.08.2026 по 31.12.2026. Рецессия — публикация Федеральным статистическим ведомством Германии данных о двух кварталах подряд со снижением валового внутреннего продукта. Ставка — решение Управляющего совета ЕЦБ, устанавливающее депозитную ставку ниже 2 процентов.</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Прогнозы и оценки институтов без официальной публикации статистики; пересмотр данных задним числом; снижение других ставок ЕЦБ при неизменной депозитной; заявления о готовности снижать.</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публикации Федерального статистического ведомства Германии и пресс-релизу ЕЦБ с датами.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ни одно событие не наступило — «Ни то ни другое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Европейский центральный банк, решения: https://www.ecb.europa.eu/press/govcdec/mopo/html/index.en.html</w:t>
      </w:r>
    </w:p>
    <w:p>
      <w:pPr>
        <w:spacing w:before="120" w:after="60"/>
      </w:pPr>
      <w:r>
        <w:rPr>
          <w:rFonts w:ascii="Calibri" w:hAnsi="Calibri" w:cs="Calibri"/>
          <w:i/>
          <w:color w:val="666666"/>
          <w:sz w:val="19"/>
          <w:szCs w:val="19"/>
        </w:rPr>
        <w:t xml:space="preserve">Контекст: до конца года у ЕЦБ три заседания — 10 сентября, 28-29 октября и 16-17 декабря, и каждое даёт шанс на снижение. Немецкая промышленность страдает от цены энергии и китайской конкуренции в автопроме, но два квартала подряд отрицательного роста должны ещё быть зафиксированы статистикой, что занимает время. Оба события связаны: рецессия в крупнейшей экономике еврозоны сама подталкивает ЕЦБ к снижению.</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https://www.ecb.europa.eu/press/govcdec/mopo/html/index.en.html</w:t>
        </w:r>
      </w:hyperlink>
      <w:r>
        <w:rPr>
          <w:rFonts w:ascii="Calibri" w:hAnsi="Calibri" w:cs="Calibri"/>
          <w:color w:val="000000"/>
          <w:sz w:val="20"/>
          <w:szCs w:val="20"/>
        </w:rPr>
        <w:t xml:space="preserve"> (решения ЕЦБ — арбитр факта) </w:t>
      </w:r>
      <w:hyperlink r:id="rIdLink10">
        <w:r>
          <w:rPr>
            <w:rFonts w:ascii="Calibri" w:hAnsi="Calibri"/>
            <w:color w:val="2554A0"/>
            <w:u w:val="single"/>
            <w:sz w:val="20"/>
            <w:szCs w:val="20"/>
          </w:rPr>
          <w:t xml:space="preserve">https://www.euronews.com/my-europe</w:t>
        </w:r>
      </w:hyperlink>
      <w:r>
        <w:rPr>
          <w:rFonts w:ascii="Calibri" w:hAnsi="Calibri" w:cs="Calibri"/>
          <w:color w:val="000000"/>
          <w:sz w:val="20"/>
          <w:szCs w:val="20"/>
        </w:rPr>
        <w:t xml:space="preserve"> (лента по ЕС — живая динамика)</w:t>
      </w:r>
    </w:p>
    <w:p>
      <w:pPr>
        <w:spacing w:before="60" w:after="60"/>
      </w:pPr>
      <w:r>
        <w:rPr>
          <w:rFonts w:ascii="Calibri" w:hAnsi="Calibri" w:cs="Calibri"/>
          <w:i/>
          <w:color w:val="666666"/>
          <w:sz w:val="18"/>
          <w:szCs w:val="18"/>
        </w:rPr>
        <w:t xml:space="preserve">Обновление: ежемесячно — после заседаний ЕЦБ и выхода статистики цены пересматривать.</w:t>
      </w:r>
    </w:p>
    <w:p>
      <w:pPr>
        <w:spacing w:before="320" w:after="140"/>
      </w:pPr>
      <w:r>
        <w:rPr>
          <w:rFonts w:ascii="Calibri" w:hAnsi="Calibri" w:cs="Calibri"/>
          <w:b/>
          <w:color w:val="1F3864"/>
          <w:sz w:val="26"/>
          <w:szCs w:val="26"/>
        </w:rPr>
        <w:t xml:space="preserve">6. Войдёт ли Германия в рецессию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2.50 (40%)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1.67 (60%)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Валовой внутренний продукт Германии показывает снижение за два квартала подряд в 2026 году по данным Федерального статистического ведомства с сезонной корректировкой, либо годовой рост ВВП Германии за 2026 год оказывается отрицательным. Резолюция по первой публикации с данными за четвёртый квартал 2026 года, вышедшей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Снижение в одном квартале без второго подряд; спад промышленного производства без падения ВВП; прогнозы и оценки институтов вместо официальных данных; пересмотр данных за 2025 год.</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публикациям Федерального статистического ведомства Германии с сезонной корректировкой; при разногласиях — по данным Евростата.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за четвёртый квартал 2026 года, публикуемым после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статистическое ведомство Германии; Евростат.</w:t>
      </w:r>
    </w:p>
    <w:p>
      <w:pPr>
        <w:spacing w:before="120" w:after="60"/>
      </w:pPr>
      <w:r>
        <w:rPr>
          <w:rFonts w:ascii="Calibri" w:hAnsi="Calibri" w:cs="Calibri"/>
          <w:i/>
          <w:color w:val="666666"/>
          <w:sz w:val="19"/>
          <w:szCs w:val="19"/>
        </w:rPr>
        <w:t xml:space="preserve">Контекст: промышленность Германии теряет больше 10 тысяч рабочих мест ежемесячно, четыре из десяти промышленных компаний планируют сокращения в этом году, обрабатывающая промышленность потеряла около 124 тысяч мест за год. Банкротства на худшем уровне за двадцать лет. Volkswagen готовит закрытие четырёх заводов. Добавилась подорожавшая энергия, которая бьёт по немецкой модели сильнее, чем по любой другой в Европе: страна построила промышленность на дешёвом газе. ЕЦБ при этом поднимает ставки, то есть кредит для компаний дорожает ровно тогда, когда им нужнее всего.</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https://tradingeconomics.com/germany/gdp-growth</w:t>
        </w:r>
      </w:hyperlink>
      <w:r>
        <w:rPr>
          <w:rFonts w:ascii="Calibri" w:hAnsi="Calibri" w:cs="Calibri"/>
          <w:color w:val="000000"/>
          <w:sz w:val="20"/>
          <w:szCs w:val="20"/>
        </w:rPr>
        <w:t xml:space="preserve"> (квартальная динамика ВВП Германии) </w:t>
      </w:r>
      <w:hyperlink r:id="rIdLink12">
        <w:r>
          <w:rPr>
            <w:rFonts w:ascii="Calibri" w:hAnsi="Calibri"/>
            <w:color w:val="2554A0"/>
            <w:u w:val="single"/>
            <w:sz w:val="20"/>
            <w:szCs w:val="20"/>
          </w:rPr>
          <w:t xml:space="preserve">https://www.destatis.de/EN/Themes/Economy/Short-Term-Indicators/_node.html</w:t>
        </w:r>
      </w:hyperlink>
      <w:r>
        <w:rPr>
          <w:rFonts w:ascii="Calibri" w:hAnsi="Calibri" w:cs="Calibri"/>
          <w:color w:val="000000"/>
          <w:sz w:val="20"/>
          <w:szCs w:val="20"/>
        </w:rPr>
        <w:t xml:space="preserve"> (официальная статистика ведомства — арбитр факта)</w:t>
      </w:r>
    </w:p>
    <w:p>
      <w:pPr>
        <w:spacing w:before="320" w:after="140"/>
      </w:pPr>
      <w:r>
        <w:rPr>
          <w:rFonts w:ascii="Calibri" w:hAnsi="Calibri" w:cs="Calibri"/>
          <w:b/>
          <w:color w:val="1F3864"/>
          <w:sz w:val="26"/>
          <w:szCs w:val="26"/>
        </w:rPr>
        <w:t xml:space="preserve">7. Купит ли китайская компания долю в европейском автозаводе в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Компания из Китая официально объявляет о приобретении доли в производственной площадке легковых автомобилей на территории ЕС либо о покупке доли в европейском автопроизводителе, до 31.12.2026. Засчитывается покупка как доли в заводе, так и совместное предприятие с китайским контролем над площадкой.</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Аренда помещений без приобретения доли; строительство нового завода с нуля; открытие дилерских центров и сервисных сетей; поставочные контракты и лицензионные соглашения; сделки за пределами ЕС; переговоры без объявленной сделки.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компаний-участниц сделки и решениям антимонопольных органов ЕС.</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сделок не объявлено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Официальные сообщения компаний, Еврокомиссия (контроль слияний); Reuters.</w:t>
      </w:r>
    </w:p>
    <w:p>
      <w:pPr>
        <w:spacing w:before="120" w:after="60"/>
      </w:pPr>
      <w:r>
        <w:rPr>
          <w:rFonts w:ascii="Calibri" w:hAnsi="Calibri" w:cs="Calibri"/>
          <w:i/>
          <w:color w:val="666666"/>
          <w:sz w:val="19"/>
          <w:szCs w:val="19"/>
        </w:rPr>
        <w:t xml:space="preserve">Контекст: китайские производители занимают простаивающие заводы, которые бросили Ford и Nissan, чтобы обойти европейские пошлины. BYD ведёт переговоры о половине дрезденского завода Volkswagen, где производство машин остановлено с конца 2025 года: китайцы делали бы там электромобили, вторую половину планируют превратить в инновационный центр с властями Саксонии. Volkswagen сообщения о сделке отрицает, решения нет. MG и Xpeng тоже интересуются европейскими площадками VW, а сам глава Volkswagen Оливер Блуме назвал совместное использование простаивающих заводов с китайцами «умным решением». Немецкий экономист Мориц Шуларик заявил прямо: «VW, вероятно, купит китайский автопроизводитель, например BYD». Батарейное производство — ключевой элемент себестоимости электромобиля — уже под контролем CATL и BYD. Европейский автопром оказался в положении, когда партнёрство с конкурентом выглядит единственным выходом.</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https://competition-policy.ec.europa.eu/mergers_en</w:t>
        </w:r>
      </w:hyperlink>
      <w:r>
        <w:rPr>
          <w:rFonts w:ascii="Calibri" w:hAnsi="Calibri" w:cs="Calibri"/>
          <w:color w:val="000000"/>
          <w:sz w:val="20"/>
          <w:szCs w:val="20"/>
        </w:rPr>
        <w:t xml:space="preserve"> (реестр сделок слияний в ЕС — арбитр факта) </w:t>
      </w:r>
      <w:hyperlink r:id="rIdLink14">
        <w:r>
          <w:rPr>
            <w:rFonts w:ascii="Calibri" w:hAnsi="Calibri"/>
            <w:color w:val="2554A0"/>
            <w:u w:val="single"/>
            <w:sz w:val="20"/>
            <w:szCs w:val="20"/>
          </w:rPr>
          <w:t xml:space="preserve">https://tradingeconomics.com/germany/car-production</w:t>
        </w:r>
      </w:hyperlink>
      <w:r>
        <w:rPr>
          <w:rFonts w:ascii="Calibri" w:hAnsi="Calibri" w:cs="Calibri"/>
          <w:color w:val="000000"/>
          <w:sz w:val="20"/>
          <w:szCs w:val="20"/>
        </w:rPr>
        <w:t xml:space="preserve"> (производство автомобилей в Германии — контекст отрасли)</w:t>
      </w:r>
    </w:p>
    <w:p>
      <w:pPr>
        <w:spacing w:before="320" w:after="140"/>
      </w:pPr>
      <w:r>
        <w:rPr>
          <w:rFonts w:ascii="Calibri" w:hAnsi="Calibri" w:cs="Calibri"/>
          <w:b/>
          <w:color w:val="1F3864"/>
          <w:sz w:val="26"/>
          <w:szCs w:val="26"/>
        </w:rPr>
        <w:t xml:space="preserve">8. Какой автоконцерн объявит о закрытии завода в ЕС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4" name="flag_de.png"/>
                  <wp:cNvGraphicFramePr/>
                  <a:graphic xmlns:a="http://schemas.openxmlformats.org/drawingml/2006/main">
                    <a:graphicData uri="http://schemas.openxmlformats.org/drawingml/2006/picture">
                      <pic:pic xmlns:pic="http://schemas.openxmlformats.org/drawingml/2006/picture">
                        <pic:nvPicPr>
                          <pic:cNvPr id="1004" name="flag_de.png"/>
                          <pic:cNvPicPr/>
                        </pic:nvPicPr>
                        <pic:blipFill>
                          <a:blip r:embed="rIdImg5"/>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Volkswagen</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5" name="flag_it.png"/>
                  <wp:cNvGraphicFramePr/>
                  <a:graphic xmlns:a="http://schemas.openxmlformats.org/drawingml/2006/main">
                    <a:graphicData uri="http://schemas.openxmlformats.org/drawingml/2006/picture">
                      <pic:pic xmlns:pic="http://schemas.openxmlformats.org/drawingml/2006/picture">
                        <pic:nvPicPr>
                          <pic:cNvPr id="1005" name="flag_it.png"/>
                          <pic:cNvPicPr/>
                        </pic:nvPicPr>
                        <pic:blipFill>
                          <a:blip r:embed="rIdImg6"/>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Stellantis</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noProof/>
              </w:rPr>
              <w:drawing>
                <wp:inline distT="0" distB="0" distL="0" distR="0">
                  <wp:extent cx="200025" cy="133350"/>
                  <wp:effectExtent l="0" t="0" r="0" b="0"/>
                  <wp:docPr id="1004" name="flag_de.png"/>
                  <wp:cNvGraphicFramePr/>
                  <a:graphic xmlns:a="http://schemas.openxmlformats.org/drawingml/2006/main">
                    <a:graphicData uri="http://schemas.openxmlformats.org/drawingml/2006/picture">
                      <pic:pic xmlns:pic="http://schemas.openxmlformats.org/drawingml/2006/picture">
                        <pic:nvPicPr>
                          <pic:cNvPr id="1004" name="flag_de.png"/>
                          <pic:cNvPicPr/>
                        </pic:nvPicPr>
                        <pic:blipFill>
                          <a:blip r:embed="rIdImg5"/>
                          <a:stretch>
                            <a:fillRect/>
                          </a:stretch>
                        </pic:blipFill>
                        <pic:spPr>
                          <a:xfrm>
                            <a:off x="0" y="0"/>
                            <a:ext cx="200025" cy="133350"/>
                          </a:xfrm>
                          <a:prstGeom prst="rect">
                            <a:avLst/>
                          </a:prstGeom>
                        </pic:spPr>
                      </pic:pic>
                    </a:graphicData>
                  </a:graphic>
                </wp:inline>
              </w:drawing>
            </w:r>
            <w:r>
              <w:rPr>
                <w:rFonts w:ascii="Calibri" w:hAnsi="Calibri" w:cs="Calibri"/>
                <w:color w:val="000000"/>
                <w:sz w:val="21"/>
                <w:szCs w:val="21"/>
              </w:rPr>
              <w:t xml:space="preserve"> Ford Europe</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объявит ни один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2.08 (48%)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1.92 (52%)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Производитель, который первым по хронологии в период с 09.08.2026 по 31.12.2026 официально объявляет о закрытии своего завода легковых автомобилей на территории ЕС.</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Объявления, сделанные до 07.08.2026; сокращение смен и численности без закрытия площадки; временная остановка производства; закрытие заводов поставщиков комплектующих; закрытие площадок за пределами ЕС; сообщения СМИ без подтверждения компанией; продажа завода с сохранением производства.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соответствующей компании и дате объявления; при разногласиях — Reuters.</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объявлений нет — «Не объявит ни один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Официальные сообщения автопроизводителей; Reuters.</w:t>
      </w:r>
    </w:p>
    <w:p>
      <w:pPr>
        <w:spacing w:before="120" w:after="60"/>
      </w:pPr>
      <w:r>
        <w:rPr>
          <w:rFonts w:ascii="Calibri" w:hAnsi="Calibri" w:cs="Calibri"/>
          <w:i/>
          <w:color w:val="666666"/>
          <w:sz w:val="19"/>
          <w:szCs w:val="19"/>
        </w:rPr>
        <w:t xml:space="preserve">Контекст: в конце июня появились сообщения, что Volkswagen готовит закрытие четырёх заводов в Германии — Ганновер, Цвиккау, Эмден и площадка Audi в Некарзульме. Но соглашение с профсоюзами от конца 2024 года исключает закрытия и принудительные увольнения до 2030 года, а IG Metall обещает блокировать такие планы «всеми силами». Stellantis прямо заявил, что в 2026 году заводы в Европе закрывать не будет. Ford производство в Дрездене уже свернул. Структурный спад автопрома называют одной из главных причин роста банкротств по всей Европе.</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https://tradingeconomics.com/germany/car-production</w:t>
        </w:r>
      </w:hyperlink>
      <w:r>
        <w:rPr>
          <w:rFonts w:ascii="Calibri" w:hAnsi="Calibri" w:cs="Calibri"/>
          <w:color w:val="000000"/>
          <w:sz w:val="20"/>
          <w:szCs w:val="20"/>
        </w:rPr>
        <w:t xml:space="preserve"> (производство автомобилей в Германии — состояние отрасли) </w:t>
      </w:r>
      <w:hyperlink r:id="rIdLink16">
        <w:r>
          <w:rPr>
            <w:rFonts w:ascii="Calibri" w:hAnsi="Calibri"/>
            <w:color w:val="2554A0"/>
            <w:u w:val="single"/>
            <w:sz w:val="20"/>
            <w:szCs w:val="20"/>
          </w:rPr>
          <w:t xml:space="preserve">https://www.volkswagen-group.com/en/press-releases</w:t>
        </w:r>
      </w:hyperlink>
      <w:r>
        <w:rPr>
          <w:rFonts w:ascii="Calibri" w:hAnsi="Calibri" w:cs="Calibri"/>
          <w:color w:val="000000"/>
          <w:sz w:val="20"/>
          <w:szCs w:val="20"/>
        </w:rPr>
        <w:t xml:space="preserve"> (официальные сообщения крупнейшего производителя — арбитр факта)</w:t>
      </w:r>
    </w:p>
    <w:p>
      <w:pPr>
        <w:spacing w:before="320" w:after="140"/>
      </w:pPr>
      <w:r>
        <w:rPr>
          <w:rFonts w:ascii="Calibri" w:hAnsi="Calibri" w:cs="Calibri"/>
          <w:b/>
          <w:color w:val="1F3864"/>
          <w:sz w:val="26"/>
          <w:szCs w:val="26"/>
        </w:rPr>
        <w:t xml:space="preserve">9. Закроет ли Volkswagen хотя бы один завод в Германии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3.33 (30%)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Volkswagen Group официально объявляет о закрытии конкретного завода на территории Германии либо фактически прекращает на нём производство,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Сокращение смен и численности персонала без закрытия площадки; временная остановка конвейера; сообщения СМИ о планах без подтверждения компанией; закрытие заводов за пределами Германии; продажа завода другому производителю с сохранением производства.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Volkswagen Group и заявлениям производственного совета компании.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объявлений о закрытии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Volkswagen Group (пресс-релизы и отчётность); Reuters.</w:t>
      </w:r>
    </w:p>
    <w:p>
      <w:pPr>
        <w:spacing w:before="120" w:after="60"/>
      </w:pPr>
      <w:r>
        <w:rPr>
          <w:rFonts w:ascii="Calibri" w:hAnsi="Calibri" w:cs="Calibri"/>
          <w:i/>
          <w:color w:val="666666"/>
          <w:sz w:val="19"/>
          <w:szCs w:val="19"/>
        </w:rPr>
        <w:t xml:space="preserve">Контекст: в конце июня появились сообщения, что VW готовит закрытие четырёх заводов в Германии — Ганновер, Цвиккау, Эмден и площадка Audi в Некарзульме — и сокращение до 100 тысяч мест по группе. Но в конце 2024 года компания подписала с профсоюзами соглашение, исключающее закрытие заводов и принудительные увольнения до 2030 года. Производственный совет и IG Metall заявили, что будут блокировать такие планы «всеми силами». То есть закрытие требует либо разрыва соглашения, либо согласия профсоюзов — а это уже не корпоративное решение, а политический конфликт.</w:t>
      </w:r>
    </w:p>
    <w:p>
      <w:pPr>
        <w:spacing w:before="60" w:after="60"/>
      </w:pPr>
      <w:r>
        <w:rPr>
          <w:rFonts w:ascii="Calibri" w:hAnsi="Calibri" w:cs="Calibri"/>
          <w:b/>
          <w:color w:val="1F3864"/>
          <w:sz w:val="20"/>
          <w:szCs w:val="20"/>
        </w:rPr>
        <w:t xml:space="preserve">ИИ анализ: </w:t>
      </w:r>
      <w:hyperlink r:id="rIdLink17">
        <w:r>
          <w:rPr>
            <w:rFonts w:ascii="Calibri" w:hAnsi="Calibri"/>
            <w:color w:val="2554A0"/>
            <w:u w:val="single"/>
            <w:sz w:val="20"/>
            <w:szCs w:val="20"/>
          </w:rPr>
          <w:t xml:space="preserve">https://www.volkswagen-group.com/en/press-releases</w:t>
        </w:r>
      </w:hyperlink>
      <w:r>
        <w:rPr>
          <w:rFonts w:ascii="Calibri" w:hAnsi="Calibri" w:cs="Calibri"/>
          <w:color w:val="000000"/>
          <w:sz w:val="20"/>
          <w:szCs w:val="20"/>
        </w:rPr>
        <w:t xml:space="preserve"> (официальные сообщения компании — арбитр факта) </w:t>
      </w:r>
      <w:hyperlink r:id="rIdLink18">
        <w:r>
          <w:rPr>
            <w:rFonts w:ascii="Calibri" w:hAnsi="Calibri"/>
            <w:color w:val="2554A0"/>
            <w:u w:val="single"/>
            <w:sz w:val="20"/>
            <w:szCs w:val="20"/>
          </w:rPr>
          <w:t xml:space="preserve">https://tradingeconomics.com/germany/unemployed-persons</w:t>
        </w:r>
      </w:hyperlink>
      <w:r>
        <w:rPr>
          <w:rFonts w:ascii="Calibri" w:hAnsi="Calibri" w:cs="Calibri"/>
          <w:color w:val="000000"/>
          <w:sz w:val="20"/>
          <w:szCs w:val="20"/>
        </w:rPr>
        <w:t xml:space="preserve"> (безработица в Германии — контекст последствий)</w:t>
      </w:r>
    </w:p>
    <w:p>
      <w:pPr>
        <w:spacing w:before="320" w:after="140"/>
      </w:pPr>
      <w:r>
        <w:rPr>
          <w:rFonts w:ascii="Calibri" w:hAnsi="Calibri" w:cs="Calibri"/>
          <w:b/>
          <w:color w:val="1F3864"/>
          <w:sz w:val="26"/>
          <w:szCs w:val="26"/>
        </w:rPr>
        <w:t xml:space="preserve">10. Кто первым введёт налог на богатство свыше 1 млн евро?</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Испания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Франция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Бельгия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введёт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парламент которой первым по хронологии в период с 09.08.2026 по 31.12.2026 примет закон, вводящий ежегодный налог на совокупное состояние физических лиц с порогом обложения не выше одного миллиона евро, с указанной датой вступления в силу.</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Повышение ставок действующих налогов на имущество и недвижимость; разовые взносы и чрезвычайные сборы; налоги на наследство и дарение; законопроекты без принятия; введение налога страной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принятого закона с датой вступления в силу.</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законов нет — «Из перечисленных никто не введёт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налог на богатство в Европе почти вымер — его отменили Германия, Швеция, Австрия и Франция, оставив только точечные сборы. Но дыры в бюджетах вернули тему: Испания уже применяет временный налог солидарности на крупные состояния и продлевает его из года в год, во Франции левые требуют вернуть отменённый Макроном налог и регулярно вносят законопроекты, в Бельгии обсуждается сбор на крупные капиталы как условие коалиционного соглашения. Против играет простое соображение: капитал уезжает быстрее, чем принимается закон.</w:t>
      </w:r>
    </w:p>
    <w:p>
      <w:pPr>
        <w:spacing w:before="60" w:after="60"/>
      </w:pPr>
      <w:r>
        <w:rPr>
          <w:rFonts w:ascii="Calibri" w:hAnsi="Calibri" w:cs="Calibri"/>
          <w:b/>
          <w:color w:val="1F3864"/>
          <w:sz w:val="20"/>
          <w:szCs w:val="20"/>
        </w:rPr>
        <w:t xml:space="preserve">ИИ анализ: </w:t>
      </w:r>
      <w:hyperlink r:id="rIdLink19">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внесении бюджетов цены перераспределить.</w:t>
      </w:r>
    </w:p>
    <w:p>
      <w:pPr>
        <w:spacing w:before="320" w:after="140"/>
      </w:pPr>
      <w:r>
        <w:rPr>
          <w:rFonts w:ascii="Calibri" w:hAnsi="Calibri" w:cs="Calibri"/>
          <w:b/>
          <w:color w:val="1F3864"/>
          <w:sz w:val="26"/>
          <w:szCs w:val="26"/>
        </w:rPr>
        <w:t xml:space="preserve">11. Кто первым повысит пенсионный возраст?</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Бельгия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Нидерланды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Италия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повысит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парламент или правительство которой первыми по хронологии в период с 09.08.2026 по 31.12.2026 примут акт, повышающий установленный возраст выхода на пенсию по старости, с указанной датой вступления в силу.</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Автоматическая индексация возраста по формуле, принятой ранее и не требующей нового решения; повышение стажа без изменения возраста; отмена досрочных пенсий для отдельных профессий; обсуждение реформ без принятия акта; решение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принятого акта с датой вступления в силу.</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«Из перечисленных никто не повысит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старение населения давит на бюджеты всей Европы, но пенсионный возраст остаётся политическим динамитом: французская реформа вывела на улицы миллионы и стоила правительству устойчивости. Бельгия обсуждает ужесточение условий выхода на пенсию как часть плана сокращения дефицита, в Нидерландах возраст привязан к продолжительности жизни и пересматривается регулярно, в Италии действующий механизм индексации откладывали политическим решением несколько раз подряд. Вопрос в том, кто решится сделать это новым законом, а не автоматом.</w:t>
      </w:r>
    </w:p>
    <w:p>
      <w:pPr>
        <w:spacing w:before="60" w:after="60"/>
      </w:pPr>
      <w:r>
        <w:rPr>
          <w:rFonts w:ascii="Calibri" w:hAnsi="Calibri" w:cs="Calibri"/>
          <w:b/>
          <w:color w:val="1F3864"/>
          <w:sz w:val="20"/>
          <w:szCs w:val="20"/>
        </w:rPr>
        <w:t xml:space="preserve">ИИ анализ: </w:t>
      </w:r>
      <w:hyperlink r:id="rIdLink20">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принятии бюджетов цены перераспределить.</w:t>
      </w:r>
    </w:p>
    <w:p>
      <w:pPr>
        <w:spacing w:before="320" w:after="140"/>
      </w:pPr>
      <w:r>
        <w:rPr>
          <w:rFonts w:ascii="Calibri" w:hAnsi="Calibri" w:cs="Calibri"/>
          <w:b/>
          <w:color w:val="1F3864"/>
          <w:sz w:val="26"/>
          <w:szCs w:val="26"/>
        </w:rPr>
        <w:t xml:space="preserve">12. Сколько Германия потратит на беженцев и миграцию за 2026 год?</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22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22 до 25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1.67 (60%)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25 до 28 млрд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28 млрд евро и более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Совокупные расходы федерального бюджета Германии на беженцев и миграцию за 2026 год по официальным данным Федерального министерства финансов. Диапазон включает нижнюю границу и не включает верхнюю. Резолюция по первой публикации с годовым итогом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Расходы земель и муниципалитетов, не входящие в федеральный бюджет; расходы на интеграцию за пределами профильных статей; плановые цифры вместо фактических; расходы других стран.</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отчётности Федерального министерства финансов Германии об исполнении бюджета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об исполнении бюджета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министерство финансов Германии, отчётность об исполнении бюджета.</w:t>
      </w:r>
    </w:p>
    <w:p>
      <w:pPr>
        <w:spacing w:before="120" w:after="60"/>
      </w:pPr>
      <w:r>
        <w:rPr>
          <w:rFonts w:ascii="Calibri" w:hAnsi="Calibri" w:cs="Calibri"/>
          <w:i/>
          <w:color w:val="666666"/>
          <w:sz w:val="19"/>
          <w:szCs w:val="19"/>
        </w:rPr>
        <w:t xml:space="preserve">Контекст: в 2025 году Германия потратила на беженцев и миграцию 24.8 млрд евро — на 3.2 млрд меньше, чем годом раньше, и это минимум с 2021 года. Самая крупная статья — социальные выплаты после прохождения процедуры убежища, 11.8 млрд. Прогноз на 2027 год — около 23.2 млрд, то есть ожидается дальнейшее снижение. Но прорыв в Сеуту показал, что приток может измениться за одни сутки, а разбирательство с теми, кто уже вошёл, ложится на бюджеты годами.</w:t>
      </w:r>
    </w:p>
    <w:p>
      <w:pPr>
        <w:spacing w:before="60" w:after="60"/>
      </w:pPr>
      <w:r>
        <w:rPr>
          <w:rFonts w:ascii="Calibri" w:hAnsi="Calibri" w:cs="Calibri"/>
          <w:b/>
          <w:color w:val="1F3864"/>
          <w:sz w:val="20"/>
          <w:szCs w:val="20"/>
        </w:rPr>
        <w:t xml:space="preserve">ИИ анализ: </w:t>
      </w:r>
      <w:hyperlink r:id="rIdLink21">
        <w:r>
          <w:rPr>
            <w:rFonts w:ascii="Calibri" w:hAnsi="Calibri"/>
            <w:color w:val="2554A0"/>
            <w:u w:val="single"/>
            <w:sz w:val="20"/>
            <w:szCs w:val="20"/>
          </w:rPr>
          <w:t xml:space="preserve">https://www.bundesfinanzministerium.de/Web/EN/Home/home.html</w:t>
        </w:r>
      </w:hyperlink>
      <w:r>
        <w:rPr>
          <w:rFonts w:ascii="Calibri" w:hAnsi="Calibri" w:cs="Calibri"/>
          <w:color w:val="000000"/>
          <w:sz w:val="20"/>
          <w:szCs w:val="20"/>
        </w:rPr>
        <w:t xml:space="preserve"> (официальная бюджетная отчётность Германии — арбитр факта) </w:t>
      </w:r>
      <w:hyperlink r:id="rIdLink22">
        <w:r>
          <w:rPr>
            <w:rFonts w:ascii="Calibri" w:hAnsi="Calibri"/>
            <w:color w:val="2554A0"/>
            <w:u w:val="single"/>
            <w:sz w:val="20"/>
            <w:szCs w:val="20"/>
          </w:rPr>
          <w:t xml:space="preserve">https://tradingeconomics.com/germany/government-budget</w:t>
        </w:r>
      </w:hyperlink>
      <w:r>
        <w:rPr>
          <w:rFonts w:ascii="Calibri" w:hAnsi="Calibri" w:cs="Calibri"/>
          <w:color w:val="000000"/>
          <w:sz w:val="20"/>
          <w:szCs w:val="20"/>
        </w:rPr>
        <w:t xml:space="preserve"> (состояние бюджета Германии — контекст возможностей)</w:t>
      </w:r>
    </w:p>
    <w:p>
      <w:pPr>
        <w:spacing w:before="320" w:after="140"/>
      </w:pPr>
      <w:r>
        <w:rPr>
          <w:rFonts w:ascii="Calibri" w:hAnsi="Calibri" w:cs="Calibri"/>
          <w:b/>
          <w:color w:val="1F3864"/>
          <w:sz w:val="26"/>
          <w:szCs w:val="26"/>
        </w:rPr>
        <w:t xml:space="preserve">13. Какой лимит хранения цифрового евро утвердят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1500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1500 до 3000 евро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2.86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1.54 (65%)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3000 евро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Лимит не утвердят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2.86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Предельная сумма цифровых евро, которую разрешено держать одному человеку, зафиксированная в согласованном тексте регламента о цифровом евро либо в рекомендации ЕЦБ, официально опубликованной до 31.12.2026. Диапазон включает нижнюю границу и не включает верхнюю: лимит ровно 1500 евро попадает в «От 1500 до 3000 евро», ровно 3000 — в «3000 евро и выше».</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Позиции Европарламента и Совета по отдельности без согласованного текста; предложения и черновики без официальной публикации; лимиты на разовый платёж вместо лимита хранения; параметры пилотной программы для банков.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публикации согласованного текста в Официальном журнале Европейского союза либо по официальной рекомендации ЕЦБ.</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согласованного лимита нет — «Лимит не утвердят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Европарламент, ЕЦБ (официальные документы по цифровому евро).</w:t>
      </w:r>
    </w:p>
    <w:p>
      <w:pPr>
        <w:spacing w:before="120" w:after="60"/>
      </w:pPr>
      <w:r>
        <w:rPr>
          <w:rFonts w:ascii="Calibri" w:hAnsi="Calibri" w:cs="Calibri"/>
          <w:i/>
          <w:color w:val="666666"/>
          <w:sz w:val="19"/>
          <w:szCs w:val="19"/>
        </w:rPr>
        <w:t xml:space="preserve">Контекст: 9 июля Европарламент проголосовал за начало финальных переговоров по цифровому евро — 43 голоса против 14. Лимит нужен, чтобы люди массово не переложили деньги из банков в цифровой кошелёк ЕЦБ, обрушив банковскую систему. Обсуждаемый коридор — от 1500 до 3000 евро на человека. Договориться стороны намерены до конца 2026, запуск валюты — 2029 год. Параллельно с 10 июля 2027 в ЕС вводится потолок наличных расчётов в 10 тысяч евро, а сделки от 3 тысяч потребуют проверки личности покупателя.</w:t>
      </w:r>
    </w:p>
    <w:p>
      <w:pPr>
        <w:spacing w:before="60" w:after="60"/>
      </w:pPr>
      <w:r>
        <w:rPr>
          <w:rFonts w:ascii="Calibri" w:hAnsi="Calibri" w:cs="Calibri"/>
          <w:b/>
          <w:color w:val="1F3864"/>
          <w:sz w:val="20"/>
          <w:szCs w:val="20"/>
        </w:rPr>
        <w:t xml:space="preserve">ИИ анализ: </w:t>
      </w:r>
      <w:hyperlink r:id="rIdLink23">
        <w:r>
          <w:rPr>
            <w:rFonts w:ascii="Calibri" w:hAnsi="Calibri"/>
            <w:color w:val="2554A0"/>
            <w:u w:val="single"/>
            <w:sz w:val="20"/>
            <w:szCs w:val="20"/>
          </w:rPr>
          <w:t xml:space="preserve">https://www.ecb.europa.eu/euro/digital_euro/html/index.en.html</w:t>
        </w:r>
      </w:hyperlink>
      <w:r>
        <w:rPr>
          <w:rFonts w:ascii="Calibri" w:hAnsi="Calibri" w:cs="Calibri"/>
          <w:color w:val="000000"/>
          <w:sz w:val="20"/>
          <w:szCs w:val="20"/>
        </w:rPr>
        <w:t xml:space="preserve"> (официальный статус проекта цифрового евро — арбитр факта) </w:t>
      </w:r>
      <w:hyperlink r:id="rIdLink24">
        <w:r>
          <w:rPr>
            <w:rFonts w:ascii="Calibri" w:hAnsi="Calibri"/>
            <w:color w:val="2554A0"/>
            <w:u w:val="single"/>
            <w:sz w:val="20"/>
            <w:szCs w:val="20"/>
          </w:rPr>
          <w:t xml:space="preserve">https://www.consilium.europa.eu/en/press/press-releases/</w:t>
        </w:r>
      </w:hyperlink>
      <w:r>
        <w:rPr>
          <w:rFonts w:ascii="Calibri" w:hAnsi="Calibri" w:cs="Calibri"/>
          <w:color w:val="000000"/>
          <w:sz w:val="20"/>
          <w:szCs w:val="20"/>
        </w:rPr>
        <w:t xml:space="preserve"> (решения Совета ЕС по регламенту — живой ход переговоров)</w:t>
      </w:r>
    </w:p>
    <w:p>
      <w:pPr>
        <w:spacing w:before="320" w:after="140"/>
      </w:pPr>
      <w:r>
        <w:rPr>
          <w:rFonts w:ascii="Calibri" w:hAnsi="Calibri" w:cs="Calibri"/>
          <w:b/>
          <w:color w:val="1F3864"/>
          <w:sz w:val="26"/>
          <w:szCs w:val="26"/>
        </w:rPr>
        <w:t xml:space="preserve">14. Кто первым введёт нормирование газа для промышленности?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Германия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Австрия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Словакия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введёт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правительство или регулятор которой первыми по хронологии в период с 09.08.2026 по 31.12.2026 объявят обязательное ограничение объёмов потребления газа для промышленных потребителей, с указанной датой начала действия.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Добровольные соглашения о сокращении потребления; повышение тарифов и отмена субсидий; ограничения только для населения; планы на случай чрезвычайной ситуации без их введения; решение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решению правительства или энергетического регулятора соответствующей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нормирования нет — «Из перечисленных никто не введёт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энергетика: https://www.reuters.com/business/energy/</w:t>
      </w:r>
    </w:p>
    <w:p>
      <w:pPr>
        <w:spacing w:before="120" w:after="60"/>
      </w:pPr>
      <w:r>
        <w:rPr>
          <w:rFonts w:ascii="Calibri" w:hAnsi="Calibri" w:cs="Calibri"/>
          <w:i/>
          <w:color w:val="666666"/>
          <w:sz w:val="19"/>
          <w:szCs w:val="19"/>
        </w:rPr>
        <w:t xml:space="preserve">Контекст: после отказа от российского трубопроводного газа Европа прошла несколько зим на сжиженном топливе и заполненных хранилищах, но запас прочности зависит от погоды и от конкуренции с Азией за танкеры. Германия остаётся крупнейшим потребителем с самой тяжёлой промышленностью, Австрия дольше всех зависела от российских поставок, Словакия лишилась транзита через Украину и громче всех требует его вернуть. Нормирование — крайняя мера, к которой не прибегали даже в кризисном 2022 году.</w:t>
      </w:r>
    </w:p>
    <w:p>
      <w:pPr>
        <w:spacing w:before="60" w:after="60"/>
      </w:pPr>
      <w:r>
        <w:rPr>
          <w:rFonts w:ascii="Calibri" w:hAnsi="Calibri" w:cs="Calibri"/>
          <w:b/>
          <w:color w:val="1F3864"/>
          <w:sz w:val="20"/>
          <w:szCs w:val="20"/>
        </w:rPr>
        <w:t xml:space="preserve">ИИ анализ: </w:t>
      </w:r>
      <w:hyperlink r:id="rIdLink25">
        <w:r>
          <w:rPr>
            <w:rFonts w:ascii="Calibri" w:hAnsi="Calibri"/>
            <w:color w:val="2554A0"/>
            <w:u w:val="single"/>
            <w:sz w:val="20"/>
            <w:szCs w:val="20"/>
          </w:rPr>
          <w:t xml:space="preserve">https://www.reuters.com/business/energy/</w:t>
        </w:r>
      </w:hyperlink>
      <w:r>
        <w:rPr>
          <w:rFonts w:ascii="Calibri" w:hAnsi="Calibri" w:cs="Calibri"/>
          <w:color w:val="000000"/>
          <w:sz w:val="20"/>
          <w:szCs w:val="20"/>
        </w:rPr>
        <w:t xml:space="preserve"> (энергетическая лента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холодах и росте цен на газ цены перераспределить.</w:t>
      </w:r>
    </w:p>
    <w:p>
      <w:pPr>
        <w:spacing w:before="320" w:after="140"/>
      </w:pPr>
      <w:r>
        <w:rPr>
          <w:rFonts w:ascii="Calibri" w:hAnsi="Calibri" w:cs="Calibri"/>
          <w:b/>
          <w:color w:val="1F3864"/>
          <w:sz w:val="26"/>
          <w:szCs w:val="26"/>
        </w:rPr>
        <w:t xml:space="preserve">15. Введёт ли ЕС потолок цен на энергию для населения до 31 декабря?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3.33 (30%)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Совет ЕС принимает правовой акт, устанавливающий предельную цену на газ или электроэнергию для бытовых потребителей, обязательный для стран-членов,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Национальные потолки и заморозки цен отдельных стран; снижение НДС и акцизов; адресные субсидии и энергетические ваучеры; потолок доходов производителей электроэнергии без ограничения цены для потребителя; предложения Еврокомиссии без принятия Советом; продление механизмов 2022 года.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публикации акта в Официальном журнале Европейского союза.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такой акт Советом ЕС не принят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Официальный журнал Европейского союза; Reuters.</w:t>
      </w:r>
    </w:p>
    <w:p>
      <w:pPr>
        <w:spacing w:before="120" w:after="60"/>
      </w:pPr>
      <w:r>
        <w:rPr>
          <w:rFonts w:ascii="Calibri" w:hAnsi="Calibri" w:cs="Calibri"/>
          <w:i/>
          <w:color w:val="666666"/>
          <w:sz w:val="19"/>
          <w:szCs w:val="19"/>
        </w:rPr>
        <w:t xml:space="preserve">Контекст: еврокомиссар по энергетике Дан Йоргенсен заявил, что ЕС прорабатывает худшие сценарии вплоть до нормирования топлива. В обсуждаемом пакете — снижение налогов на электричество, прямые субсидии населению, около 30 млрд долларов промышленности и потолки цен на энергоносители. В 2022 году такой механизм уже принимали: динамический потолок 180 евро за мегаватт-час. Против выступают те, кто помнит, чем это кончилось — при потолке ниже мировых цен поставщики уходят на другие рынки.</w:t>
      </w:r>
    </w:p>
    <w:p>
      <w:pPr>
        <w:spacing w:before="60" w:after="60"/>
      </w:pPr>
      <w:r>
        <w:rPr>
          <w:rFonts w:ascii="Calibri" w:hAnsi="Calibri" w:cs="Calibri"/>
          <w:b/>
          <w:color w:val="1F3864"/>
          <w:sz w:val="20"/>
          <w:szCs w:val="20"/>
        </w:rPr>
        <w:t xml:space="preserve">ИИ анализ: </w:t>
      </w:r>
      <w:hyperlink r:id="rIdLink26">
        <w:r>
          <w:rPr>
            <w:rFonts w:ascii="Calibri" w:hAnsi="Calibri"/>
            <w:color w:val="2554A0"/>
            <w:u w:val="single"/>
            <w:sz w:val="20"/>
            <w:szCs w:val="20"/>
          </w:rPr>
          <w:t xml:space="preserve">https://tradingeconomics.com/commodity/eu-natural-gas</w:t>
        </w:r>
      </w:hyperlink>
      <w:r>
        <w:rPr>
          <w:rFonts w:ascii="Calibri" w:hAnsi="Calibri" w:cs="Calibri"/>
          <w:color w:val="000000"/>
          <w:sz w:val="20"/>
          <w:szCs w:val="20"/>
        </w:rPr>
        <w:t xml:space="preserve"> (цена газа TTF — живая котировка) </w:t>
      </w:r>
      <w:hyperlink r:id="rIdLink27">
        <w:r>
          <w:rPr>
            <w:rFonts w:ascii="Calibri" w:hAnsi="Calibri"/>
            <w:color w:val="2554A0"/>
            <w:u w:val="single"/>
            <w:sz w:val="20"/>
            <w:szCs w:val="20"/>
          </w:rPr>
          <w:t xml:space="preserve">https://energy.ec.europa.eu/topics/markets-and-consumers/actions-and-measures-energy-prices_en</w:t>
        </w:r>
      </w:hyperlink>
      <w:r>
        <w:rPr>
          <w:rFonts w:ascii="Calibri" w:hAnsi="Calibri" w:cs="Calibri"/>
          <w:color w:val="000000"/>
          <w:sz w:val="20"/>
          <w:szCs w:val="20"/>
        </w:rPr>
        <w:t xml:space="preserve"> (официальные меры ЕС по ценам на энергию — арбитр факта)</w:t>
      </w:r>
    </w:p>
    <w:p>
      <w:pPr>
        <w:spacing w:before="320" w:after="140"/>
      </w:pPr>
      <w:r>
        <w:rPr>
          <w:rFonts w:ascii="Calibri" w:hAnsi="Calibri" w:cs="Calibri"/>
          <w:b/>
          <w:color w:val="1F3864"/>
          <w:sz w:val="26"/>
          <w:szCs w:val="26"/>
        </w:rPr>
        <w:t xml:space="preserve">16. Кто первым введёт налог на выезд для уезжающих миллионеров?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Нидерланды</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Франция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Германия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введёт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парламент которой первым по хронологии в период с 09.08.2026 по 31.12.2026 примет закон, облагающий налогом нереализованный прирост капитала физических лиц при смене налогового резидентства, с указанной датой вступления в силу.</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Действующие налоги на выезд для компаний при переносе активов; налоги на реализованную прибыль при продаже активов; ужесточение правил определения резидентства без налога; законопроекты без принятия; введение страной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тексту принятого закона с датой вступления в силу.</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законов нет — «Из перечисленных никто не введёт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богатые европейцы уезжают в Дубай, Швейцарию и Италию с её льготным режимом для новых резидентов, унося с собой налоговую базу целых регионов. Ответ обсуждается один и тот же: обложить нереализованную прибыль в момент отъезда, как это давно делают США. В Нидерландах такой налог для крупных акционеров уже существует и его предлагают расширить, во Франции подобные поправки вносят в каждый бюджет, в Германии действует ограниченная версия для долей в компаниях. Против — свобода передвижения капитала внутри ЕС, за которую цепляются суды.</w:t>
      </w:r>
    </w:p>
    <w:p>
      <w:pPr>
        <w:spacing w:before="60" w:after="60"/>
      </w:pPr>
      <w:r>
        <w:rPr>
          <w:rFonts w:ascii="Calibri" w:hAnsi="Calibri" w:cs="Calibri"/>
          <w:b/>
          <w:color w:val="1F3864"/>
          <w:sz w:val="20"/>
          <w:szCs w:val="20"/>
        </w:rPr>
        <w:t xml:space="preserve">ИИ анализ: </w:t>
      </w:r>
      <w:hyperlink r:id="rIdLink28">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внесении бюджетов цены перераспределить.</w:t>
      </w:r>
    </w:p>
    <w:p>
      <w:pPr>
        <w:spacing w:before="320" w:after="140"/>
      </w:pPr>
      <w:r>
        <w:rPr>
          <w:rFonts w:ascii="Calibri" w:hAnsi="Calibri" w:cs="Calibri"/>
          <w:b/>
          <w:color w:val="1F3864"/>
          <w:sz w:val="26"/>
          <w:szCs w:val="26"/>
        </w:rPr>
        <w:t xml:space="preserve">17. Превысит ли газ в Европе 100 евро за мегаватт-час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Цена закрытия фьючерса на газ на хабе TTF в Нидерландах превышает 100 евро за мегаватт-час хотя бы в один торговый день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пики без закрытия выше порога; котировки на других хабах; спотовые сделки вне биржи; цены в долларах за тысячу кубометров без пересчёта в евро за мегаватт-час.</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биржи ICE Endex о ценах закрытия фьючерса TTF.</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закрытие выше 100 евро не зафиксировано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Биржа ICE Endex, фьючерс TTF; Reuters.</w:t>
      </w:r>
    </w:p>
    <w:p>
      <w:pPr>
        <w:spacing w:before="120" w:after="60"/>
      </w:pPr>
      <w:r>
        <w:rPr>
          <w:rFonts w:ascii="Calibri" w:hAnsi="Calibri" w:cs="Calibri"/>
          <w:i/>
          <w:color w:val="666666"/>
          <w:sz w:val="19"/>
          <w:szCs w:val="19"/>
        </w:rPr>
        <w:t xml:space="preserve">Контекст: после ударов по Ирану газ подскочил с 31.9 до 54.3 евро за мегаватт-час, то есть почти на 70%, и держится около этого уровня. Хранилища ЕС на конец июля заполнены на 56.9% против 68.6% годом ранее — это на 12 пунктов меньше запаса перед зимой. Планка в 100 евро — это не рекорд: в августе 2022 газ доходил до 340 евро. Но это уровень, при котором энергоёмкая промышленность останавливается, а правительства переходят от разговоров к экстренным мерам.</w:t>
      </w:r>
    </w:p>
    <w:p>
      <w:pPr>
        <w:spacing w:before="60" w:after="60"/>
      </w:pPr>
      <w:r>
        <w:rPr>
          <w:rFonts w:ascii="Calibri" w:hAnsi="Calibri" w:cs="Calibri"/>
          <w:b/>
          <w:color w:val="1F3864"/>
          <w:sz w:val="20"/>
          <w:szCs w:val="20"/>
        </w:rPr>
        <w:t xml:space="preserve">ИИ анализ: </w:t>
      </w:r>
      <w:hyperlink r:id="rIdLink29">
        <w:r>
          <w:rPr>
            <w:rFonts w:ascii="Calibri" w:hAnsi="Calibri"/>
            <w:color w:val="2554A0"/>
            <w:u w:val="single"/>
            <w:sz w:val="20"/>
            <w:szCs w:val="20"/>
          </w:rPr>
          <w:t xml:space="preserve">https://tradingeconomics.com/commodity/eu-natural-gas</w:t>
        </w:r>
      </w:hyperlink>
      <w:r>
        <w:rPr>
          <w:rFonts w:ascii="Calibri" w:hAnsi="Calibri" w:cs="Calibri"/>
          <w:color w:val="000000"/>
          <w:sz w:val="20"/>
          <w:szCs w:val="20"/>
        </w:rPr>
        <w:t xml:space="preserve"> (живая котировка TTF, обновляется в реальном времени) </w:t>
      </w:r>
      <w:hyperlink r:id="rIdLink30">
        <w:r>
          <w:rPr>
            <w:rFonts w:ascii="Calibri" w:hAnsi="Calibri"/>
            <w:color w:val="2554A0"/>
            <w:u w:val="single"/>
            <w:sz w:val="20"/>
            <w:szCs w:val="20"/>
          </w:rPr>
          <w:t xml:space="preserve">https://agsi.gie.eu/</w:t>
        </w:r>
      </w:hyperlink>
      <w:r>
        <w:rPr>
          <w:rFonts w:ascii="Calibri" w:hAnsi="Calibri" w:cs="Calibri"/>
          <w:color w:val="000000"/>
          <w:sz w:val="20"/>
          <w:szCs w:val="20"/>
        </w:rPr>
        <w:t xml:space="preserve"> (уровень заполнения газовых хранилищ Европы — арбитр запаса прочности)</w:t>
      </w:r>
    </w:p>
    <w:p>
      <w:pPr>
        <w:spacing w:before="320" w:after="140"/>
      </w:pPr>
      <w:r>
        <w:rPr>
          <w:rFonts w:ascii="Calibri" w:hAnsi="Calibri" w:cs="Calibri"/>
          <w:b/>
          <w:color w:val="1F3864"/>
          <w:sz w:val="26"/>
          <w:szCs w:val="26"/>
        </w:rPr>
        <w:t xml:space="preserve">18. Обанкротится ли банк из первой сотни Европы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8.33 (12%)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1.14 (88%)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Банк, входящий в список системно значимых банков Европейского центрального банка, объявляется несостоятельным, передаётся под процедуру урегулирования Единым советом по урегулированию либо его обязательства списываются в рамках механизма bail-in,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Добровольное слияние и поглощение на рыночных условиях; продажа подразделений; сокращение сети отделений; снижение кредитного рейтинга; убытки по итогам квартала без процедуры урегулирования; банки за пределами первой сотни по активам.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решениям Единого совета по урегулированию и национальных надзорных органов; при разногласиях о размере банка — по рэнкингу активов ЕЦБ.</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Единый совет по урегулированию (SRB), ЕЦБ (банковский надзор); Reuters.</w:t>
      </w:r>
    </w:p>
    <w:p>
      <w:pPr>
        <w:spacing w:before="120" w:after="60"/>
      </w:pPr>
      <w:r>
        <w:rPr>
          <w:rFonts w:ascii="Calibri" w:hAnsi="Calibri" w:cs="Calibri"/>
          <w:i/>
          <w:color w:val="666666"/>
          <w:sz w:val="19"/>
          <w:szCs w:val="19"/>
        </w:rPr>
        <w:t xml:space="preserve">Контекст: банковские правила, принятые для устойчивости после кризиса 2008 года, сейчас снова ослабляют. Кредитные стандарты ужесточаются, спрос на кредит падает, банкротства компаний в Европе растут пятый год подряд, а под угрозой из-за них 1.3 млн рабочих мест. Германия стагнирует, Франция борется с долгом, Италия — с рефинансированием. Последний раз крупный европейский банк уходил под урегулирование в 2023 году, когда Credit Suisse экстренно продали UBS за выходные.</w:t>
      </w:r>
    </w:p>
    <w:p>
      <w:pPr>
        <w:spacing w:before="60" w:after="60"/>
      </w:pPr>
      <w:r>
        <w:rPr>
          <w:rFonts w:ascii="Calibri" w:hAnsi="Calibri" w:cs="Calibri"/>
          <w:b/>
          <w:color w:val="1F3864"/>
          <w:sz w:val="20"/>
          <w:szCs w:val="20"/>
        </w:rPr>
        <w:t xml:space="preserve">ИИ анализ: </w:t>
      </w:r>
      <w:hyperlink r:id="rIdLink31">
        <w:r>
          <w:rPr>
            <w:rFonts w:ascii="Calibri" w:hAnsi="Calibri"/>
            <w:color w:val="2554A0"/>
            <w:u w:val="single"/>
            <w:sz w:val="20"/>
            <w:szCs w:val="20"/>
          </w:rPr>
          <w:t xml:space="preserve">https://www.srb.europa.eu/en</w:t>
        </w:r>
      </w:hyperlink>
      <w:r>
        <w:rPr>
          <w:rFonts w:ascii="Calibri" w:hAnsi="Calibri" w:cs="Calibri"/>
          <w:color w:val="000000"/>
          <w:sz w:val="20"/>
          <w:szCs w:val="20"/>
        </w:rPr>
        <w:t xml:space="preserve"> (Единый совет по урегулированию — арбитр факта) </w:t>
      </w:r>
      <w:hyperlink r:id="rIdLink32">
        <w:r>
          <w:rPr>
            <w:rFonts w:ascii="Calibri" w:hAnsi="Calibri"/>
            <w:color w:val="2554A0"/>
            <w:u w:val="single"/>
            <w:sz w:val="20"/>
            <w:szCs w:val="20"/>
          </w:rPr>
          <w:t xml:space="preserve">https://www.ecb.europa.eu/press/financial-stability-publications/fsr/html/index.en.html</w:t>
        </w:r>
      </w:hyperlink>
      <w:r>
        <w:rPr>
          <w:rFonts w:ascii="Calibri" w:hAnsi="Calibri" w:cs="Calibri"/>
          <w:color w:val="000000"/>
          <w:sz w:val="20"/>
          <w:szCs w:val="20"/>
        </w:rPr>
        <w:t xml:space="preserve"> (обзор финансовой стабильности ЕЦБ — оценка рисков)</w:t>
      </w:r>
    </w:p>
    <w:p>
      <w:pPr>
        <w:spacing w:before="320" w:after="140"/>
      </w:pPr>
      <w:r>
        <w:rPr>
          <w:rFonts w:ascii="Calibri" w:hAnsi="Calibri" w:cs="Calibri"/>
          <w:b/>
          <w:color w:val="1F3864"/>
          <w:sz w:val="26"/>
          <w:szCs w:val="26"/>
        </w:rPr>
        <w:t xml:space="preserve">19. Придётся ли стране еврозоны докапитализировать свой центробанк?</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6.67 (15%)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Правительство страны еврозоны принимает решение о внесении средств в капитал национального центрального банка для покрытия его убытков, до 31.12.2026. Засчитывается и прямое вливание, и государственная гарантия по убыткам, оформленная нормативным актом.</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Отражение убытка в отчётности без вливания средств; перенос убытков на будущие периоды; отказ от перечисления прибыли в бюджет; докапитализация коммерческих банков; помощь центробанкам стран за пределами еврозоны.</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годовой отчётности соответствующего центрального банка и официально опубликованным нормативным актам страны.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Национальные центральные банки еврозоны (годовая отчётность), правовые вестники стран; Reuters.</w:t>
      </w:r>
    </w:p>
    <w:p>
      <w:pPr>
        <w:spacing w:before="120" w:after="60"/>
      </w:pPr>
      <w:r>
        <w:rPr>
          <w:rFonts w:ascii="Calibri" w:hAnsi="Calibri" w:cs="Calibri"/>
          <w:i/>
          <w:color w:val="666666"/>
          <w:sz w:val="19"/>
          <w:szCs w:val="19"/>
        </w:rPr>
        <w:t xml:space="preserve">Контекст: центробанки еврозоны годами скупали гособлигации под околонулевые ставки, а теперь платят банкам по депозитам 2.25% — то есть несут убыток по собственному портфелю. Бундесбанк потерял 19 млрд евро в 2024 году и 8.6 млрд в 2025-м, накопленный убыток дошёл до 27.8 млрд, прибыль в бюджет Германии он не перечисляет. Сам Бундесбанк говорит, что справится своими силами: капитал 363 млрд евро, резервы переоценки 388 млрд, а убытки назвали «временными по своей природе». Но у небольших центробанков еврозоны подушка тоньше, а ЕЦБ поднимает ставку дальше — рынок ждёт повышения в сентябре с вероятностью около 70%, и каждый шаг вверх увеличивает выплаты.</w:t>
      </w:r>
    </w:p>
    <w:p>
      <w:pPr>
        <w:spacing w:before="60" w:after="60"/>
      </w:pPr>
      <w:r>
        <w:rPr>
          <w:rFonts w:ascii="Calibri" w:hAnsi="Calibri" w:cs="Calibri"/>
          <w:b/>
          <w:color w:val="1F3864"/>
          <w:sz w:val="20"/>
          <w:szCs w:val="20"/>
        </w:rPr>
        <w:t xml:space="preserve">ИИ анализ: </w:t>
      </w:r>
      <w:hyperlink r:id="rIdLink33">
        <w:r>
          <w:rPr>
            <w:rFonts w:ascii="Calibri" w:hAnsi="Calibri"/>
            <w:color w:val="2554A0"/>
            <w:u w:val="single"/>
            <w:sz w:val="20"/>
            <w:szCs w:val="20"/>
          </w:rPr>
          <w:t xml:space="preserve">https://www.ecb.europa.eu/press/annual-reports-financial-statements/html/index.en.html</w:t>
        </w:r>
      </w:hyperlink>
      <w:r>
        <w:rPr>
          <w:rFonts w:ascii="Calibri" w:hAnsi="Calibri" w:cs="Calibri"/>
          <w:color w:val="000000"/>
          <w:sz w:val="20"/>
          <w:szCs w:val="20"/>
        </w:rPr>
        <w:t xml:space="preserve"> (отчётность ЕЦБ и национальных центробанков — арбитр факта) </w:t>
      </w:r>
      <w:hyperlink r:id="rIdLink34">
        <w:r>
          <w:rPr>
            <w:rFonts w:ascii="Calibri" w:hAnsi="Calibri"/>
            <w:color w:val="2554A0"/>
            <w:u w:val="single"/>
            <w:sz w:val="20"/>
            <w:szCs w:val="20"/>
          </w:rPr>
          <w:t xml:space="preserve">https://tradingeconomics.com/euro-area/interest-rate</w:t>
        </w:r>
      </w:hyperlink>
      <w:r>
        <w:rPr>
          <w:rFonts w:ascii="Calibri" w:hAnsi="Calibri" w:cs="Calibri"/>
          <w:color w:val="000000"/>
          <w:sz w:val="20"/>
          <w:szCs w:val="20"/>
        </w:rPr>
        <w:t xml:space="preserve"> (ставка ЕЦБ — источник убытков по портфелю)</w:t>
      </w:r>
    </w:p>
    <w:p>
      <w:pPr>
        <w:spacing w:before="320" w:after="140"/>
      </w:pPr>
      <w:r>
        <w:rPr>
          <w:rFonts w:ascii="Calibri" w:hAnsi="Calibri" w:cs="Calibri"/>
          <w:b/>
          <w:color w:val="1F3864"/>
          <w:sz w:val="26"/>
          <w:szCs w:val="26"/>
        </w:rPr>
        <w:t xml:space="preserve">20. Договорятся ли министры ЕС по энергопакету на заседании 28-29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2.50 (40%)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1.67 (60%)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По итогам заседания министров энергетики ЕС 28-29.09.2026 публикуется совместное заявление или заключения Совета с согласованными экстренными мерами по ценам на энергию — потолок цен, налог на сверхприбыль энергокомпаний либо обязательное сокращение потребления. Достаточно согласования хотя бы одной из этих мер.</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Общие формулировки о необходимости действовать без конкретной меры; перенос решения на следующее заседание; заявления отдельных министров и стран; меры, касающиеся только сетей и инфраструктуры; решения по итогам других заседаний.</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тексту заключений Совета ЕС и пресс-релизу по итогам заседания.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заседание не состоялось или заключения не опубликованы к 15.10.2026 — НЕТ. Резолюция не позднее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заключения и пресс-релизы по итогам заседания министров энергетики.</w:t>
      </w:r>
    </w:p>
    <w:p>
      <w:pPr>
        <w:spacing w:before="120" w:after="60"/>
      </w:pPr>
      <w:r>
        <w:rPr>
          <w:rFonts w:ascii="Calibri" w:hAnsi="Calibri" w:cs="Calibri"/>
          <w:i/>
          <w:color w:val="666666"/>
          <w:sz w:val="19"/>
          <w:szCs w:val="19"/>
        </w:rPr>
        <w:t xml:space="preserve">Контекст: неформальная встреча министров энергетики ЕС назначена на 28-29 сентября — прямо перед отопительным сезоном, и это ближайшая точка, где экстренные меры могут быть согласованы. На столе: потолок цен на энергоносители, возврат налога на сверхприбыль энергокомпаний, снижение акцизов, около 30 млрд долларов поддержки промышленности. Пять стран — Испания, Германия, Италия, Австрия и Португалия — потребовали общий налог ещё 3 апреля. Еврокомиссар Йоргенсен говорит, что прорабатываются худшие сценарии вплоть до нормирования топлива. Против — те, кто помнит: потолок ниже мировых цен уводит поставщиков на другие рынки.</w:t>
      </w:r>
    </w:p>
    <w:p>
      <w:pPr>
        <w:spacing w:before="60" w:after="60"/>
      </w:pPr>
      <w:r>
        <w:rPr>
          <w:rFonts w:ascii="Calibri" w:hAnsi="Calibri" w:cs="Calibri"/>
          <w:b/>
          <w:color w:val="1F3864"/>
          <w:sz w:val="20"/>
          <w:szCs w:val="20"/>
        </w:rPr>
        <w:t xml:space="preserve">ИИ анализ: </w:t>
      </w:r>
      <w:hyperlink r:id="rIdLink35">
        <w:r>
          <w:rPr>
            <w:rFonts w:ascii="Calibri" w:hAnsi="Calibri"/>
            <w:color w:val="2554A0"/>
            <w:u w:val="single"/>
            <w:sz w:val="20"/>
            <w:szCs w:val="20"/>
          </w:rPr>
          <w:t xml:space="preserve">https://tradingeconomics.com/commodity/eu-natural-gas</w:t>
        </w:r>
      </w:hyperlink>
      <w:r>
        <w:rPr>
          <w:rFonts w:ascii="Calibri" w:hAnsi="Calibri" w:cs="Calibri"/>
          <w:color w:val="000000"/>
          <w:sz w:val="20"/>
          <w:szCs w:val="20"/>
        </w:rPr>
        <w:t xml:space="preserve"> (цена газа TTF — давление на переговоры) </w:t>
      </w:r>
      <w:hyperlink r:id="rIdLink36">
        <w:r>
          <w:rPr>
            <w:rFonts w:ascii="Calibri" w:hAnsi="Calibri"/>
            <w:color w:val="2554A0"/>
            <w:u w:val="single"/>
            <w:sz w:val="20"/>
            <w:szCs w:val="20"/>
          </w:rPr>
          <w:t xml:space="preserve">https://www.consilium.europa.eu/en/meetings/tte/2026/09/28-29/</w:t>
        </w:r>
      </w:hyperlink>
      <w:r>
        <w:rPr>
          <w:rFonts w:ascii="Calibri" w:hAnsi="Calibri" w:cs="Calibri"/>
          <w:color w:val="000000"/>
          <w:sz w:val="20"/>
          <w:szCs w:val="20"/>
        </w:rPr>
        <w:t xml:space="preserve"> (официальная страница заседания и его итоги — арбитр факта)</w:t>
      </w:r>
    </w:p>
    <w:p>
      <w:pPr>
        <w:spacing w:before="60" w:after="60"/>
      </w:pPr>
      <w:r>
        <w:rPr>
          <w:rFonts w:ascii="Calibri" w:hAnsi="Calibri" w:cs="Calibri"/>
          <w:i/>
          <w:color w:val="666666"/>
          <w:sz w:val="18"/>
          <w:szCs w:val="18"/>
        </w:rPr>
        <w:t xml:space="preserve">Обновление: после заседания 28-29.09.2026 — если решение перенесено, перепривязать к следующему заседанию Совета.</w:t>
      </w:r>
    </w:p>
    <w:p>
      <w:pPr>
        <w:spacing w:before="320" w:after="140"/>
      </w:pPr>
      <w:r>
        <w:rPr>
          <w:rFonts w:ascii="Calibri" w:hAnsi="Calibri" w:cs="Calibri"/>
          <w:b/>
          <w:color w:val="1F3864"/>
          <w:sz w:val="26"/>
          <w:szCs w:val="26"/>
        </w:rPr>
        <w:t xml:space="preserve">21. Внесёт ли Франция бюджет с сокращением расходов до 30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1.54 (65%)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2.86 (35%)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Правительство Франции представляет Совету министров проект бюджета на 2027 год, в котором расходы государства снижены относительно бюджета на 2026 год, до 30.09.2026 включительно. Сравнение по строке общих расходов государства в сопроводительных документах Минэкономики.</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министров о планах сокращения; проект, представленный после 30.09.2026; бюджет с ростом расходов, даже при сокращении отдельных статей; изменения, внесённые парламентом после представления.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тексту проекта бюджета и сопроводительным документам Министерства экономики и финансов Франции.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30.09.2026 проект не представлен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Министерство экономики и финансов Франции, проект закона о финансах на 2027 год.</w:t>
      </w:r>
    </w:p>
    <w:p>
      <w:pPr>
        <w:spacing w:before="120" w:after="60"/>
      </w:pPr>
      <w:r>
        <w:rPr>
          <w:rFonts w:ascii="Calibri" w:hAnsi="Calibri" w:cs="Calibri"/>
          <w:i/>
          <w:color w:val="666666"/>
          <w:sz w:val="19"/>
          <w:szCs w:val="19"/>
        </w:rPr>
        <w:t xml:space="preserve">Контекст: по регламенту проект бюджета выносят на Совет министров 30 сентября, а в парламент вносят в первый вторник октября — то есть развязка близко и дата известна заранее. Франция уже потеряла категорию «двойное А»: Fitch понизило рейтинг в сентябре 2025, S&amp;P в октябре, Moody's держит негативный прогноз. Дефицит около 5.4% ВВП, глава Банка Франции назвал ситуацию «постепенным удушением». При этом приостановка пенсионной реформы, которой премьер купил себе выживание, стоит бюджету 1.8 млрд евро в 2027 году. Сокращать придётся, но парламент расколот, и урезанный бюджет — это заявка на вотум недоверия.</w:t>
      </w:r>
    </w:p>
    <w:p>
      <w:pPr>
        <w:spacing w:before="60" w:after="60"/>
      </w:pPr>
      <w:r>
        <w:rPr>
          <w:rFonts w:ascii="Calibri" w:hAnsi="Calibri" w:cs="Calibri"/>
          <w:b/>
          <w:color w:val="1F3864"/>
          <w:sz w:val="20"/>
          <w:szCs w:val="20"/>
        </w:rPr>
        <w:t xml:space="preserve">ИИ анализ: </w:t>
      </w:r>
      <w:hyperlink r:id="rIdLink37">
        <w:r>
          <w:rPr>
            <w:rFonts w:ascii="Calibri" w:hAnsi="Calibri"/>
            <w:color w:val="2554A0"/>
            <w:u w:val="single"/>
            <w:sz w:val="20"/>
            <w:szCs w:val="20"/>
          </w:rPr>
          <w:t xml:space="preserve">https://tradingeconomics.com/france/rating</w:t>
        </w:r>
      </w:hyperlink>
      <w:r>
        <w:rPr>
          <w:rFonts w:ascii="Calibri" w:hAnsi="Calibri" w:cs="Calibri"/>
          <w:color w:val="000000"/>
          <w:sz w:val="20"/>
          <w:szCs w:val="20"/>
        </w:rPr>
        <w:t xml:space="preserve"> (кредитный рейтинг Франции — давление, вынуждающее экономить) </w:t>
      </w:r>
      <w:hyperlink r:id="rIdLink38">
        <w:r>
          <w:rPr>
            <w:rFonts w:ascii="Calibri" w:hAnsi="Calibri"/>
            <w:color w:val="2554A0"/>
            <w:u w:val="single"/>
            <w:sz w:val="20"/>
            <w:szCs w:val="20"/>
          </w:rPr>
          <w:t xml:space="preserve">https://www.budget.gouv.fr/</w:t>
        </w:r>
      </w:hyperlink>
      <w:r>
        <w:rPr>
          <w:rFonts w:ascii="Calibri" w:hAnsi="Calibri" w:cs="Calibri"/>
          <w:color w:val="000000"/>
          <w:sz w:val="20"/>
          <w:szCs w:val="20"/>
        </w:rPr>
        <w:t xml:space="preserve"> (официальные документы по бюджету Франции — арбитр факта)</w:t>
      </w:r>
    </w:p>
    <w:p>
      <w:pPr>
        <w:spacing w:before="60" w:after="60"/>
      </w:pPr>
      <w:r>
        <w:rPr>
          <w:rFonts w:ascii="Calibri" w:hAnsi="Calibri" w:cs="Calibri"/>
          <w:i/>
          <w:color w:val="666666"/>
          <w:sz w:val="18"/>
          <w:szCs w:val="18"/>
        </w:rPr>
        <w:t xml:space="preserve">Обновление: после 30.09.2026 — если проект не внесён, перепривязать к дате внесения в парламент.</w:t>
      </w:r>
    </w:p>
    <w:p>
      <w:pPr>
        <w:spacing w:before="320" w:after="140"/>
      </w:pPr>
      <w:r>
        <w:rPr>
          <w:rFonts w:ascii="Calibri" w:hAnsi="Calibri" w:cs="Calibri"/>
          <w:b/>
          <w:color w:val="1F3864"/>
          <w:sz w:val="26"/>
          <w:szCs w:val="26"/>
        </w:rPr>
        <w:t xml:space="preserve">22. Кто первым введёт потолок цен на продукты питания?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Венгрия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Словакия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Хорватия</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Из перечисленных никто не введёт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3.57 (28%)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1.39 (72%)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Страна из перечисленных, правительство которой первым по хронологии в период с 09.08.2026 по 31.12.2026 введёт обязательное ограничение розничных цен или торговой наценки на продукты питания, действующее не менее тридцати суток, с указанной датой начала.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Добровольные соглашения с торговыми сетями о заморозке цен; снижение НДС на продукты; адресные продовольственные субсидии населению; продление ограничений, действовавших до 09.08.2026, без расширения перечня товаров; решение страны вне перечисленных — в этом случае выигрывает закрывающий вариант.</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постановлению правительства с указанием срока действия.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новых ограничений нет — «Из перечисленных никто не введёт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Reuters, Европа: https://www.reuters.com/world/europe/</w:t>
      </w:r>
    </w:p>
    <w:p>
      <w:pPr>
        <w:spacing w:before="120" w:after="60"/>
      </w:pPr>
      <w:r>
        <w:rPr>
          <w:rFonts w:ascii="Calibri" w:hAnsi="Calibri" w:cs="Calibri"/>
          <w:i/>
          <w:color w:val="666666"/>
          <w:sz w:val="19"/>
          <w:szCs w:val="19"/>
        </w:rPr>
        <w:t xml:space="preserve">Контекст: административное ограничение цен считается в Брюсселе плохой экономикой, но в Центральной Европе к нему возвращаются регулярно: Венгрия при Орбане вводила потолки на базовые продукты и наценки торговых сетей неоднократно, объясняя это защитой людей от инфляции, Хорватия ограничивала цены после перехода на евро, Словакия при Фицо обсуждает то же самое. Результат обычно одинаков: дефицит отдельных товаров и рост цен на всё остальное, но политически мера выигрышная.</w:t>
      </w:r>
    </w:p>
    <w:p>
      <w:pPr>
        <w:spacing w:before="60" w:after="60"/>
      </w:pPr>
      <w:r>
        <w:rPr>
          <w:rFonts w:ascii="Calibri" w:hAnsi="Calibri" w:cs="Calibri"/>
          <w:b/>
          <w:color w:val="1F3864"/>
          <w:sz w:val="20"/>
          <w:szCs w:val="20"/>
        </w:rPr>
        <w:t xml:space="preserve">ИИ анализ: </w:t>
      </w:r>
      <w:hyperlink r:id="rIdLink39">
        <w:r>
          <w:rPr>
            <w:rFonts w:ascii="Calibri" w:hAnsi="Calibri"/>
            <w:color w:val="2554A0"/>
            <w:u w:val="single"/>
            <w:sz w:val="20"/>
            <w:szCs w:val="20"/>
          </w:rPr>
          <w:t xml:space="preserve">https://www.reuters.com/world/europe/</w:t>
        </w:r>
      </w:hyperlink>
      <w:r>
        <w:rPr>
          <w:rFonts w:ascii="Calibri" w:hAnsi="Calibri" w:cs="Calibri"/>
          <w:color w:val="000000"/>
          <w:sz w:val="20"/>
          <w:szCs w:val="20"/>
        </w:rPr>
        <w:t xml:space="preserve"> (лента по региону — и арбитр факта, и живая динамика)</w:t>
      </w:r>
    </w:p>
    <w:p>
      <w:pPr>
        <w:spacing w:before="60" w:after="60"/>
      </w:pPr>
      <w:r>
        <w:rPr>
          <w:rFonts w:ascii="Calibri" w:hAnsi="Calibri" w:cs="Calibri"/>
          <w:i/>
          <w:color w:val="666666"/>
          <w:sz w:val="18"/>
          <w:szCs w:val="18"/>
        </w:rPr>
        <w:t xml:space="preserve">Обновление: ежемесячно — при скачках продовольственной инфляции цены перераспределить.</w:t>
      </w:r>
    </w:p>
    <w:p>
      <w:pPr>
        <w:spacing w:before="320" w:after="140"/>
      </w:pPr>
      <w:r>
        <w:rPr>
          <w:rFonts w:ascii="Calibri" w:hAnsi="Calibri" w:cs="Calibri"/>
          <w:b/>
          <w:color w:val="1F3864"/>
          <w:sz w:val="26"/>
          <w:szCs w:val="26"/>
        </w:rPr>
        <w:t xml:space="preserve">23. </w:t>
      </w:r>
      <w:r>
        <w:rPr>
          <w:noProof/>
        </w:rPr>
        <w:drawing>
          <wp:inline distT="0" distB="0" distL="0" distR="0">
            <wp:extent cx="247650" cy="165100"/>
            <wp:effectExtent l="0" t="0" r="0" b="0"/>
            <wp:docPr id="1003" name="flag_fr.png"/>
            <wp:cNvGraphicFramePr/>
            <a:graphic xmlns:a="http://schemas.openxmlformats.org/drawingml/2006/main">
              <a:graphicData uri="http://schemas.openxmlformats.org/drawingml/2006/picture">
                <pic:pic xmlns:pic="http://schemas.openxmlformats.org/drawingml/2006/picture">
                  <pic:nvPicPr>
                    <pic:cNvPr id="1003" name="flag_fr.png"/>
                    <pic:cNvPicPr/>
                  </pic:nvPicPr>
                  <pic:blipFill>
                    <a:blip r:embed="rIdImg4"/>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Понизят ли кредитный рейтинг Франции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3.57 (28%)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1.39 (72%)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Одно из агентств Fitch, S&amp;P Global Ratings или Moody's понижает долгосрочный суверенный кредитный рейтинг Франции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Изменение прогноза без изменения самого рейтинга; понижение рейтингов французских компаний и банков; решения других агентств; подтверждение текущего рейтинга.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пресс-релизам соответствующего агентства.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понижений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Fitch Ratings, S&amp;P Global Ratings, Moody's (официальные рейтинговые действия)</w:t>
      </w:r>
    </w:p>
    <w:p>
      <w:pPr>
        <w:spacing w:before="120" w:after="60"/>
      </w:pPr>
      <w:r>
        <w:rPr>
          <w:rFonts w:ascii="Calibri" w:hAnsi="Calibri" w:cs="Calibri"/>
          <w:i/>
          <w:color w:val="666666"/>
          <w:sz w:val="19"/>
          <w:szCs w:val="19"/>
        </w:rPr>
        <w:t xml:space="preserve">Контекст: Fitch понизило Францию с AA- до A+ в сентябре 2025-го, впервые за более чем десять лет лишив её категории «двойное А». S&amp;P сделало то же в октябре со стабильным прогнозом. Moody's оставило Aa3, но перевело прогноз на негативный, а это прямая заявка на следующее понижение.</w:t>
      </w:r>
    </w:p>
    <w:p>
      <w:pPr>
        <w:spacing w:before="60" w:after="60"/>
      </w:pPr>
      <w:r>
        <w:rPr>
          <w:rFonts w:ascii="Calibri" w:hAnsi="Calibri" w:cs="Calibri"/>
          <w:b/>
          <w:color w:val="1F3864"/>
          <w:sz w:val="20"/>
          <w:szCs w:val="20"/>
        </w:rPr>
        <w:t xml:space="preserve">ИИ анализ: </w:t>
      </w:r>
      <w:hyperlink r:id="rIdLink40">
        <w:r>
          <w:rPr>
            <w:rFonts w:ascii="Calibri" w:hAnsi="Calibri"/>
            <w:color w:val="2554A0"/>
            <w:u w:val="single"/>
            <w:sz w:val="20"/>
            <w:szCs w:val="20"/>
          </w:rPr>
          <w:t xml:space="preserve">https://tradingeconomics.com/france/rating</w:t>
        </w:r>
      </w:hyperlink>
      <w:r>
        <w:rPr>
          <w:rFonts w:ascii="Calibri" w:hAnsi="Calibri" w:cs="Calibri"/>
          <w:color w:val="000000"/>
          <w:sz w:val="20"/>
          <w:szCs w:val="20"/>
        </w:rPr>
        <w:t xml:space="preserve"> (сводка текущих рейтингов и прогнозов, обновляется с каждым решением — арбитр факта) </w:t>
      </w:r>
      <w:hyperlink r:id="rIdLink41">
        <w:r>
          <w:rPr>
            <w:rFonts w:ascii="Calibri" w:hAnsi="Calibri"/>
            <w:color w:val="2554A0"/>
            <w:u w:val="single"/>
            <w:sz w:val="20"/>
            <w:szCs w:val="20"/>
          </w:rPr>
          <w:t xml:space="preserve">https://economy-finance.ec.europa.eu/economic-forecast-and-surveys_en</w:t>
        </w:r>
      </w:hyperlink>
      <w:r>
        <w:rPr>
          <w:rFonts w:ascii="Calibri" w:hAnsi="Calibri" w:cs="Calibri"/>
          <w:color w:val="000000"/>
          <w:sz w:val="20"/>
          <w:szCs w:val="20"/>
        </w:rPr>
        <w:t xml:space="preserve"> (бюджетные прогнозы Еврокомиссии по Франции)</w:t>
      </w:r>
    </w:p>
    <w:p>
      <w:pPr>
        <w:spacing w:before="320" w:after="140"/>
      </w:pPr>
      <w:r>
        <w:rPr>
          <w:rFonts w:ascii="Calibri" w:hAnsi="Calibri" w:cs="Calibri"/>
          <w:b/>
          <w:color w:val="1F3864"/>
          <w:sz w:val="26"/>
          <w:szCs w:val="26"/>
        </w:rPr>
        <w:t xml:space="preserve">24. Понизят ли кредитный рейтинг Европейского союза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8.33 (12%)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1.14 (88%)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Одно из международных рейтинговых агентств понижает долгосрочный кредитный рейтинг Европейского союза как заёмщика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Изменение прогноза без понижения рейтинга; понижение рейтингов отдельных стран-членов; понижение рейтингов европейских институтов, кроме самого ЕС; подтверждение текущего рейтинга.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пресс-релизам соответствующего агентства.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понижений нет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Fitch Ratings, S&amp;P Global Ratings, Moody's (рейтинговые действия по ЕС)</w:t>
      </w:r>
    </w:p>
    <w:p>
      <w:pPr>
        <w:spacing w:before="120" w:after="60"/>
      </w:pPr>
      <w:r>
        <w:rPr>
          <w:rFonts w:ascii="Calibri" w:hAnsi="Calibri" w:cs="Calibri"/>
          <w:i/>
          <w:color w:val="666666"/>
          <w:sz w:val="19"/>
          <w:szCs w:val="19"/>
        </w:rPr>
        <w:t xml:space="preserve">Контекст: ЕС занимает на рынке как единый заёмщик — под общие программы восстановления и поддержки Украины. Его рейтинг опирается на платёжеспособность стран-членов, а среди них Франция уже потеряла категорию «двойное А». Рынки оценивают вероятность понижения рейтинга ЕС примерно в один из восьми.</w:t>
      </w:r>
    </w:p>
    <w:p>
      <w:pPr>
        <w:spacing w:before="60" w:after="60"/>
      </w:pPr>
      <w:r>
        <w:rPr>
          <w:rFonts w:ascii="Calibri" w:hAnsi="Calibri" w:cs="Calibri"/>
          <w:b/>
          <w:color w:val="1F3864"/>
          <w:sz w:val="20"/>
          <w:szCs w:val="20"/>
        </w:rPr>
        <w:t xml:space="preserve">ИИ анализ: </w:t>
      </w:r>
      <w:hyperlink r:id="rIdLink42">
        <w:r>
          <w:rPr>
            <w:rFonts w:ascii="Calibri" w:hAnsi="Calibri"/>
            <w:color w:val="2554A0"/>
            <w:u w:val="single"/>
            <w:sz w:val="20"/>
            <w:szCs w:val="20"/>
          </w:rPr>
          <w:t xml:space="preserve">https://polymarket.com/predictions/euro-area</w:t>
        </w:r>
      </w:hyperlink>
      <w:r>
        <w:rPr>
          <w:rFonts w:ascii="Calibri" w:hAnsi="Calibri" w:cs="Calibri"/>
          <w:color w:val="000000"/>
          <w:sz w:val="20"/>
          <w:szCs w:val="20"/>
        </w:rPr>
        <w:t xml:space="preserve"> (точный рынок по понижению рейтинга ЕС — живая вероятность) </w:t>
      </w:r>
      <w:hyperlink r:id="rIdLink43">
        <w:r>
          <w:rPr>
            <w:rFonts w:ascii="Calibri" w:hAnsi="Calibri"/>
            <w:color w:val="2554A0"/>
            <w:u w:val="single"/>
            <w:sz w:val="20"/>
            <w:szCs w:val="20"/>
          </w:rPr>
          <w:t xml:space="preserve">https://economy-finance.ec.europa.eu/economic-forecast-and-surveys_en</w:t>
        </w:r>
      </w:hyperlink>
      <w:r>
        <w:rPr>
          <w:rFonts w:ascii="Calibri" w:hAnsi="Calibri" w:cs="Calibri"/>
          <w:color w:val="000000"/>
          <w:sz w:val="20"/>
          <w:szCs w:val="20"/>
        </w:rPr>
        <w:t xml:space="preserve"> (бюджетные прогнозы Еврокомиссии — арбитр состояния финансов ЕС)</w:t>
      </w:r>
    </w:p>
    <w:p>
      <w:pPr>
        <w:spacing w:before="320" w:after="140"/>
      </w:pPr>
      <w:r>
        <w:rPr>
          <w:rFonts w:ascii="Calibri" w:hAnsi="Calibri" w:cs="Calibri"/>
          <w:b/>
          <w:color w:val="1F3864"/>
          <w:sz w:val="26"/>
          <w:szCs w:val="26"/>
        </w:rPr>
        <w:t xml:space="preserve">25. Какой будет депозитная ставка ЕЦБ на 31 декабря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2.50%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2.50% до 2.75%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2.22 (45%)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1.82 (55%)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2.75% до 3.00%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3.00%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Ставка по депозитной линии ЕЦБ, действующая на 31.12.2026. Диапазон включает нижнюю границу и не включает верхнюю: ставка 2.50% попадает в «От 2.50% до 2.75%», ставка 2.75% — в «От 2.75% до 3.00%». Варианты покрывают все возможные значения, выигрывает ровно один.</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Ставка по основным операциям рефинансирования; ставка предельного кредитования; решения, объявленные, но вступающие в силу в 2027 году.</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таблице ключевых ставок на сайте ЕЦБ.</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официальной таблице ключевых ставок ЕЦБ на 31 декабря 2026 года.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ЕЦБ, таблица ключевых процентных ставок</w:t>
      </w:r>
    </w:p>
    <w:p>
      <w:pPr>
        <w:spacing w:before="120" w:after="60"/>
      </w:pPr>
      <w:r>
        <w:rPr>
          <w:rFonts w:ascii="Calibri" w:hAnsi="Calibri" w:cs="Calibri"/>
          <w:i/>
          <w:color w:val="666666"/>
          <w:sz w:val="19"/>
          <w:szCs w:val="19"/>
        </w:rPr>
        <w:t xml:space="preserve">Контекст: 11 июня ЕЦБ впервые за три года развернул цикл и поднял ставки на 0.25 процентного пункта — депозитная выросла до 2.25%. На заседании 23 июля ставку оставили без изменения, но дверь для сентябрьского повышения Лагард открытой оставила. Рынок оценивает вероятность повышения в сентябре до 2.50% примерно в 70%: подорожавшая после ударов по Ирану нефть перевесила осторожный тон ЕЦБ. Дальше многое зависит от того, откроется ли Ормузский пролив.</w:t>
      </w:r>
    </w:p>
    <w:p>
      <w:pPr>
        <w:spacing w:before="60" w:after="60"/>
      </w:pPr>
      <w:r>
        <w:rPr>
          <w:rFonts w:ascii="Calibri" w:hAnsi="Calibri" w:cs="Calibri"/>
          <w:b/>
          <w:color w:val="1F3864"/>
          <w:sz w:val="20"/>
          <w:szCs w:val="20"/>
        </w:rPr>
        <w:t xml:space="preserve">ИИ анализ: </w:t>
      </w:r>
      <w:hyperlink r:id="rIdLink44">
        <w:r>
          <w:rPr>
            <w:rFonts w:ascii="Calibri" w:hAnsi="Calibri"/>
            <w:color w:val="2554A0"/>
            <w:u w:val="single"/>
            <w:sz w:val="20"/>
            <w:szCs w:val="20"/>
          </w:rPr>
          <w:t xml:space="preserve">https://www.ecb.europa.eu/stats/policy_and_exchange_rates/key_ecb_interest_rates/html/index.en.html</w:t>
        </w:r>
      </w:hyperlink>
      <w:r>
        <w:rPr>
          <w:rFonts w:ascii="Calibri" w:hAnsi="Calibri" w:cs="Calibri"/>
          <w:color w:val="000000"/>
          <w:sz w:val="20"/>
          <w:szCs w:val="20"/>
        </w:rPr>
        <w:t xml:space="preserve"> (официальная таблица ставок — арбитр факта) </w:t>
      </w:r>
      <w:hyperlink r:id="rIdLink45">
        <w:r>
          <w:rPr>
            <w:rFonts w:ascii="Calibri" w:hAnsi="Calibri"/>
            <w:color w:val="2554A0"/>
            <w:u w:val="single"/>
            <w:sz w:val="20"/>
            <w:szCs w:val="20"/>
          </w:rPr>
          <w:t xml:space="preserve">https://polymarket.com/predictions/euro-area</w:t>
        </w:r>
      </w:hyperlink>
      <w:r>
        <w:rPr>
          <w:rFonts w:ascii="Calibri" w:hAnsi="Calibri" w:cs="Calibri"/>
          <w:color w:val="000000"/>
          <w:sz w:val="20"/>
          <w:szCs w:val="20"/>
        </w:rPr>
        <w:t xml:space="preserve"> (живые вероятности по решениям ЕЦБ на ближайшие заседания)</w:t>
      </w:r>
    </w:p>
    <w:p>
      <w:pPr>
        <w:spacing w:before="60" w:after="60"/>
      </w:pPr>
      <w:r>
        <w:rPr>
          <w:rFonts w:ascii="Calibri" w:hAnsi="Calibri" w:cs="Calibri"/>
          <w:i/>
          <w:color w:val="666666"/>
          <w:sz w:val="18"/>
          <w:szCs w:val="18"/>
        </w:rPr>
        <w:t xml:space="preserve">Обновление: после каждого заседания Совета управляющих ЕЦБ пересчитать цены по фактической ставке и рыночным ожиданиям.</w:t>
      </w:r>
    </w:p>
    <w:p>
      <w:pPr>
        <w:spacing w:before="320" w:after="140"/>
      </w:pPr>
      <w:r>
        <w:rPr>
          <w:rFonts w:ascii="Calibri" w:hAnsi="Calibri" w:cs="Calibri"/>
          <w:b/>
          <w:color w:val="1F3864"/>
          <w:sz w:val="26"/>
          <w:szCs w:val="26"/>
        </w:rPr>
        <w:t xml:space="preserve">26. </w:t>
      </w:r>
      <w:r>
        <w:rPr>
          <w:noProof/>
        </w:rPr>
        <w:drawing>
          <wp:inline distT="0" distB="0" distL="0" distR="0">
            <wp:extent cx="247650" cy="165100"/>
            <wp:effectExtent l="0" t="0" r="0" b="0"/>
            <wp:docPr id="1005" name="flag_it.png"/>
            <wp:cNvGraphicFramePr/>
            <a:graphic xmlns:a="http://schemas.openxmlformats.org/drawingml/2006/main">
              <a:graphicData uri="http://schemas.openxmlformats.org/drawingml/2006/picture">
                <pic:pic xmlns:pic="http://schemas.openxmlformats.org/drawingml/2006/picture">
                  <pic:nvPicPr>
                    <pic:cNvPr id="1005" name="flag_it.png"/>
                    <pic:cNvPicPr/>
                  </pic:nvPicPr>
                  <pic:blipFill>
                    <a:blip r:embed="rIdImg6"/>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Превысит ли государственный долг Италии 137% ВВП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1.47 (68%)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3.12 (32%)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Отношение государственного долга Италии к ВВП за 2026 год превышает 137% по данным Евростата. Резолюция по первой годовой публикации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Прогнозные оценки правительства и международных организаций; квартальные значения; показатели долга в абсолютных цифрах без отношения к ВВП.</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первой полной годовой публикации Евростата по государственным финансам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годовым данным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статистика государственного долга</w:t>
      </w:r>
    </w:p>
    <w:p>
      <w:pPr>
        <w:spacing w:before="120" w:after="60"/>
      </w:pPr>
      <w:r>
        <w:rPr>
          <w:rFonts w:ascii="Calibri" w:hAnsi="Calibri" w:cs="Calibri"/>
          <w:i/>
          <w:color w:val="666666"/>
          <w:sz w:val="19"/>
          <w:szCs w:val="19"/>
        </w:rPr>
        <w:t xml:space="preserve">Контекст: долг Италии — второй по величине в еврозоне после греческого, и на 2026 год он прогнозируется на уровне 137.4% ВВП. Рост экономики при этом ожидается всего 0.5%, а Мелони предупредила своих сотрудников, что 2026 год будет «намного хуже» 2025-го.</w:t>
      </w:r>
    </w:p>
    <w:p>
      <w:pPr>
        <w:spacing w:before="60" w:after="60"/>
      </w:pPr>
      <w:r>
        <w:rPr>
          <w:rFonts w:ascii="Calibri" w:hAnsi="Calibri" w:cs="Calibri"/>
          <w:b/>
          <w:color w:val="1F3864"/>
          <w:sz w:val="20"/>
          <w:szCs w:val="20"/>
        </w:rPr>
        <w:t xml:space="preserve">ИИ анализ: </w:t>
      </w:r>
      <w:hyperlink r:id="rIdLink46">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по госфинансам — арбитр факта) </w:t>
      </w:r>
      <w:hyperlink r:id="rIdLink47">
        <w:r>
          <w:rPr>
            <w:rFonts w:ascii="Calibri" w:hAnsi="Calibri"/>
            <w:color w:val="2554A0"/>
            <w:u w:val="single"/>
            <w:sz w:val="20"/>
            <w:szCs w:val="20"/>
          </w:rPr>
          <w:t xml:space="preserve">https://economy-finance.ec.europa.eu/economic-surveillance-eu-member-states/country-pages/italy/economic-forecast-italy_en</w:t>
        </w:r>
      </w:hyperlink>
      <w:r>
        <w:rPr>
          <w:rFonts w:ascii="Calibri" w:hAnsi="Calibri" w:cs="Calibri"/>
          <w:color w:val="000000"/>
          <w:sz w:val="20"/>
          <w:szCs w:val="20"/>
        </w:rPr>
        <w:t xml:space="preserve"> (прогноз Еврокомиссии по Италии, пересматривается дважды в год)</w:t>
      </w:r>
    </w:p>
    <w:p>
      <w:pPr>
        <w:spacing w:before="320" w:after="140"/>
      </w:pPr>
      <w:r>
        <w:rPr>
          <w:rFonts w:ascii="Calibri" w:hAnsi="Calibri" w:cs="Calibri"/>
          <w:b/>
          <w:color w:val="1F3864"/>
          <w:sz w:val="26"/>
          <w:szCs w:val="26"/>
        </w:rPr>
        <w:t xml:space="preserve">27. </w:t>
      </w:r>
      <w:r>
        <w:rPr>
          <w:noProof/>
        </w:rPr>
        <w:drawing>
          <wp:inline distT="0" distB="0" distL="0" distR="0">
            <wp:extent cx="247650" cy="165100"/>
            <wp:effectExtent l="0" t="0" r="0" b="0"/>
            <wp:docPr id="1006" name="flag_ro.png"/>
            <wp:cNvGraphicFramePr/>
            <a:graphic xmlns:a="http://schemas.openxmlformats.org/drawingml/2006/main">
              <a:graphicData uri="http://schemas.openxmlformats.org/drawingml/2006/picture">
                <pic:pic xmlns:pic="http://schemas.openxmlformats.org/drawingml/2006/picture">
                  <pic:nvPicPr>
                    <pic:cNvPr id="1006" name="flag_ro.png"/>
                    <pic:cNvPicPr/>
                  </pic:nvPicPr>
                  <pic:blipFill>
                    <a:blip r:embed="rIdImg7"/>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Каким будет дефицит бюджета Румынии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5.5% ВВП</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5.5% до 6.5% ВВП</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6.5% до 7.5% ВВП</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7.5% ВВП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Дефицит государственного бюджета Румынии за 2026 год по данным Евростата. Диапазон включает нижнюю границу и не включает верхнюю. Резолюция по первой годовой публикации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Плановые показатели правительства; первичный дефицит без обслуживания долга; квартальные значения; данные национального министерства финансов, если они расходятся с Евростатом.</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первой полной годовой публикации Евростата по государственным финансам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годовым данным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статистика государственных финансов</w:t>
      </w:r>
    </w:p>
    <w:p>
      <w:pPr>
        <w:spacing w:before="120" w:after="60"/>
      </w:pPr>
      <w:r>
        <w:rPr>
          <w:rFonts w:ascii="Calibri" w:hAnsi="Calibri" w:cs="Calibri"/>
          <w:i/>
          <w:color w:val="666666"/>
          <w:sz w:val="19"/>
          <w:szCs w:val="19"/>
        </w:rPr>
        <w:t xml:space="preserve">Контекст: у Румынии самый большой дефицит в Европе. В 2025 году он составил 7.9% ВВП, на 2026-й прогнозируется 6.2%. Ради этого запущена программа жёсткой экономии: НДС поднят с 19% до 21%, список товаров по льготной ставке урезан, зарплаты бюджетников и пенсии заморожены. Рост экономики при этом падает почти до нуля — прогноз 0.1%.</w:t>
      </w:r>
    </w:p>
    <w:p>
      <w:pPr>
        <w:spacing w:before="60" w:after="60"/>
      </w:pPr>
      <w:r>
        <w:rPr>
          <w:rFonts w:ascii="Calibri" w:hAnsi="Calibri" w:cs="Calibri"/>
          <w:b/>
          <w:color w:val="1F3864"/>
          <w:sz w:val="20"/>
          <w:szCs w:val="20"/>
        </w:rPr>
        <w:t xml:space="preserve">ИИ анализ: </w:t>
      </w:r>
      <w:hyperlink r:id="rIdLink48">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 арбитр факта) </w:t>
      </w:r>
      <w:hyperlink r:id="rIdLink49">
        <w:r>
          <w:rPr>
            <w:rFonts w:ascii="Calibri" w:hAnsi="Calibri"/>
            <w:color w:val="2554A0"/>
            <w:u w:val="single"/>
            <w:sz w:val="20"/>
            <w:szCs w:val="20"/>
          </w:rPr>
          <w:t xml:space="preserve">https://economy-finance.ec.europa.eu/economic-surveillance-eu-member-states/country-pages/romania/economic-forecast-romania_en</w:t>
        </w:r>
      </w:hyperlink>
      <w:r>
        <w:rPr>
          <w:rFonts w:ascii="Calibri" w:hAnsi="Calibri" w:cs="Calibri"/>
          <w:color w:val="000000"/>
          <w:sz w:val="20"/>
          <w:szCs w:val="20"/>
        </w:rPr>
        <w:t xml:space="preserve"> (прогноз Еврокомиссии по Румынии, пересматривается дважды в год)</w:t>
      </w:r>
    </w:p>
    <w:p>
      <w:pPr>
        <w:spacing w:before="320" w:after="140"/>
      </w:pPr>
      <w:r>
        <w:rPr>
          <w:rFonts w:ascii="Calibri" w:hAnsi="Calibri" w:cs="Calibri"/>
          <w:b/>
          <w:color w:val="1F3864"/>
          <w:sz w:val="26"/>
          <w:szCs w:val="26"/>
        </w:rPr>
        <w:t xml:space="preserve">28. </w:t>
      </w:r>
      <w:r>
        <w:rPr>
          <w:noProof/>
        </w:rPr>
        <w:drawing>
          <wp:inline distT="0" distB="0" distL="0" distR="0">
            <wp:extent cx="247650" cy="165100"/>
            <wp:effectExtent l="0" t="0" r="0" b="0"/>
            <wp:docPr id="1007" name="flag_es.png"/>
            <wp:cNvGraphicFramePr/>
            <a:graphic xmlns:a="http://schemas.openxmlformats.org/drawingml/2006/main">
              <a:graphicData uri="http://schemas.openxmlformats.org/drawingml/2006/picture">
                <pic:pic xmlns:pic="http://schemas.openxmlformats.org/drawingml/2006/picture">
                  <pic:nvPicPr>
                    <pic:cNvPr id="1007" name="flag_es.png"/>
                    <pic:cNvPicPr/>
                  </pic:nvPicPr>
                  <pic:blipFill>
                    <a:blip r:embed="rIdImg8"/>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Опустится ли безработица в Испании ниже 10%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1.72 (58%)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2.38 (42%)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Среднегодовой уровень безработицы в Испании за 2026 год составляет менее 10% по данным Евростата. Резолюция по первой годовой публикации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Показатели отдельных месяцев и кварталов; молодёжная безработица; данные национального обследования рабочей силы, если они расходятся с Евростатом; прогнозы.</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окончательной публикации Евростата с индексом по Болгарии за август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уровень безработицы по Испании</w:t>
      </w:r>
    </w:p>
    <w:p>
      <w:pPr>
        <w:spacing w:before="120" w:after="60"/>
      </w:pPr>
      <w:r>
        <w:rPr>
          <w:rFonts w:ascii="Calibri" w:hAnsi="Calibri" w:cs="Calibri"/>
          <w:i/>
          <w:color w:val="666666"/>
          <w:sz w:val="19"/>
          <w:szCs w:val="19"/>
        </w:rPr>
        <w:t xml:space="preserve">Контекст: в декабре 2025 года безработица в Испании составляла 10.10% — это по-прежнему самый высокий уровень в еврозоне. Прогноз на 2026 год даёт 9.9%, то есть впервые с 2008 года показатель может уйти ниже десяти процентов. Экономика при этом растёт примерно на 2.1%, заметно быстрее еврозоны в целом.</w:t>
      </w:r>
    </w:p>
    <w:p>
      <w:pPr>
        <w:spacing w:before="60" w:after="60"/>
      </w:pPr>
      <w:r>
        <w:rPr>
          <w:rFonts w:ascii="Calibri" w:hAnsi="Calibri" w:cs="Calibri"/>
          <w:b/>
          <w:color w:val="1F3864"/>
          <w:sz w:val="20"/>
          <w:szCs w:val="20"/>
        </w:rPr>
        <w:t xml:space="preserve">ИИ анализ: </w:t>
      </w:r>
      <w:hyperlink r:id="rIdLink50">
        <w:r>
          <w:rPr>
            <w:rFonts w:ascii="Calibri" w:hAnsi="Calibri"/>
            <w:color w:val="2554A0"/>
            <w:u w:val="single"/>
            <w:sz w:val="20"/>
            <w:szCs w:val="20"/>
          </w:rPr>
          <w:t xml:space="preserve">https://tradingeconomics.com/spain/unemployment-rate-eurostat-data.html</w:t>
        </w:r>
      </w:hyperlink>
      <w:r>
        <w:rPr>
          <w:rFonts w:ascii="Calibri" w:hAnsi="Calibri" w:cs="Calibri"/>
          <w:color w:val="000000"/>
          <w:sz w:val="20"/>
          <w:szCs w:val="20"/>
        </w:rPr>
        <w:t xml:space="preserve"> (месячная динамика безработицы в Испании) </w:t>
      </w:r>
      <w:hyperlink r:id="rIdLink51">
        <w:r>
          <w:rPr>
            <w:rFonts w:ascii="Calibri" w:hAnsi="Calibri"/>
            <w:color w:val="2554A0"/>
            <w:u w:val="single"/>
            <w:sz w:val="20"/>
            <w:szCs w:val="20"/>
          </w:rPr>
          <w:t xml:space="preserve">https://economy-finance.ec.europa.eu/economic-surveillance-eu-member-states/country-pages/spain/economic-forecast-spain_en</w:t>
        </w:r>
      </w:hyperlink>
      <w:r>
        <w:rPr>
          <w:rFonts w:ascii="Calibri" w:hAnsi="Calibri" w:cs="Calibri"/>
          <w:color w:val="000000"/>
          <w:sz w:val="20"/>
          <w:szCs w:val="20"/>
        </w:rPr>
        <w:t xml:space="preserve"> (прогноз Еврокомиссии по Испании — арбитр ожиданий)</w:t>
      </w:r>
    </w:p>
    <w:p>
      <w:pPr>
        <w:spacing w:before="320" w:after="140"/>
      </w:pPr>
      <w:r>
        <w:rPr>
          <w:rFonts w:ascii="Calibri" w:hAnsi="Calibri" w:cs="Calibri"/>
          <w:b/>
          <w:color w:val="1F3864"/>
          <w:sz w:val="26"/>
          <w:szCs w:val="26"/>
        </w:rPr>
        <w:t xml:space="preserve">29. </w:t>
      </w:r>
      <w:r>
        <w:rPr>
          <w:noProof/>
        </w:rPr>
        <w:drawing>
          <wp:inline distT="0" distB="0" distL="0" distR="0">
            <wp:extent cx="247650" cy="165100"/>
            <wp:effectExtent l="0" t="0" r="0" b="0"/>
            <wp:docPr id="1008" name="flag_gr.png"/>
            <wp:cNvGraphicFramePr/>
            <a:graphic xmlns:a="http://schemas.openxmlformats.org/drawingml/2006/main">
              <a:graphicData uri="http://schemas.openxmlformats.org/drawingml/2006/picture">
                <pic:pic xmlns:pic="http://schemas.openxmlformats.org/drawingml/2006/picture">
                  <pic:nvPicPr>
                    <pic:cNvPr id="1008" name="flag_gr.png"/>
                    <pic:cNvPicPr/>
                  </pic:nvPicPr>
                  <pic:blipFill>
                    <a:blip r:embed="rIdImg9"/>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Повысит ли Греция минимальную зарплату до 950 евро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5.56 (18%)</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1.22 (82%)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Правительство Греции принимает решение, устанавливающее валовую минимальную месячную зарплату на уровне 950 евро или выше, вступающее в силу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Объявление о планах повышения с 2027 года без вступления в силу в 2026-м; отраслевые тарифные соглашения выше минимума; чистая зарплата вместо валовой; выплаты и надбавки сверх оклада.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 опубликованным решениям правительства Греции.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такое решение не вступило в силу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Правительство Греции, официальные решения о минимальной зарплате</w:t>
      </w:r>
    </w:p>
    <w:p>
      <w:pPr>
        <w:spacing w:before="120" w:after="60"/>
      </w:pPr>
      <w:r>
        <w:rPr>
          <w:rFonts w:ascii="Calibri" w:hAnsi="Calibri" w:cs="Calibri"/>
          <w:i/>
          <w:color w:val="666666"/>
          <w:sz w:val="19"/>
          <w:szCs w:val="19"/>
        </w:rPr>
        <w:t xml:space="preserve">Контекст: с 1 апреля 2026 года минимальная зарплата в Греции выросла примерно на 4.5% до 920 евро — это шестое повышение с 2022 года. Правительство обещает 950 евро к 2027-му. Профсоюзный институт при этом считает, что для достойной жизни в 2026 году нужно 1052 евро. Инфляция в июне составила 3.9% против 4.9% в мае.</w:t>
      </w:r>
    </w:p>
    <w:p>
      <w:pPr>
        <w:spacing w:before="60" w:after="60"/>
      </w:pPr>
      <w:r>
        <w:rPr>
          <w:rFonts w:ascii="Calibri" w:hAnsi="Calibri" w:cs="Calibri"/>
          <w:b/>
          <w:color w:val="1F3864"/>
          <w:sz w:val="20"/>
          <w:szCs w:val="20"/>
        </w:rPr>
        <w:t xml:space="preserve">ИИ анализ: </w:t>
      </w:r>
      <w:hyperlink r:id="rIdLink52">
        <w:r>
          <w:rPr>
            <w:rFonts w:ascii="Calibri" w:hAnsi="Calibri"/>
            <w:color w:val="2554A0"/>
            <w:u w:val="single"/>
            <w:sz w:val="20"/>
            <w:szCs w:val="20"/>
          </w:rPr>
          <w:t xml:space="preserve">https://tradingeconomics.com/greece/minimum-wages</w:t>
        </w:r>
      </w:hyperlink>
      <w:r>
        <w:rPr>
          <w:rFonts w:ascii="Calibri" w:hAnsi="Calibri" w:cs="Calibri"/>
          <w:color w:val="000000"/>
          <w:sz w:val="20"/>
          <w:szCs w:val="20"/>
        </w:rPr>
        <w:t xml:space="preserve"> (уровень минимальной зарплаты, обновляется с каждым решением) </w:t>
      </w:r>
      <w:hyperlink r:id="rIdLink53">
        <w:r>
          <w:rPr>
            <w:rFonts w:ascii="Calibri" w:hAnsi="Calibri"/>
            <w:color w:val="2554A0"/>
            <w:u w:val="single"/>
            <w:sz w:val="20"/>
            <w:szCs w:val="20"/>
          </w:rPr>
          <w:t xml:space="preserve">https://tradingeconomics.com/greece/inflation-cpi</w:t>
        </w:r>
      </w:hyperlink>
      <w:r>
        <w:rPr>
          <w:rFonts w:ascii="Calibri" w:hAnsi="Calibri" w:cs="Calibri"/>
          <w:color w:val="000000"/>
          <w:sz w:val="20"/>
          <w:szCs w:val="20"/>
        </w:rPr>
        <w:t xml:space="preserve"> (инфляция в Греции — на неё ссылаются при пересмотре минимума)</w:t>
      </w:r>
    </w:p>
    <w:p>
      <w:pPr>
        <w:spacing w:before="320" w:after="140"/>
      </w:pPr>
      <w:r>
        <w:rPr>
          <w:rFonts w:ascii="Calibri" w:hAnsi="Calibri" w:cs="Calibri"/>
          <w:b/>
          <w:color w:val="1F3864"/>
          <w:sz w:val="26"/>
          <w:szCs w:val="26"/>
        </w:rPr>
        <w:t xml:space="preserve">30. </w:t>
      </w:r>
      <w:r>
        <w:rPr>
          <w:rFonts w:ascii="Calibri" w:hAnsi="Calibri" w:cs="Calibri"/>
          <w:b/>
          <w:color w:val="1F3864"/>
          <w:sz w:val="26"/>
          <w:szCs w:val="26"/>
        </w:rPr>
        <w:t xml:space="preserve"> Какой будет инфляция в Болгарии за август 2026 — первый год в евро?</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3.5% до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3.03 (33%)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1.49 (67%)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4.0% до 4.5%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2.44 (41%)</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1.69 (59%)</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4.5%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6.25 (16%)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1.19 (84%)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Годовой рост гармонизированного индекса потребительских цен по Болгарии за август 2026 года по данным Евростата — показатель «год к году». Диапазон включает нижнюю границу и не включает верхнюю. Резолюция по первой годовой публикации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Изменение к предыдущему месяцу вместо годового; национальный индекс цен, если он расходится с гармонизированным; воспринимаемая инфляция по опросам; цены отдельных товаров; данные за другие месяцы.</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окончательной публикации Евростата с индексом по Болгарии за август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гармонизированный индекс потребительских цен по Болгарии</w:t>
      </w:r>
    </w:p>
    <w:p>
      <w:pPr>
        <w:spacing w:before="120" w:after="60"/>
      </w:pPr>
      <w:r>
        <w:rPr>
          <w:rFonts w:ascii="Calibri" w:hAnsi="Calibri" w:cs="Calibri"/>
          <w:i/>
          <w:color w:val="666666"/>
          <w:sz w:val="19"/>
          <w:szCs w:val="19"/>
        </w:rPr>
        <w:t xml:space="preserve">Контекст: Болгария перешла на евро 1 января 2026 года, с 1 февраля лев выведен из обращения. В июле годовая инфляция замедлилась до 4.4% по национальному индексу и около 4.1% по гармонизированному — против 5.4% в июне. Тормозят транспорт, где рост упал с 16.8% до 12.4%, и продукты, с 2.4% до 1.4%. ЕЦБ считает, что переход на евро дал разовый эффект, сосредоточенный в услугах. Но людям видится иначе: буханка хлеба за 0.89 лева 31 декабря стоила 1.19 к 2 января — плюс треть за двое суток. Власти запустили мониторинг цен и проверки против округления вверх.</w:t>
      </w:r>
    </w:p>
    <w:p>
      <w:pPr>
        <w:spacing w:before="60" w:after="60"/>
      </w:pPr>
      <w:r>
        <w:rPr>
          <w:rFonts w:ascii="Calibri" w:hAnsi="Calibri" w:cs="Calibri"/>
          <w:b/>
          <w:color w:val="1F3864"/>
          <w:sz w:val="20"/>
          <w:szCs w:val="20"/>
        </w:rPr>
        <w:t xml:space="preserve">ИИ анализ: </w:t>
      </w:r>
      <w:hyperlink r:id="rIdLink54">
        <w:r>
          <w:rPr>
            <w:rFonts w:ascii="Calibri" w:hAnsi="Calibri"/>
            <w:color w:val="2554A0"/>
            <w:u w:val="single"/>
            <w:sz w:val="20"/>
            <w:szCs w:val="20"/>
          </w:rPr>
          <w:t xml:space="preserve">https://tradingeconomics.com/bulgaria/inflation-cpi</w:t>
        </w:r>
      </w:hyperlink>
      <w:r>
        <w:rPr>
          <w:rFonts w:ascii="Calibri" w:hAnsi="Calibri" w:cs="Calibri"/>
          <w:color w:val="000000"/>
          <w:sz w:val="20"/>
          <w:szCs w:val="20"/>
        </w:rPr>
        <w:t xml:space="preserve"> (месячная инфляция в Болгарии) </w:t>
      </w:r>
      <w:hyperlink r:id="rIdLink55">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 арбитр факта)</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диапазоны пересчитать вокруг последнего значения (Евростат, ГИПЦ по Болгарии).</w:t>
      </w:r>
    </w:p>
    <w:p>
      <w:pPr>
        <w:spacing w:before="320" w:after="140"/>
      </w:pPr>
      <w:r>
        <w:rPr>
          <w:rFonts w:ascii="Calibri" w:hAnsi="Calibri" w:cs="Calibri"/>
          <w:b/>
          <w:color w:val="1F3864"/>
          <w:sz w:val="26"/>
          <w:szCs w:val="26"/>
        </w:rPr>
        <w:t xml:space="preserve">31. </w:t>
      </w:r>
      <w:r>
        <w:rPr>
          <w:noProof/>
        </w:rPr>
        <w:drawing>
          <wp:inline distT="0" distB="0" distL="0" distR="0">
            <wp:extent cx="247650" cy="165100"/>
            <wp:effectExtent l="0" t="0" r="0" b="0"/>
            <wp:docPr id="1002" name="flag_be.png"/>
            <wp:cNvGraphicFramePr/>
            <a:graphic xmlns:a="http://schemas.openxmlformats.org/drawingml/2006/main">
              <a:graphicData uri="http://schemas.openxmlformats.org/drawingml/2006/picture">
                <pic:pic xmlns:pic="http://schemas.openxmlformats.org/drawingml/2006/picture">
                  <pic:nvPicPr>
                    <pic:cNvPr id="1002" name="flag_be.png"/>
                    <pic:cNvPicPr/>
                  </pic:nvPicPr>
                  <pic:blipFill>
                    <a:blip r:embed="rIdImg3"/>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Отменит ли Бельгия ограничение пособий по безработице двумя годами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6.67 (15%)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Бельгия принимает нормативный акт, отменяющий или приостанавливающий предельный двухлетний срок выплаты пособия по безработице,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Отсрочка вступления в силу отдельных положений; исключения для отдельных категорий получателей; судебные решения по частным искам; заявления политиков и профсоюзов; законопроекты без принятия.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 опубликованным нормативным актам Бельгии; при разногласиях — Reuters.</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такой акт не принят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Официальный вестник Бельгии; Reuters</w:t>
      </w:r>
    </w:p>
    <w:p>
      <w:pPr>
        <w:spacing w:before="120" w:after="60"/>
      </w:pPr>
      <w:r>
        <w:rPr>
          <w:rFonts w:ascii="Calibri" w:hAnsi="Calibri" w:cs="Calibri"/>
          <w:i/>
          <w:color w:val="666666"/>
          <w:sz w:val="19"/>
          <w:szCs w:val="19"/>
        </w:rPr>
        <w:t xml:space="preserve">Контекст: с 1 января 2026 года пособие по безработице в Бельгии ограничено двумя годами для большинства соискателей, и это лишает выплат более 184 тысяч человек. Одновременно идёт пенсионная реформа: попавшие под неё теряют в среднем 318 евро в месяц, около четверти пенсии. Дефицит бюджета при этом остаётся на уровне 5.2% ВВП, а экономика растёт всего на 0.7%.</w:t>
      </w:r>
    </w:p>
    <w:p>
      <w:pPr>
        <w:spacing w:before="60" w:after="60"/>
      </w:pPr>
      <w:r>
        <w:rPr>
          <w:rFonts w:ascii="Calibri" w:hAnsi="Calibri" w:cs="Calibri"/>
          <w:b/>
          <w:color w:val="1F3864"/>
          <w:sz w:val="20"/>
          <w:szCs w:val="20"/>
        </w:rPr>
        <w:t xml:space="preserve">ИИ анализ: </w:t>
      </w:r>
      <w:hyperlink r:id="rIdLink56">
        <w:r>
          <w:rPr>
            <w:rFonts w:ascii="Calibri" w:hAnsi="Calibri"/>
            <w:color w:val="2554A0"/>
            <w:u w:val="single"/>
            <w:sz w:val="20"/>
            <w:szCs w:val="20"/>
          </w:rPr>
          <w:t xml:space="preserve">https://economy-finance.ec.europa.eu/economic-surveillance-eu-member-states/country-pages/belgium/economic-forecast-belgium_en</w:t>
        </w:r>
      </w:hyperlink>
      <w:r>
        <w:rPr>
          <w:rFonts w:ascii="Calibri" w:hAnsi="Calibri" w:cs="Calibri"/>
          <w:color w:val="000000"/>
          <w:sz w:val="20"/>
          <w:szCs w:val="20"/>
        </w:rPr>
        <w:t xml:space="preserve"> (обзор Еврокомиссии по Бельгии, включая социальные расходы — арбитр факта) </w:t>
      </w:r>
      <w:hyperlink r:id="rIdLink57">
        <w:r>
          <w:rPr>
            <w:rFonts w:ascii="Calibri" w:hAnsi="Calibri"/>
            <w:color w:val="2554A0"/>
            <w:u w:val="single"/>
            <w:sz w:val="20"/>
            <w:szCs w:val="20"/>
          </w:rPr>
          <w:t xml:space="preserve">https://tradingeconomics.com/belgium/unemployment-rate</w:t>
        </w:r>
      </w:hyperlink>
      <w:r>
        <w:rPr>
          <w:rFonts w:ascii="Calibri" w:hAnsi="Calibri" w:cs="Calibri"/>
          <w:color w:val="000000"/>
          <w:sz w:val="20"/>
          <w:szCs w:val="20"/>
        </w:rPr>
        <w:t xml:space="preserve"> (безработица в Бельгии — показывает масштаб последствий)</w:t>
      </w:r>
    </w:p>
    <w:p>
      <w:pPr>
        <w:spacing w:before="320" w:after="140"/>
      </w:pPr>
      <w:r>
        <w:rPr>
          <w:rFonts w:ascii="Calibri" w:hAnsi="Calibri" w:cs="Calibri"/>
          <w:b/>
          <w:color w:val="1F3864"/>
          <w:sz w:val="26"/>
          <w:szCs w:val="26"/>
        </w:rPr>
        <w:t xml:space="preserve">32. </w:t>
      </w:r>
      <w:r>
        <w:rPr>
          <w:noProof/>
        </w:rPr>
        <w:drawing>
          <wp:inline distT="0" distB="0" distL="0" distR="0">
            <wp:extent cx="247650" cy="165100"/>
            <wp:effectExtent l="0" t="0" r="0" b="0"/>
            <wp:docPr id="1000" name="flag_nl.png"/>
            <wp:cNvGraphicFramePr/>
            <a:graphic xmlns:a="http://schemas.openxmlformats.org/drawingml/2006/main">
              <a:graphicData uri="http://schemas.openxmlformats.org/drawingml/2006/picture">
                <pic:pic xmlns:pic="http://schemas.openxmlformats.org/drawingml/2006/picture">
                  <pic:nvPicPr>
                    <pic:cNvPr id="1000" name="flag_nl.png"/>
                    <pic:cNvPicPr/>
                  </pic:nvPicPr>
                  <pic:blipFill>
                    <a:blip r:embed="rIdImg1"/>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Вырастут ли цены на жильё в Нидерландах более чем на 4%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Годовой рост индекса цен на жильё в Нидерландах за 2026 год превышает 4% по данным Евростата или национального статистического бюро. Резолюция по первой годовой публикации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Рост арендных ставок; цены отдельных городов и провинций; месячные и квартальные значения; цены только на новостройки или только на вторичное жильё.</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первой полной годовой публикации Евростата по ценам на жильё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годовым данным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индекс цен на жильё; национальное статистическое бюро Нидерландов</w:t>
      </w:r>
    </w:p>
    <w:p>
      <w:pPr>
        <w:spacing w:before="120" w:after="60"/>
      </w:pPr>
      <w:r>
        <w:rPr>
          <w:rFonts w:ascii="Calibri" w:hAnsi="Calibri" w:cs="Calibri"/>
          <w:i/>
          <w:color w:val="666666"/>
          <w:sz w:val="19"/>
          <w:szCs w:val="19"/>
        </w:rPr>
        <w:t xml:space="preserve">Контекст: центральный банк Нидерландов ждёт роста цен на жильё на 3–4% в год в период с 2026 по 2028-й — это заметно скромнее прошлогодних оценок. Причины: падает потребительская уверенность и растут ипотечные ставки, поэтому люди и меньше готовы, и меньше способны занимать. Инфляция при этом снижается с 3.3% до 2.4%, но держится выше цели ЕЦБ из-за роста зарплатных издержек, повышения топливного акциза и НДС на проживание.</w:t>
      </w:r>
    </w:p>
    <w:p>
      <w:pPr>
        <w:spacing w:before="60" w:after="60"/>
      </w:pPr>
      <w:r>
        <w:rPr>
          <w:rFonts w:ascii="Calibri" w:hAnsi="Calibri" w:cs="Calibri"/>
          <w:b/>
          <w:color w:val="1F3864"/>
          <w:sz w:val="20"/>
          <w:szCs w:val="20"/>
        </w:rPr>
        <w:t xml:space="preserve">ИИ анализ: </w:t>
      </w:r>
      <w:hyperlink r:id="rIdLink58">
        <w:r>
          <w:rPr>
            <w:rFonts w:ascii="Calibri" w:hAnsi="Calibri"/>
            <w:color w:val="2554A0"/>
            <w:u w:val="single"/>
            <w:sz w:val="20"/>
            <w:szCs w:val="20"/>
          </w:rPr>
          <w:t xml:space="preserve">https://tradingeconomics.com/netherlands/housing-index</w:t>
        </w:r>
      </w:hyperlink>
      <w:r>
        <w:rPr>
          <w:rFonts w:ascii="Calibri" w:hAnsi="Calibri" w:cs="Calibri"/>
          <w:color w:val="000000"/>
          <w:sz w:val="20"/>
          <w:szCs w:val="20"/>
        </w:rPr>
        <w:t xml:space="preserve"> (индекс цен на жильё в Нидерландах, обновляется ежеквартально) </w:t>
      </w:r>
      <w:hyperlink r:id="rIdLink59">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 арбитр факта)</w:t>
      </w:r>
    </w:p>
    <w:p>
      <w:pPr>
        <w:spacing w:before="320" w:after="140"/>
      </w:pPr>
      <w:r>
        <w:rPr>
          <w:rFonts w:ascii="Calibri" w:hAnsi="Calibri" w:cs="Calibri"/>
          <w:b/>
          <w:color w:val="1F3864"/>
          <w:sz w:val="26"/>
          <w:szCs w:val="26"/>
        </w:rPr>
        <w:t xml:space="preserve">33. </w:t>
      </w:r>
      <w:r>
        <w:rPr>
          <w:noProof/>
        </w:rPr>
        <w:drawing>
          <wp:inline distT="0" distB="0" distL="0" distR="0">
            <wp:extent cx="247650" cy="165100"/>
            <wp:effectExtent l="0" t="0" r="0" b="0"/>
            <wp:docPr id="1004" name="flag_de.png"/>
            <wp:cNvGraphicFramePr/>
            <a:graphic xmlns:a="http://schemas.openxmlformats.org/drawingml/2006/main">
              <a:graphicData uri="http://schemas.openxmlformats.org/drawingml/2006/picture">
                <pic:pic xmlns:pic="http://schemas.openxmlformats.org/drawingml/2006/picture">
                  <pic:nvPicPr>
                    <pic:cNvPr id="1004" name="flag_de.png"/>
                    <pic:cNvPicPr/>
                  </pic:nvPicPr>
                  <pic:blipFill>
                    <a:blip r:embed="rIdImg5"/>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Превысит ли число безработных в Германии 3.1 миллиона в августе?</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Число зарегистрированных безработных в Германии по данным Федерального агентства по труду в отчёте за август 2026 года превышает 3.1 млн человек. Отчёт публикуется в конце того же месяца. Резолюция 31.12.2026 по совокупности месячных отчётов за 2026 год.</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Показатели с сезонной корректировкой, если фактическое значение ниже порога; уровень безработицы в процентах; данные Евростата вместо национального агентства; занятые неполный день.</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месячным отчётам Федерального агентства по труду Германии.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отчёт за август задерживается — резолюция по первым доступным официальным данным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агентство по труду Германии, месячная статистика</w:t>
      </w:r>
    </w:p>
    <w:p>
      <w:pPr>
        <w:spacing w:before="120" w:after="60"/>
      </w:pPr>
      <w:r>
        <w:rPr>
          <w:rFonts w:ascii="Calibri" w:hAnsi="Calibri" w:cs="Calibri"/>
          <w:i/>
          <w:color w:val="666666"/>
          <w:sz w:val="19"/>
          <w:szCs w:val="19"/>
        </w:rPr>
        <w:t xml:space="preserve">Контекст: в июле число безработных в Германии выросло на 71 тысячу и впервые перевалило за три миллиона — 3.007 млн, уровень безработицы поднялся до 6.4%. Летний рост для июля обычный: годом раньше прибавка составила 65 тысяч. До порога в 3.1 млн осталось меньше ста тысяч. Промышленность теряет более 10 тысяч рабочих мест ежемесячно, четыре из десяти промышленных компаний планируют сокращения в этом году, а обрабатывающая промышленность потеряла около 124 тысяч мест за прошлый год. Порог в 3.1 млн — это уровень, которого Германия не видела больше десяти лет.</w:t>
      </w:r>
    </w:p>
    <w:p>
      <w:pPr>
        <w:spacing w:before="60" w:after="60"/>
      </w:pPr>
      <w:r>
        <w:rPr>
          <w:rFonts w:ascii="Calibri" w:hAnsi="Calibri" w:cs="Calibri"/>
          <w:b/>
          <w:color w:val="1F3864"/>
          <w:sz w:val="20"/>
          <w:szCs w:val="20"/>
        </w:rPr>
        <w:t xml:space="preserve">ИИ анализ: </w:t>
      </w:r>
      <w:hyperlink r:id="rIdLink60">
        <w:r>
          <w:rPr>
            <w:rFonts w:ascii="Calibri" w:hAnsi="Calibri"/>
            <w:color w:val="2554A0"/>
            <w:u w:val="single"/>
            <w:sz w:val="20"/>
            <w:szCs w:val="20"/>
          </w:rPr>
          <w:t xml:space="preserve">https://tradingeconomics.com/germany/unemployed-persons</w:t>
        </w:r>
      </w:hyperlink>
      <w:r>
        <w:rPr>
          <w:rFonts w:ascii="Calibri" w:hAnsi="Calibri" w:cs="Calibri"/>
          <w:color w:val="000000"/>
          <w:sz w:val="20"/>
          <w:szCs w:val="20"/>
        </w:rPr>
        <w:t xml:space="preserve"> (число безработных в Германии, месячное обновление) </w:t>
      </w:r>
      <w:hyperlink r:id="rIdLink61">
        <w:r>
          <w:rPr>
            <w:rFonts w:ascii="Calibri" w:hAnsi="Calibri"/>
            <w:color w:val="2554A0"/>
            <w:u w:val="single"/>
            <w:sz w:val="20"/>
            <w:szCs w:val="20"/>
          </w:rPr>
          <w:t xml:space="preserve">https://www.arbeitsagentur.de/en/press</w:t>
        </w:r>
      </w:hyperlink>
      <w:r>
        <w:rPr>
          <w:rFonts w:ascii="Calibri" w:hAnsi="Calibri" w:cs="Calibri"/>
          <w:color w:val="000000"/>
          <w:sz w:val="20"/>
          <w:szCs w:val="20"/>
        </w:rPr>
        <w:t xml:space="preserve"> (официальные релизы Федерального агентства по труду — арбитр факта)</w:t>
      </w:r>
    </w:p>
    <w:p>
      <w:pPr>
        <w:spacing w:before="60" w:after="60"/>
      </w:pPr>
      <w:r>
        <w:rPr>
          <w:rFonts w:ascii="Calibri" w:hAnsi="Calibri" w:cs="Calibri"/>
          <w:i/>
          <w:color w:val="666666"/>
          <w:sz w:val="18"/>
          <w:szCs w:val="18"/>
        </w:rPr>
        <w:t xml:space="preserve">Обновление: ежемесячно — заменить «август» на следующий месяц в заголовке и во всех полях, цену пересчитать по последнему месячному отчёту (Федеральное агентство по труду Германии).</w:t>
      </w:r>
    </w:p>
    <w:p>
      <w:pPr>
        <w:spacing w:before="320" w:after="140"/>
      </w:pPr>
      <w:r>
        <w:rPr>
          <w:rFonts w:ascii="Calibri" w:hAnsi="Calibri" w:cs="Calibri"/>
          <w:b/>
          <w:color w:val="1F3864"/>
          <w:sz w:val="26"/>
          <w:szCs w:val="26"/>
        </w:rPr>
        <w:t xml:space="preserve">34. </w:t>
      </w:r>
      <w:r>
        <w:rPr>
          <w:noProof/>
        </w:rPr>
        <w:drawing>
          <wp:inline distT="0" distB="0" distL="0" distR="0">
            <wp:extent cx="247650" cy="165100"/>
            <wp:effectExtent l="0" t="0" r="0" b="0"/>
            <wp:docPr id="1004" name="flag_de.png"/>
            <wp:cNvGraphicFramePr/>
            <a:graphic xmlns:a="http://schemas.openxmlformats.org/drawingml/2006/main">
              <a:graphicData uri="http://schemas.openxmlformats.org/drawingml/2006/picture">
                <pic:pic xmlns:pic="http://schemas.openxmlformats.org/drawingml/2006/picture">
                  <pic:nvPicPr>
                    <pic:cNvPr id="1004" name="flag_de.png"/>
                    <pic:cNvPicPr/>
                  </pic:nvPicPr>
                  <pic:blipFill>
                    <a:blip r:embed="rIdImg5"/>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Сколько рабочих мест сократит Volkswagen в Германии к концу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15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15 до 20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20 до 25 тысяч</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25 тысяч и более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Суммарное число рабочих мест, сокращённых Volkswagen Group в Германии на 31.12.2026 относительно начала программы сокращений, по официальным данным компании. Диапазон включает нижнюю границу и не включает верхнюю.</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Планируемые и объявленные, но не проведённые сокращения; рабочие места за пределами Германии; сокращения у поставщиков; естественная текучесть, не отнесённая компанией к программе.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отчётности и сообщениям Volkswagen Group.</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компании о ходе программы на конец 2026 года.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Volkswagen Group (отчётность и пресс-релизы)</w:t>
      </w:r>
    </w:p>
    <w:p>
      <w:pPr>
        <w:spacing w:before="120" w:after="60"/>
      </w:pPr>
      <w:r>
        <w:rPr>
          <w:rFonts w:ascii="Calibri" w:hAnsi="Calibri" w:cs="Calibri"/>
          <w:i/>
          <w:color w:val="666666"/>
          <w:sz w:val="19"/>
          <w:szCs w:val="19"/>
        </w:rPr>
        <w:t xml:space="preserve">Контекст: план предусматривает сокращение 19 тысяч рабочих мест в Германии к концу 2026 года, а в целом по группе обсуждались цифры вплоть до 100 тысяч. С 2019 года автопром и поставщики уже потеряли больше 100 тысяч мест. Давление идёт с двух сторон: конкуренция китайских производителей и более медленный, чем закладывали, переход на электромобили.</w:t>
      </w:r>
    </w:p>
    <w:p>
      <w:pPr>
        <w:spacing w:before="60" w:after="60"/>
      </w:pPr>
      <w:r>
        <w:rPr>
          <w:rFonts w:ascii="Calibri" w:hAnsi="Calibri" w:cs="Calibri"/>
          <w:b/>
          <w:color w:val="1F3864"/>
          <w:sz w:val="20"/>
          <w:szCs w:val="20"/>
        </w:rPr>
        <w:t xml:space="preserve">ИИ анализ: </w:t>
      </w:r>
      <w:hyperlink r:id="rIdLink62">
        <w:r>
          <w:rPr>
            <w:rFonts w:ascii="Calibri" w:hAnsi="Calibri"/>
            <w:color w:val="2554A0"/>
            <w:u w:val="single"/>
            <w:sz w:val="20"/>
            <w:szCs w:val="20"/>
          </w:rPr>
          <w:t xml:space="preserve">https://www.volkswagen-group.com/en/press-releases</w:t>
        </w:r>
      </w:hyperlink>
      <w:r>
        <w:rPr>
          <w:rFonts w:ascii="Calibri" w:hAnsi="Calibri" w:cs="Calibri"/>
          <w:color w:val="000000"/>
          <w:sz w:val="20"/>
          <w:szCs w:val="20"/>
        </w:rPr>
        <w:t xml:space="preserve"> (официальные данные о ходе программы — арбитр факта) </w:t>
      </w:r>
      <w:hyperlink r:id="rIdLink63">
        <w:r>
          <w:rPr>
            <w:rFonts w:ascii="Calibri" w:hAnsi="Calibri"/>
            <w:color w:val="2554A0"/>
            <w:u w:val="single"/>
            <w:sz w:val="20"/>
            <w:szCs w:val="20"/>
          </w:rPr>
          <w:t xml:space="preserve">https://tradingeconomics.com/germany/unemployed-persons</w:t>
        </w:r>
      </w:hyperlink>
      <w:r>
        <w:rPr>
          <w:rFonts w:ascii="Calibri" w:hAnsi="Calibri" w:cs="Calibri"/>
          <w:color w:val="000000"/>
          <w:sz w:val="20"/>
          <w:szCs w:val="20"/>
        </w:rPr>
        <w:t xml:space="preserve"> (общая безработица в Германии — показывает, поглощает ли рынок труда высвобождаемых людей)</w:t>
      </w:r>
    </w:p>
    <w:p>
      <w:pPr>
        <w:spacing w:before="320" w:after="140"/>
      </w:pPr>
      <w:r>
        <w:rPr>
          <w:rFonts w:ascii="Calibri" w:hAnsi="Calibri" w:cs="Calibri"/>
          <w:b/>
          <w:color w:val="1F3864"/>
          <w:sz w:val="26"/>
          <w:szCs w:val="26"/>
        </w:rPr>
        <w:t xml:space="preserve">35. </w:t>
      </w:r>
      <w:r>
        <w:rPr>
          <w:noProof/>
        </w:rPr>
        <w:drawing>
          <wp:inline distT="0" distB="0" distL="0" distR="0">
            <wp:extent cx="247650" cy="165100"/>
            <wp:effectExtent l="0" t="0" r="0" b="0"/>
            <wp:docPr id="1004" name="flag_de.png"/>
            <wp:cNvGraphicFramePr/>
            <a:graphic xmlns:a="http://schemas.openxmlformats.org/drawingml/2006/main">
              <a:graphicData uri="http://schemas.openxmlformats.org/drawingml/2006/picture">
                <pic:pic xmlns:pic="http://schemas.openxmlformats.org/drawingml/2006/picture">
                  <pic:nvPicPr>
                    <pic:cNvPr id="1004" name="flag_de.png"/>
                    <pic:cNvPicPr/>
                  </pic:nvPicPr>
                  <pic:blipFill>
                    <a:blip r:embed="rIdImg5"/>
                    <a:stretch>
                      <a:fillRect/>
                    </a:stretch>
                  </pic:blipFill>
                  <pic:spPr>
                    <a:xfrm>
                      <a:off x="0" y="0"/>
                      <a:ext cx="247650" cy="165100"/>
                    </a:xfrm>
                    <a:prstGeom prst="rect">
                      <a:avLst/>
                    </a:prstGeom>
                  </pic:spPr>
                </pic:pic>
              </a:graphicData>
            </a:graphic>
          </wp:inline>
        </w:drawing>
      </w:r>
      <w:r>
        <w:rPr>
          <w:rFonts w:ascii="Calibri" w:hAnsi="Calibri" w:cs="Calibri"/>
          <w:b/>
          <w:color w:val="1F3864"/>
          <w:sz w:val="26"/>
          <w:szCs w:val="26"/>
        </w:rPr>
        <w:t xml:space="preserve"> На сколько вырастет число банкротств компаний в Германии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чем на 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5% до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3.03 (33%)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1.49 (67%)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12% до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На 20% и более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Изменение числа заявленных корпоративных банкротств в Германии за 2026 год к 2025 году по данным Федерального статистического ведомства. Диапазон включает нижнюю границу и не включает верхнюю. Снижение числа банкротств засчитывается как «Менее чем на 5%». Резолюция по годовой публикации ведомства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Банкротства физических лиц; данные коммерческих агентств вместо официальной статистики; помесячные показатели; предварительные оценки, впоследствии пересмотренные.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годовой публикации Федерального статистического ведомства Германии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доступной официальной публикации с годовым итогом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статистическое ведомство Германии, статистика банкротств</w:t>
      </w:r>
    </w:p>
    <w:p>
      <w:pPr>
        <w:spacing w:before="120" w:after="60"/>
      </w:pPr>
      <w:r>
        <w:rPr>
          <w:rFonts w:ascii="Calibri" w:hAnsi="Calibri" w:cs="Calibri"/>
          <w:i/>
          <w:color w:val="666666"/>
          <w:sz w:val="19"/>
          <w:szCs w:val="19"/>
        </w:rPr>
        <w:t xml:space="preserve">Контекст: Германия вышла на худший уровень корпоративных банкротств более чем за двадцать лет — почти 5000 заявлений во втором квартале, это максимум для второго квартала с 2005 года. В июне подано 1702 заявления, на 20% больше, чем годом ранее, и на 80% выше доковидной нормы для этого месяца. По Европе в целом 2026-й — пятый подряд год роста, а под угрозой из-за банкротств находится 1.3 млн рабочих мест.</w:t>
      </w:r>
    </w:p>
    <w:p>
      <w:pPr>
        <w:spacing w:before="60" w:after="60"/>
      </w:pPr>
      <w:r>
        <w:rPr>
          <w:rFonts w:ascii="Calibri" w:hAnsi="Calibri" w:cs="Calibri"/>
          <w:b/>
          <w:color w:val="1F3864"/>
          <w:sz w:val="20"/>
          <w:szCs w:val="20"/>
        </w:rPr>
        <w:t xml:space="preserve">ИИ анализ: </w:t>
      </w:r>
      <w:hyperlink r:id="rIdLink64">
        <w:r>
          <w:rPr>
            <w:rFonts w:ascii="Calibri" w:hAnsi="Calibri"/>
            <w:color w:val="2554A0"/>
            <w:u w:val="single"/>
            <w:sz w:val="20"/>
            <w:szCs w:val="20"/>
          </w:rPr>
          <w:t xml:space="preserve">https://tradingeconomics.com/germany/bankruptcies</w:t>
        </w:r>
      </w:hyperlink>
      <w:r>
        <w:rPr>
          <w:rFonts w:ascii="Calibri" w:hAnsi="Calibri" w:cs="Calibri"/>
          <w:color w:val="000000"/>
          <w:sz w:val="20"/>
          <w:szCs w:val="20"/>
        </w:rPr>
        <w:t xml:space="preserve"> (месячная динамика банкротств в Германии) </w:t>
      </w:r>
      <w:hyperlink r:id="rIdLink65">
        <w:r>
          <w:rPr>
            <w:rFonts w:ascii="Calibri" w:hAnsi="Calibri"/>
            <w:color w:val="2554A0"/>
            <w:u w:val="single"/>
            <w:sz w:val="20"/>
            <w:szCs w:val="20"/>
          </w:rPr>
          <w:t xml:space="preserve">https://www.destatis.de/DE/Themen/Branchen-Unternehmen/Unternehmen/Gewerbemeldungen-Insolvenzen/_inhalt.html</w:t>
        </w:r>
      </w:hyperlink>
      <w:r>
        <w:rPr>
          <w:rFonts w:ascii="Calibri" w:hAnsi="Calibri" w:cs="Calibri"/>
          <w:color w:val="000000"/>
          <w:sz w:val="20"/>
          <w:szCs w:val="20"/>
        </w:rPr>
        <w:t xml:space="preserve"> (официальная статистика ведомства — арбитр факта)</w:t>
      </w:r>
    </w:p>
    <w:p>
      <w:pPr>
        <w:spacing w:before="320" w:after="140"/>
      </w:pPr>
      <w:r>
        <w:rPr>
          <w:rFonts w:ascii="Calibri" w:hAnsi="Calibri" w:cs="Calibri"/>
          <w:b/>
          <w:color w:val="1F3864"/>
          <w:sz w:val="26"/>
          <w:szCs w:val="26"/>
        </w:rPr>
        <w:t xml:space="preserve">36. Назовёт ли Лагард дату ухода на пресс-конференции 10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На пресс-конференции по итогам заседания Совета управляющих ЕЦБ 10.09.2026 Кристин Лагард называет конкретную дату или месяц завершения полномочий, отличающийся от планового октября 2027. Засчитывается и официальное объявление ЕЦБ в тот же день.</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Формулировки «не исключаю» и «не хочу загонять себя в рамки» без конкретной даты; сообщения прессы со ссылкой на источники; обсуждение кандидатур преемника; подтверждение планового срока; заявления в другие дни и на других мероприятиях.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стенограмме пресс-конференции на сайте ЕЦБ.</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стенограмма не опубликована к 30.09.2026 или заседание перенесено — резолюция по официальным сообщениям ЕЦБ за сентябрь, но не позднее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ЕЦБ, стенограммы пресс-конференций председателя.</w:t>
      </w:r>
    </w:p>
    <w:p>
      <w:pPr>
        <w:spacing w:before="120" w:after="60"/>
      </w:pPr>
      <w:r>
        <w:rPr>
          <w:rFonts w:ascii="Calibri" w:hAnsi="Calibri" w:cs="Calibri"/>
          <w:i/>
          <w:color w:val="666666"/>
          <w:sz w:val="19"/>
          <w:szCs w:val="19"/>
        </w:rPr>
        <w:t xml:space="preserve">Контекст: за один месяц Лагард высказалась двумя противоположными способами. 3 июля не исключила досрочный уход ради французской политики. 23 июля отрезала: «вы не увидите моей спины раньше 2027 года» и «когда на горизонте сгущаются тучи, капитан остаётся на корабле» — но связать себя обещанием доработать срок отказалась, сказала, что не любит, когда её «загоняют в рамки». Сентябрьское заседание особое: рынок ждёт повышения ставки с вероятностью около 70%, внимание к её словам будет максимальным, и о планах спросят наверняка.</w:t>
      </w:r>
    </w:p>
    <w:p>
      <w:pPr>
        <w:spacing w:before="60" w:after="60"/>
      </w:pPr>
      <w:r>
        <w:rPr>
          <w:rFonts w:ascii="Calibri" w:hAnsi="Calibri" w:cs="Calibri"/>
          <w:b/>
          <w:color w:val="1F3864"/>
          <w:sz w:val="20"/>
          <w:szCs w:val="20"/>
        </w:rPr>
        <w:t xml:space="preserve">ИИ анализ: </w:t>
      </w:r>
      <w:hyperlink r:id="rIdLink66">
        <w:r>
          <w:rPr>
            <w:rFonts w:ascii="Calibri" w:hAnsi="Calibri"/>
            <w:color w:val="2554A0"/>
            <w:u w:val="single"/>
            <w:sz w:val="20"/>
            <w:szCs w:val="20"/>
          </w:rPr>
          <w:t xml:space="preserve">https://www.ecb.europa.eu/press/press_conference/html/index.en.html</w:t>
        </w:r>
      </w:hyperlink>
      <w:r>
        <w:rPr>
          <w:rFonts w:ascii="Calibri" w:hAnsi="Calibri" w:cs="Calibri"/>
          <w:color w:val="000000"/>
          <w:sz w:val="20"/>
          <w:szCs w:val="20"/>
        </w:rPr>
        <w:t xml:space="preserve"> (стенограммы пресс-конференций ЕЦБ — арбитр факта) </w:t>
      </w:r>
      <w:hyperlink r:id="rIdLink67">
        <w:r>
          <w:rPr>
            <w:rFonts w:ascii="Calibri" w:hAnsi="Calibri"/>
            <w:color w:val="2554A0"/>
            <w:u w:val="single"/>
            <w:sz w:val="20"/>
            <w:szCs w:val="20"/>
          </w:rPr>
          <w:t xml:space="preserve">https://polymarket.com/predictions/euro-area</w:t>
        </w:r>
      </w:hyperlink>
      <w:r>
        <w:rPr>
          <w:rFonts w:ascii="Calibri" w:hAnsi="Calibri" w:cs="Calibri"/>
          <w:color w:val="000000"/>
          <w:sz w:val="20"/>
          <w:szCs w:val="20"/>
        </w:rPr>
        <w:t xml:space="preserve"> (раздел рынков по еврозоне — живая вероятность)</w:t>
      </w:r>
    </w:p>
    <w:p>
      <w:pPr>
        <w:spacing w:before="60" w:after="60"/>
      </w:pPr>
      <w:r>
        <w:rPr>
          <w:rFonts w:ascii="Calibri" w:hAnsi="Calibri" w:cs="Calibri"/>
          <w:i/>
          <w:color w:val="666666"/>
          <w:sz w:val="18"/>
          <w:szCs w:val="18"/>
        </w:rPr>
        <w:t xml:space="preserve">Обновление: после заседания ЕЦБ 10.09.2026 — если дата не названа, перепривязать к следующему заседанию Совета управляющих.</w:t>
      </w:r>
    </w:p>
    <w:p>
      <w:pPr>
        <w:spacing w:before="320" w:after="140"/>
      </w:pPr>
      <w:r>
        <w:rPr>
          <w:rFonts w:ascii="Calibri" w:hAnsi="Calibri" w:cs="Calibri"/>
          <w:b/>
          <w:color w:val="1F3864"/>
          <w:sz w:val="26"/>
          <w:szCs w:val="26"/>
        </w:rPr>
        <w:t xml:space="preserve">37. Какой будет инфляция в еврозоне за август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2.5% до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3.0% до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2.63 (38%)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1.61 (62%)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3.5%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Годовой рост гармонизированного индекса потребительских цен по еврозоне за август 2026 года по данным Евростата — показатель «год к году» из публикации за август. Диапазон включает нижнюю границу и не включает верхнюю. Резолюция по предварительной оценке Евростата, публикуемой в конце августа 2026, а при её пересмотре — по окончательным данным середины сентября.</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Показатели по отдельным странам; базовая инфляция без энергии и продуктов; изменение к предыдущему месяцу вместо годового; данные по ЕС в целом вместо еврозоны; данные за другие месяцы.</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окончательной публикации Евростата с индексом за август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публикация задерживается — резолюция по первым доступным официальным данным Евростата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гармонизированный индекс потребительских цен по еврозоне</w:t>
      </w:r>
    </w:p>
    <w:p>
      <w:pPr>
        <w:spacing w:before="120" w:after="60"/>
      </w:pPr>
      <w:r>
        <w:rPr>
          <w:rFonts w:ascii="Calibri" w:hAnsi="Calibri" w:cs="Calibri"/>
          <w:i/>
          <w:color w:val="666666"/>
          <w:sz w:val="19"/>
          <w:szCs w:val="19"/>
        </w:rPr>
        <w:t xml:space="preserve">Контекст: по оценке Евростата от 31 июля инфляция в еврозоне снова выросла — 2.9% в июле против 2.8% в июне и 3.2% в мае. Разгоняет её энергия: плюс 10.0% годовых против 8.5% месяцем раньше, следствие закрытия Ормузского пролива. Базовая инфляция тоже подросла до 2.5%. Разброс по странам большой: Литва 5.6%, Болгария 4.1% против Эстонии 2.0% и Франции 2.4%. ЕЦБ держит прогноз на год около 3%. По опросам, рост цен называют главной личной проблемой 52% европейцев.</w:t>
      </w:r>
    </w:p>
    <w:p>
      <w:pPr>
        <w:spacing w:before="60" w:after="60"/>
      </w:pPr>
      <w:r>
        <w:rPr>
          <w:rFonts w:ascii="Calibri" w:hAnsi="Calibri" w:cs="Calibri"/>
          <w:b/>
          <w:color w:val="1F3864"/>
          <w:sz w:val="20"/>
          <w:szCs w:val="20"/>
        </w:rPr>
        <w:t xml:space="preserve">ИИ анализ: </w:t>
      </w:r>
      <w:hyperlink r:id="rIdLink68">
        <w:r>
          <w:rPr>
            <w:rFonts w:ascii="Calibri" w:hAnsi="Calibri"/>
            <w:color w:val="2554A0"/>
            <w:u w:val="single"/>
            <w:sz w:val="20"/>
            <w:szCs w:val="20"/>
          </w:rPr>
          <w:t xml:space="preserve">https://tradingeconomics.com/euro-area/inflation-cpi</w:t>
        </w:r>
      </w:hyperlink>
      <w:r>
        <w:rPr>
          <w:rFonts w:ascii="Calibri" w:hAnsi="Calibri" w:cs="Calibri"/>
          <w:color w:val="000000"/>
          <w:sz w:val="20"/>
          <w:szCs w:val="20"/>
        </w:rPr>
        <w:t xml:space="preserve"> (месячные данные по инфляции еврозоны, обновляются с каждой публикацией) </w:t>
      </w:r>
      <w:hyperlink r:id="rIdLink69">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 арбитр факта)</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диапазоны пересчитать вокруг последнего значения (Евростат, ГИПЦ по еврозоне).</w:t>
      </w:r>
    </w:p>
    <w:p>
      <w:pPr>
        <w:spacing w:before="320" w:after="140"/>
      </w:pPr>
      <w:r>
        <w:rPr>
          <w:rFonts w:ascii="Calibri" w:hAnsi="Calibri" w:cs="Calibri"/>
          <w:b/>
          <w:color w:val="1F3864"/>
          <w:sz w:val="26"/>
          <w:szCs w:val="26"/>
        </w:rPr>
        <w:t xml:space="preserve">38. Превысит ли продовольственная инфляция в еврозоне 2% в августе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Годовой рост цен на продукты питания, алкоголь и табак в еврозоне за август 2026 года по данным Евростата превышает 2%. Резолюция по публикации Евростата с данными за август 2026 года.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Общая инфляция; показатели отдельных стран; предварительные оценки, впоследствии пересмотренные ниже порога.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окончательным публикациям Евростата за соответствующие месяцы.</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публикация за август задерживается — резолюция по первым доступным официальным данным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индекс цен на продукты питания по еврозоне</w:t>
      </w:r>
    </w:p>
    <w:p>
      <w:pPr>
        <w:spacing w:before="120" w:after="60"/>
      </w:pPr>
      <w:r>
        <w:rPr>
          <w:rFonts w:ascii="Calibri" w:hAnsi="Calibri" w:cs="Calibri"/>
          <w:i/>
          <w:color w:val="666666"/>
          <w:sz w:val="19"/>
          <w:szCs w:val="19"/>
        </w:rPr>
        <w:t xml:space="preserve">Контекст: в июле продовольственная инфляция в еврозоне составила 1.2% против 1.5% в июне — то есть замедляется, несмотря на подорожавшую энергию. Продовольствие обычно идёт за энергетикой с отставанием в несколько месяцев: топливо сидит в себестоимости производства, хранения и перевозки, а энергия сейчас растёт на 10% годовых. Порог в 2% — это разворот тренда, который означал бы, что энергетический шок дошёл до полки магазина.</w:t>
      </w:r>
    </w:p>
    <w:p>
      <w:pPr>
        <w:spacing w:before="60" w:after="60"/>
      </w:pPr>
      <w:r>
        <w:rPr>
          <w:rFonts w:ascii="Calibri" w:hAnsi="Calibri" w:cs="Calibri"/>
          <w:b/>
          <w:color w:val="1F3864"/>
          <w:sz w:val="20"/>
          <w:szCs w:val="20"/>
        </w:rPr>
        <w:t xml:space="preserve">ИИ анализ: </w:t>
      </w:r>
      <w:hyperlink r:id="rIdLink70">
        <w:r>
          <w:rPr>
            <w:rFonts w:ascii="Calibri" w:hAnsi="Calibri"/>
            <w:color w:val="2554A0"/>
            <w:u w:val="single"/>
            <w:sz w:val="20"/>
            <w:szCs w:val="20"/>
          </w:rPr>
          <w:t xml:space="preserve">https://tradingeconomics.com/euro-area/food-inflation</w:t>
        </w:r>
      </w:hyperlink>
      <w:r>
        <w:rPr>
          <w:rFonts w:ascii="Calibri" w:hAnsi="Calibri" w:cs="Calibri"/>
          <w:color w:val="000000"/>
          <w:sz w:val="20"/>
          <w:szCs w:val="20"/>
        </w:rPr>
        <w:t xml:space="preserve"> (месячная динамика, обновляется с каждой публикацией) </w:t>
      </w:r>
      <w:hyperlink r:id="rIdLink71">
        <w:r>
          <w:rPr>
            <w:rFonts w:ascii="Calibri" w:hAnsi="Calibri"/>
            <w:color w:val="2554A0"/>
            <w:u w:val="single"/>
            <w:sz w:val="20"/>
            <w:szCs w:val="20"/>
          </w:rPr>
          <w:t xml:space="preserve">https://tradingeconomics.com/commodity/eu-natural-gas</w:t>
        </w:r>
      </w:hyperlink>
      <w:r>
        <w:rPr>
          <w:rFonts w:ascii="Calibri" w:hAnsi="Calibri" w:cs="Calibri"/>
          <w:color w:val="000000"/>
          <w:sz w:val="20"/>
          <w:szCs w:val="20"/>
        </w:rPr>
        <w:t xml:space="preserve"> (цена газа — энергия входит в себестоимость продуктов и разгоняет их цену с задержкой)</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порог и цену пересчитать по последней публикации (Евростат, индекс цен на продукты, алкоголь и табак).</w:t>
      </w:r>
    </w:p>
    <w:p>
      <w:pPr>
        <w:spacing w:before="320" w:after="140"/>
      </w:pPr>
      <w:r>
        <w:rPr>
          <w:rFonts w:ascii="Calibri" w:hAnsi="Calibri" w:cs="Calibri"/>
          <w:b/>
          <w:color w:val="1F3864"/>
          <w:sz w:val="26"/>
          <w:szCs w:val="26"/>
        </w:rPr>
        <w:t xml:space="preserve">39. Какой будет средняя цена бензина в ЕС на конец августа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1.75 евро за литр</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1.75 до 1.90 евро за литр</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1.90 до 2.05 евро за литр</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2.70 (37%)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1.59 (63%)</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2.05 евро за литр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Средневзвешенная по ЕС цена бензина в последнем выпуске еженедельного нефтяного бюллетеня Еврокомиссии, вышедшем до 31.08.2026 включительно. Диапазон включает нижнюю границу и не включает верхнюю. Резолюция по последнему выпуску бюллетеня, вышедшему до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Цены отдельных стран; цены дизеля; цены на отдельных заправках; котировки нефти.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последнему августовскому выпуску еженедельного нефтяного бюллетеня Еврокомиссии.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первому доступному выпуску бюллетеня с данными за последнюю неделю августа 2026 года, но не позднее 30.09.2026.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Еврокомиссия, еженедельный нефтяной бюллетень</w:t>
      </w:r>
    </w:p>
    <w:p>
      <w:pPr>
        <w:spacing w:before="120" w:after="60"/>
      </w:pPr>
      <w:r>
        <w:rPr>
          <w:rFonts w:ascii="Calibri" w:hAnsi="Calibri" w:cs="Calibri"/>
          <w:i/>
          <w:color w:val="666666"/>
          <w:sz w:val="19"/>
          <w:szCs w:val="19"/>
        </w:rPr>
        <w:t xml:space="preserve">Контекст: на 4 августа средняя по ЕС цена бензина составляет 1.830 евро за литр, дизеля — 1.921. Двумя неделями раньше было 1.795 и 1.838 — топливо дорожает на 10% за четыре недели и на 19% за год, это самый резкий рост со времён энергетического шока 2022 года. Разброс по странам огромный: бензин от 1.340 евро на Мальте до 2.486 в Дании. Больше половины цены на заправке — акцизы и НДС, поэтому решения правительств влияют на неё не меньше, чем нефть.</w:t>
      </w:r>
    </w:p>
    <w:p>
      <w:pPr>
        <w:spacing w:before="60" w:after="60"/>
      </w:pPr>
      <w:r>
        <w:rPr>
          <w:rFonts w:ascii="Calibri" w:hAnsi="Calibri" w:cs="Calibri"/>
          <w:b/>
          <w:color w:val="1F3864"/>
          <w:sz w:val="20"/>
          <w:szCs w:val="20"/>
        </w:rPr>
        <w:t xml:space="preserve">ИИ анализ: </w:t>
      </w:r>
      <w:hyperlink r:id="rIdLink72">
        <w:r>
          <w:rPr>
            <w:rFonts w:ascii="Calibri" w:hAnsi="Calibri"/>
            <w:color w:val="2554A0"/>
            <w:u w:val="single"/>
            <w:sz w:val="20"/>
            <w:szCs w:val="20"/>
          </w:rPr>
          <w:t xml:space="preserve">https://energy.ec.europa.eu/data-and-analysis/weekly-oil-bulletin_en</w:t>
        </w:r>
      </w:hyperlink>
      <w:r>
        <w:rPr>
          <w:rFonts w:ascii="Calibri" w:hAnsi="Calibri" w:cs="Calibri"/>
          <w:color w:val="000000"/>
          <w:sz w:val="20"/>
          <w:szCs w:val="20"/>
        </w:rPr>
        <w:t xml:space="preserve"> (официальные средние цены топлива по ЕС, публикуются еженедельно — арбитр факта) </w:t>
      </w:r>
      <w:hyperlink r:id="rIdLink73">
        <w:r>
          <w:rPr>
            <w:rFonts w:ascii="Calibri" w:hAnsi="Calibri"/>
            <w:color w:val="2554A0"/>
            <w:u w:val="single"/>
            <w:sz w:val="20"/>
            <w:szCs w:val="20"/>
          </w:rPr>
          <w:t xml:space="preserve">https://www.fuel-prices.eu/weekly/</w:t>
        </w:r>
      </w:hyperlink>
      <w:r>
        <w:rPr>
          <w:rFonts w:ascii="Calibri" w:hAnsi="Calibri" w:cs="Calibri"/>
          <w:color w:val="000000"/>
          <w:sz w:val="20"/>
          <w:szCs w:val="20"/>
        </w:rPr>
        <w:t xml:space="preserve"> (недельная сводка цен по 27 странам, удобна для отслеживания динамики)</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диапазоны пересчитать по последнему выпуску (еженедельный нефтяной бюллетень Еврокомиссии).</w:t>
      </w:r>
    </w:p>
    <w:p>
      <w:pPr>
        <w:spacing w:before="320" w:after="140"/>
      </w:pPr>
      <w:r>
        <w:rPr>
          <w:rFonts w:ascii="Calibri" w:hAnsi="Calibri" w:cs="Calibri"/>
          <w:b/>
          <w:color w:val="1F3864"/>
          <w:sz w:val="26"/>
          <w:szCs w:val="26"/>
        </w:rPr>
        <w:t xml:space="preserve">40. Превысит ли средняя цена дизеля в ЕС 2.10 евро за литр в августе?</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1.39 (72%)</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3.57 (28%)</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Средневзвешенная по ЕС цена дизельного топлива превышает 2.10 евро за литр хотя бы в одном еженедельном нефтяном бюллетене Еврокомиссии, вышедшем до 31.08.2026 включительно.</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Цены отдельных стран; цены бензина; данные коммерческих агрегаторов вместо бюллетеня Еврокомиссии.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выпускам еженедельного нефтяного бюллетеня.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в августовских выпусках превышения не зафиксировано — НЕТ. Резолюция не позднее 30.09.2026.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Еврокомиссия, еженедельный нефтяной бюллетень</w:t>
      </w:r>
    </w:p>
    <w:p>
      <w:pPr>
        <w:spacing w:before="120" w:after="60"/>
      </w:pPr>
      <w:r>
        <w:rPr>
          <w:rFonts w:ascii="Calibri" w:hAnsi="Calibri" w:cs="Calibri"/>
          <w:i/>
          <w:color w:val="666666"/>
          <w:sz w:val="19"/>
          <w:szCs w:val="19"/>
        </w:rPr>
        <w:t xml:space="preserve">Контекст: дизель дороже бензина и бьёт прежде всего по перевозчикам, фермерам и всем, кто ездит на дизельной машине. Именно рост цен на дизель поднимал фермеров на протесты в предыдущие годы. На 4 августа средняя цена 1.921 евро за литр против 1.838 двумя неделями раньше. При нынешнем темпе — плюс 10% за четыре недели — до порога остаётся около месяца, но темп может и сломаться, если откроется Ормуз.</w:t>
      </w:r>
    </w:p>
    <w:p>
      <w:pPr>
        <w:spacing w:before="60" w:after="60"/>
      </w:pPr>
      <w:r>
        <w:rPr>
          <w:rFonts w:ascii="Calibri" w:hAnsi="Calibri" w:cs="Calibri"/>
          <w:b/>
          <w:color w:val="1F3864"/>
          <w:sz w:val="20"/>
          <w:szCs w:val="20"/>
        </w:rPr>
        <w:t xml:space="preserve">ИИ анализ: </w:t>
      </w:r>
      <w:hyperlink r:id="rIdLink74">
        <w:r>
          <w:rPr>
            <w:rFonts w:ascii="Calibri" w:hAnsi="Calibri"/>
            <w:color w:val="2554A0"/>
            <w:u w:val="single"/>
            <w:sz w:val="20"/>
            <w:szCs w:val="20"/>
          </w:rPr>
          <w:t xml:space="preserve">https://energy.ec.europa.eu/data-and-analysis/weekly-oil-bulletin_en</w:t>
        </w:r>
      </w:hyperlink>
      <w:r>
        <w:rPr>
          <w:rFonts w:ascii="Calibri" w:hAnsi="Calibri" w:cs="Calibri"/>
          <w:color w:val="000000"/>
          <w:sz w:val="20"/>
          <w:szCs w:val="20"/>
        </w:rPr>
        <w:t xml:space="preserve"> (официальные цены, еженедельная публикация — арбитр факта) </w:t>
      </w:r>
      <w:hyperlink r:id="rIdLink75">
        <w:r>
          <w:rPr>
            <w:rFonts w:ascii="Calibri" w:hAnsi="Calibri"/>
            <w:color w:val="2554A0"/>
            <w:u w:val="single"/>
            <w:sz w:val="20"/>
            <w:szCs w:val="20"/>
          </w:rPr>
          <w:t xml:space="preserve">https://straits.live/</w:t>
        </w:r>
      </w:hyperlink>
      <w:r>
        <w:rPr>
          <w:rFonts w:ascii="Calibri" w:hAnsi="Calibri" w:cs="Calibri"/>
          <w:color w:val="000000"/>
          <w:sz w:val="20"/>
          <w:szCs w:val="20"/>
        </w:rPr>
        <w:t xml:space="preserve"> (статус Ормузского пролива — через него шло около пятой части мировой нефти, это главный ценовой риск)</w:t>
      </w:r>
    </w:p>
    <w:p>
      <w:pPr>
        <w:spacing w:before="60" w:after="60"/>
      </w:pPr>
      <w:r>
        <w:rPr>
          <w:rFonts w:ascii="Calibri" w:hAnsi="Calibri" w:cs="Calibri"/>
          <w:i/>
          <w:color w:val="666666"/>
          <w:sz w:val="18"/>
          <w:szCs w:val="18"/>
        </w:rPr>
        <w:t xml:space="preserve">Обновление: ежемесячно — заменить «август» на следующий месяц в заголовке и во всех полях, порог и цену пересчитать по последнему выпуску (еженедельный нефтяной бюллетень Еврокомиссии).</w:t>
      </w:r>
    </w:p>
    <w:p>
      <w:pPr>
        <w:spacing w:before="320" w:after="140"/>
      </w:pPr>
      <w:r>
        <w:rPr>
          <w:rFonts w:ascii="Calibri" w:hAnsi="Calibri" w:cs="Calibri"/>
          <w:b/>
          <w:color w:val="1F3864"/>
          <w:sz w:val="26"/>
          <w:szCs w:val="26"/>
        </w:rPr>
        <w:t xml:space="preserve">41. Вырастут ли реальные зарплаты в еврозоне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Рост договорных зарплат в еврозоне за 2026 год по данным ЕЦБ превышает среднегодовую инфляцию по еврозоне за 2026 год по данным Евростата. Резолюция по первым годовым публикациям ЕЦБ 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Сравнение по отдельным странам; фактические выплаты вместо договорных ставок; сравнение отдельных кварталов; номинальный рост зарплат сам по себе.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первым полным годовым публикациям ЕЦБ и Евростата за 2026 год.</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годовым данным обоих ведомств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ЕЦБ (индикатор договорных зарплат) и Евростат (гармонизированный индекс цен)</w:t>
      </w:r>
    </w:p>
    <w:p>
      <w:pPr>
        <w:spacing w:before="120" w:after="60"/>
      </w:pPr>
      <w:r>
        <w:rPr>
          <w:rFonts w:ascii="Calibri" w:hAnsi="Calibri" w:cs="Calibri"/>
          <w:i/>
          <w:color w:val="666666"/>
          <w:sz w:val="19"/>
          <w:szCs w:val="19"/>
        </w:rPr>
        <w:t xml:space="preserve">Контекст: ЕЦБ ждёт роста договорных зарплат около 2.6% за 2026 год против 3.0% в 2025-м, а инфляцию прогнозирует около 3%. То есть зарплаты, скорее всего, снова отстанут от цен. В трети европейских стран реальные зарплаты до сих пор ниже уровня 2021 года — прошлый ценовой шок так и не отыгран.</w:t>
      </w:r>
    </w:p>
    <w:p>
      <w:pPr>
        <w:spacing w:before="60" w:after="60"/>
      </w:pPr>
      <w:r>
        <w:rPr>
          <w:rFonts w:ascii="Calibri" w:hAnsi="Calibri" w:cs="Calibri"/>
          <w:b/>
          <w:color w:val="1F3864"/>
          <w:sz w:val="20"/>
          <w:szCs w:val="20"/>
        </w:rPr>
        <w:t xml:space="preserve">ИИ анализ: </w:t>
      </w:r>
      <w:hyperlink r:id="rIdLink76">
        <w:r>
          <w:rPr>
            <w:rFonts w:ascii="Calibri" w:hAnsi="Calibri"/>
            <w:color w:val="2554A0"/>
            <w:u w:val="single"/>
            <w:sz w:val="20"/>
            <w:szCs w:val="20"/>
          </w:rPr>
          <w:t xml:space="preserve">https://tradingeconomics.com/euro-area/negotiated-wage-growth</w:t>
        </w:r>
      </w:hyperlink>
      <w:r>
        <w:rPr>
          <w:rFonts w:ascii="Calibri" w:hAnsi="Calibri" w:cs="Calibri"/>
          <w:color w:val="000000"/>
          <w:sz w:val="20"/>
          <w:szCs w:val="20"/>
        </w:rPr>
        <w:t xml:space="preserve"> (динамика договорных зарплат по кварталам) </w:t>
      </w:r>
      <w:hyperlink r:id="rIdLink77">
        <w:r>
          <w:rPr>
            <w:rFonts w:ascii="Calibri" w:hAnsi="Calibri"/>
            <w:color w:val="2554A0"/>
            <w:u w:val="single"/>
            <w:sz w:val="20"/>
            <w:szCs w:val="20"/>
          </w:rPr>
          <w:t xml:space="preserve">https://tradingeconomics.com/euro-area/inflation-cpi</w:t>
        </w:r>
      </w:hyperlink>
      <w:r>
        <w:rPr>
          <w:rFonts w:ascii="Calibri" w:hAnsi="Calibri" w:cs="Calibri"/>
          <w:color w:val="000000"/>
          <w:sz w:val="20"/>
          <w:szCs w:val="20"/>
        </w:rPr>
        <w:t xml:space="preserve"> (инфляция еврозоны — вторая половина сравнения)</w:t>
      </w:r>
    </w:p>
    <w:p>
      <w:pPr>
        <w:spacing w:before="320" w:after="140"/>
      </w:pPr>
      <w:r>
        <w:rPr>
          <w:rFonts w:ascii="Calibri" w:hAnsi="Calibri" w:cs="Calibri"/>
          <w:b/>
          <w:color w:val="1F3864"/>
          <w:sz w:val="26"/>
          <w:szCs w:val="26"/>
        </w:rPr>
        <w:t xml:space="preserve">42. Какой будет безработица в еврозоне в августе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6.2%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6.2% до 6.4%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6.4% до 6.7%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3.03 (33%)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1.49 (67%)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6.7%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Уровень безработицы в еврозоне за август 2026 года с сезонной корректировкой по данным Евростата. Диапазон включает нижнюю границу и не включает верхнюю. Резолюция по публикации Евростата с данными за декабрь 2026, вышедшей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Показатели по ЕС вместо еврозоны; данные отдельных стран; молодёжная безработица; значения без сезонной корректировки.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публикации Евростата с данными за август 2026 года, выходящей в начале октября.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доступной публикации Евростата за август 2026 года, но не позднее 30.11.2026.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уровень безработицы по еврозоне с сезонной корректировкой</w:t>
      </w:r>
    </w:p>
    <w:p>
      <w:pPr>
        <w:spacing w:before="120" w:after="60"/>
      </w:pPr>
      <w:r>
        <w:rPr>
          <w:rFonts w:ascii="Calibri" w:hAnsi="Calibri" w:cs="Calibri"/>
          <w:i/>
          <w:color w:val="666666"/>
          <w:sz w:val="19"/>
          <w:szCs w:val="19"/>
        </w:rPr>
        <w:t xml:space="preserve">Контекст: в июне безработица в еврозоне составила 6.3% и не менялась ни к маю, ни к июню прошлого года. Это держится вблизи исторического минимума, но промышленность Германии уже режет рабочие места десятками тысяч, и вопрос в том, когда это дойдёт до общей статистики.</w:t>
      </w:r>
    </w:p>
    <w:p>
      <w:pPr>
        <w:spacing w:before="60" w:after="60"/>
      </w:pPr>
      <w:r>
        <w:rPr>
          <w:rFonts w:ascii="Calibri" w:hAnsi="Calibri" w:cs="Calibri"/>
          <w:b/>
          <w:color w:val="1F3864"/>
          <w:sz w:val="20"/>
          <w:szCs w:val="20"/>
        </w:rPr>
        <w:t xml:space="preserve">ИИ анализ: </w:t>
      </w:r>
      <w:hyperlink r:id="rIdLink78">
        <w:r>
          <w:rPr>
            <w:rFonts w:ascii="Calibri" w:hAnsi="Calibri"/>
            <w:color w:val="2554A0"/>
            <w:u w:val="single"/>
            <w:sz w:val="20"/>
            <w:szCs w:val="20"/>
          </w:rPr>
          <w:t xml:space="preserve">https://tradingeconomics.com/euro-area/unemployment-rate</w:t>
        </w:r>
      </w:hyperlink>
      <w:r>
        <w:rPr>
          <w:rFonts w:ascii="Calibri" w:hAnsi="Calibri" w:cs="Calibri"/>
          <w:color w:val="000000"/>
          <w:sz w:val="20"/>
          <w:szCs w:val="20"/>
        </w:rPr>
        <w:t xml:space="preserve"> (месячная динамика безработицы еврозоны) </w:t>
      </w:r>
      <w:hyperlink r:id="rIdLink79">
        <w:r>
          <w:rPr>
            <w:rFonts w:ascii="Calibri" w:hAnsi="Calibri"/>
            <w:color w:val="2554A0"/>
            <w:u w:val="single"/>
            <w:sz w:val="20"/>
            <w:szCs w:val="20"/>
          </w:rPr>
          <w:t xml:space="preserve">https://ec.europa.eu/eurostat/news/euro-indicators</w:t>
        </w:r>
      </w:hyperlink>
      <w:r>
        <w:rPr>
          <w:rFonts w:ascii="Calibri" w:hAnsi="Calibri" w:cs="Calibri"/>
          <w:color w:val="000000"/>
          <w:sz w:val="20"/>
          <w:szCs w:val="20"/>
        </w:rPr>
        <w:t xml:space="preserve"> (официальные релизы Евростата — арбитр факта)</w:t>
      </w:r>
    </w:p>
    <w:p>
      <w:pPr>
        <w:spacing w:before="60" w:after="60"/>
      </w:pPr>
      <w:r>
        <w:rPr>
          <w:rFonts w:ascii="Calibri" w:hAnsi="Calibri" w:cs="Calibri"/>
          <w:i/>
          <w:color w:val="666666"/>
          <w:sz w:val="18"/>
          <w:szCs w:val="18"/>
        </w:rPr>
        <w:t xml:space="preserve">Обновление: ежемесячно — заменить «август 2026» на следующий месяц в заголовке и во всех полях, диапазоны пересчитать вокруг последнего значения (Евростат, уровень безработицы).</w:t>
      </w:r>
    </w:p>
    <w:p>
      <w:pPr>
        <w:spacing w:before="320" w:after="140"/>
      </w:pPr>
      <w:r>
        <w:rPr>
          <w:rFonts w:ascii="Calibri" w:hAnsi="Calibri" w:cs="Calibri"/>
          <w:b/>
          <w:color w:val="1F3864"/>
          <w:sz w:val="26"/>
          <w:szCs w:val="26"/>
        </w:rPr>
        <w:t xml:space="preserve">43. На сколько вырастет экономика еврозоны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Покажет спад</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0 до 0.7%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0.7% до 1.1%</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 (40%)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1.67 (60%)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1.1% и выше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Годовой рост валового внутреннего продукта еврозоны за 2026 год по данным Евростата. Диапазон включает нижнюю границу и не включает верхнюю. Резолюция по первой годовой публикации Евростата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Показатели по ЕС вместо еврозоны; данные отдельных стран; квартальные значения; прогнозы вместо фактических данных.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окончательной публикации Евростата с индексом по Болгарии за август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первым доступным официальным данным за август 2026 года, но не позднее 31.10.2026.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Евростат, годовой рост ВВП еврозоны</w:t>
      </w:r>
    </w:p>
    <w:p>
      <w:pPr>
        <w:spacing w:before="120" w:after="60"/>
      </w:pPr>
      <w:r>
        <w:rPr>
          <w:rFonts w:ascii="Calibri" w:hAnsi="Calibri" w:cs="Calibri"/>
          <w:i/>
          <w:color w:val="666666"/>
          <w:sz w:val="19"/>
          <w:szCs w:val="19"/>
        </w:rPr>
        <w:t xml:space="preserve">Контекст: ЕЦБ срезал прогноз роста на 2026 год до 0.8–0.9%, МВФ тоже ухудшил оценку. Причины названы прямо: подорожавшее сырьё, снижение реальных доходов населения и падение деловой и потребительской уверенности. Для сравнения, спад еврозона показывала последний раз в пандемию.</w:t>
      </w:r>
    </w:p>
    <w:p>
      <w:pPr>
        <w:spacing w:before="60" w:after="60"/>
      </w:pPr>
      <w:r>
        <w:rPr>
          <w:rFonts w:ascii="Calibri" w:hAnsi="Calibri" w:cs="Calibri"/>
          <w:b/>
          <w:color w:val="1F3864"/>
          <w:sz w:val="20"/>
          <w:szCs w:val="20"/>
        </w:rPr>
        <w:t xml:space="preserve">ИИ анализ: </w:t>
      </w:r>
      <w:hyperlink r:id="rIdLink80">
        <w:r>
          <w:rPr>
            <w:rFonts w:ascii="Calibri" w:hAnsi="Calibri"/>
            <w:color w:val="2554A0"/>
            <w:u w:val="single"/>
            <w:sz w:val="20"/>
            <w:szCs w:val="20"/>
          </w:rPr>
          <w:t xml:space="preserve">https://tradingeconomics.com/euro-area/gdp-growth-annual</w:t>
        </w:r>
      </w:hyperlink>
      <w:r>
        <w:rPr>
          <w:rFonts w:ascii="Calibri" w:hAnsi="Calibri" w:cs="Calibri"/>
          <w:color w:val="000000"/>
          <w:sz w:val="20"/>
          <w:szCs w:val="20"/>
        </w:rPr>
        <w:t xml:space="preserve"> (квартальная и годовая динамика ВВП еврозоны) </w:t>
      </w:r>
      <w:hyperlink r:id="rIdLink81">
        <w:r>
          <w:rPr>
            <w:rFonts w:ascii="Calibri" w:hAnsi="Calibri"/>
            <w:color w:val="2554A0"/>
            <w:u w:val="single"/>
            <w:sz w:val="20"/>
            <w:szCs w:val="20"/>
          </w:rPr>
          <w:t xml:space="preserve">https://polymarket.com/predictions/euro-area</w:t>
        </w:r>
      </w:hyperlink>
      <w:r>
        <w:rPr>
          <w:rFonts w:ascii="Calibri" w:hAnsi="Calibri" w:cs="Calibri"/>
          <w:color w:val="000000"/>
          <w:sz w:val="20"/>
          <w:szCs w:val="20"/>
        </w:rPr>
        <w:t xml:space="preserve"> (живая вероятность по диапазонам роста ВВП еврозоны)</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home-affairs.ec.europa.eu/policies/migration-and-asylum/common-european-asylum-system_en" TargetMode="External"/><Relationship Id="rIdLink2" Type="http://schemas.openxmlformats.org/officeDocument/2006/relationships/hyperlink" Target="https://polymarket.com/predictions/europe" TargetMode="External"/><Relationship Id="rIdLink3" Type="http://schemas.openxmlformats.org/officeDocument/2006/relationships/hyperlink" Target="https://www.ifw-kiel.de/topics/war-against-ukraine/ukraine-support-tracker/" TargetMode="External"/><Relationship Id="rIdLink4" Type="http://schemas.openxmlformats.org/officeDocument/2006/relationships/hyperlink" Target="https://www.consilium.europa.eu/en/policies/ukraine-solidarity-financial-support/" TargetMode="External"/><Relationship Id="rIdLink5" Type="http://schemas.openxmlformats.org/officeDocument/2006/relationships/hyperlink" Target="https://tradingeconomics.com/euro-area/currency" TargetMode="External"/><Relationship Id="rIdLink6" Type="http://schemas.openxmlformats.org/officeDocument/2006/relationships/hyperlink" Target="https://www.ecb.europa.eu/stats/policy_and_exchange_rates/euro_reference_exchange_rates/html/index.en.html" TargetMode="External"/><Relationship Id="rIdLink7" Type="http://schemas.openxmlformats.org/officeDocument/2006/relationships/hyperlink" Target="https://tradingeconomics.com/euro-area/currency" TargetMode="External"/><Relationship Id="rIdLink8" Type="http://schemas.openxmlformats.org/officeDocument/2006/relationships/hyperlink" Target="https://www.ecb.europa.eu/stats/policy_and_exchange_rates/euro_reference_exchange_rates/html/index.en.html" TargetMode="External"/><Relationship Id="rIdLink9" Type="http://schemas.openxmlformats.org/officeDocument/2006/relationships/hyperlink" Target="https://www.ecb.europa.eu/press/govcdec/mopo/html/index.en.html" TargetMode="External"/><Relationship Id="rIdLink10" Type="http://schemas.openxmlformats.org/officeDocument/2006/relationships/hyperlink" Target="https://www.euronews.com/my-europe" TargetMode="External"/><Relationship Id="rIdLink11" Type="http://schemas.openxmlformats.org/officeDocument/2006/relationships/hyperlink" Target="https://tradingeconomics.com/germany/gdp-growth" TargetMode="External"/><Relationship Id="rIdLink12" Type="http://schemas.openxmlformats.org/officeDocument/2006/relationships/hyperlink" Target="https://www.destatis.de/EN/Themes/Economy/Short-Term-Indicators/_node.html" TargetMode="External"/><Relationship Id="rIdLink13" Type="http://schemas.openxmlformats.org/officeDocument/2006/relationships/hyperlink" Target="https://competition-policy.ec.europa.eu/mergers_en" TargetMode="External"/><Relationship Id="rIdLink14" Type="http://schemas.openxmlformats.org/officeDocument/2006/relationships/hyperlink" Target="https://tradingeconomics.com/germany/car-production" TargetMode="External"/><Relationship Id="rIdLink15" Type="http://schemas.openxmlformats.org/officeDocument/2006/relationships/hyperlink" Target="https://tradingeconomics.com/germany/car-production" TargetMode="External"/><Relationship Id="rIdLink16" Type="http://schemas.openxmlformats.org/officeDocument/2006/relationships/hyperlink" Target="https://www.volkswagen-group.com/en/press-releases" TargetMode="External"/><Relationship Id="rIdLink17" Type="http://schemas.openxmlformats.org/officeDocument/2006/relationships/hyperlink" Target="https://www.volkswagen-group.com/en/press-releases" TargetMode="External"/><Relationship Id="rIdLink18" Type="http://schemas.openxmlformats.org/officeDocument/2006/relationships/hyperlink" Target="https://tradingeconomics.com/germany/unemployed-persons" TargetMode="External"/><Relationship Id="rIdLink19" Type="http://schemas.openxmlformats.org/officeDocument/2006/relationships/hyperlink" Target="https://www.reuters.com/world/europe/" TargetMode="External"/><Relationship Id="rIdLink20" Type="http://schemas.openxmlformats.org/officeDocument/2006/relationships/hyperlink" Target="https://www.reuters.com/world/europe/" TargetMode="External"/><Relationship Id="rIdLink21" Type="http://schemas.openxmlformats.org/officeDocument/2006/relationships/hyperlink" Target="https://www.bundesfinanzministerium.de/Web/EN/Home/home.html" TargetMode="External"/><Relationship Id="rIdLink22" Type="http://schemas.openxmlformats.org/officeDocument/2006/relationships/hyperlink" Target="https://tradingeconomics.com/germany/government-budget" TargetMode="External"/><Relationship Id="rIdLink23" Type="http://schemas.openxmlformats.org/officeDocument/2006/relationships/hyperlink" Target="https://www.ecb.europa.eu/euro/digital_euro/html/index.en.html" TargetMode="External"/><Relationship Id="rIdLink24" Type="http://schemas.openxmlformats.org/officeDocument/2006/relationships/hyperlink" Target="https://www.consilium.europa.eu/en/press/press-releases/" TargetMode="External"/><Relationship Id="rIdLink25" Type="http://schemas.openxmlformats.org/officeDocument/2006/relationships/hyperlink" Target="https://www.reuters.com/business/energy/" TargetMode="External"/><Relationship Id="rIdLink26" Type="http://schemas.openxmlformats.org/officeDocument/2006/relationships/hyperlink" Target="https://tradingeconomics.com/commodity/eu-natural-gas" TargetMode="External"/><Relationship Id="rIdLink27" Type="http://schemas.openxmlformats.org/officeDocument/2006/relationships/hyperlink" Target="https://energy.ec.europa.eu/topics/markets-and-consumers/actions-and-measures-energy-prices_en" TargetMode="External"/><Relationship Id="rIdLink28" Type="http://schemas.openxmlformats.org/officeDocument/2006/relationships/hyperlink" Target="https://www.reuters.com/world/europe/" TargetMode="External"/><Relationship Id="rIdLink29" Type="http://schemas.openxmlformats.org/officeDocument/2006/relationships/hyperlink" Target="https://tradingeconomics.com/commodity/eu-natural-gas" TargetMode="External"/><Relationship Id="rIdLink30" Type="http://schemas.openxmlformats.org/officeDocument/2006/relationships/hyperlink" Target="https://agsi.gie.eu/" TargetMode="External"/><Relationship Id="rIdLink31" Type="http://schemas.openxmlformats.org/officeDocument/2006/relationships/hyperlink" Target="https://www.srb.europa.eu/en" TargetMode="External"/><Relationship Id="rIdLink32" Type="http://schemas.openxmlformats.org/officeDocument/2006/relationships/hyperlink" Target="https://www.ecb.europa.eu/press/financial-stability-publications/fsr/html/index.en.html" TargetMode="External"/><Relationship Id="rIdLink33" Type="http://schemas.openxmlformats.org/officeDocument/2006/relationships/hyperlink" Target="https://www.ecb.europa.eu/press/annual-reports-financial-statements/html/index.en.html" TargetMode="External"/><Relationship Id="rIdLink34" Type="http://schemas.openxmlformats.org/officeDocument/2006/relationships/hyperlink" Target="https://tradingeconomics.com/euro-area/interest-rate" TargetMode="External"/><Relationship Id="rIdLink35" Type="http://schemas.openxmlformats.org/officeDocument/2006/relationships/hyperlink" Target="https://tradingeconomics.com/commodity/eu-natural-gas" TargetMode="External"/><Relationship Id="rIdLink36" Type="http://schemas.openxmlformats.org/officeDocument/2006/relationships/hyperlink" Target="https://www.consilium.europa.eu/en/meetings/tte/2026/09/28-29/" TargetMode="External"/><Relationship Id="rIdLink37" Type="http://schemas.openxmlformats.org/officeDocument/2006/relationships/hyperlink" Target="https://tradingeconomics.com/france/rating" TargetMode="External"/><Relationship Id="rIdLink38" Type="http://schemas.openxmlformats.org/officeDocument/2006/relationships/hyperlink" Target="https://www.budget.gouv.fr/" TargetMode="External"/><Relationship Id="rIdLink39" Type="http://schemas.openxmlformats.org/officeDocument/2006/relationships/hyperlink" Target="https://www.reuters.com/world/europe/" TargetMode="External"/><Relationship Id="rIdLink40" Type="http://schemas.openxmlformats.org/officeDocument/2006/relationships/hyperlink" Target="https://tradingeconomics.com/france/rating" TargetMode="External"/><Relationship Id="rIdLink41" Type="http://schemas.openxmlformats.org/officeDocument/2006/relationships/hyperlink" Target="https://economy-finance.ec.europa.eu/economic-forecast-and-surveys_en" TargetMode="External"/><Relationship Id="rIdLink42" Type="http://schemas.openxmlformats.org/officeDocument/2006/relationships/hyperlink" Target="https://polymarket.com/predictions/euro-area" TargetMode="External"/><Relationship Id="rIdLink43" Type="http://schemas.openxmlformats.org/officeDocument/2006/relationships/hyperlink" Target="https://economy-finance.ec.europa.eu/economic-forecast-and-surveys_en" TargetMode="External"/><Relationship Id="rIdLink44" Type="http://schemas.openxmlformats.org/officeDocument/2006/relationships/hyperlink" Target="https://www.ecb.europa.eu/stats/policy_and_exchange_rates/key_ecb_interest_rates/html/index.en.html" TargetMode="External"/><Relationship Id="rIdLink45" Type="http://schemas.openxmlformats.org/officeDocument/2006/relationships/hyperlink" Target="https://polymarket.com/predictions/euro-area" TargetMode="External"/><Relationship Id="rIdLink46" Type="http://schemas.openxmlformats.org/officeDocument/2006/relationships/hyperlink" Target="https://ec.europa.eu/eurostat/news/euro-indicators" TargetMode="External"/><Relationship Id="rIdLink47" Type="http://schemas.openxmlformats.org/officeDocument/2006/relationships/hyperlink" Target="https://economy-finance.ec.europa.eu/economic-surveillance-eu-member-states/country-pages/italy/economic-forecast-italy_en" TargetMode="External"/><Relationship Id="rIdLink48" Type="http://schemas.openxmlformats.org/officeDocument/2006/relationships/hyperlink" Target="https://ec.europa.eu/eurostat/news/euro-indicators" TargetMode="External"/><Relationship Id="rIdLink49" Type="http://schemas.openxmlformats.org/officeDocument/2006/relationships/hyperlink" Target="https://economy-finance.ec.europa.eu/economic-surveillance-eu-member-states/country-pages/romania/economic-forecast-romania_en" TargetMode="External"/><Relationship Id="rIdLink50" Type="http://schemas.openxmlformats.org/officeDocument/2006/relationships/hyperlink" Target="https://tradingeconomics.com/spain/unemployment-rate-eurostat-data.html" TargetMode="External"/><Relationship Id="rIdLink51" Type="http://schemas.openxmlformats.org/officeDocument/2006/relationships/hyperlink" Target="https://economy-finance.ec.europa.eu/economic-surveillance-eu-member-states/country-pages/spain/economic-forecast-spain_en" TargetMode="External"/><Relationship Id="rIdLink52" Type="http://schemas.openxmlformats.org/officeDocument/2006/relationships/hyperlink" Target="https://tradingeconomics.com/greece/minimum-wages" TargetMode="External"/><Relationship Id="rIdLink53" Type="http://schemas.openxmlformats.org/officeDocument/2006/relationships/hyperlink" Target="https://tradingeconomics.com/greece/inflation-cpi" TargetMode="External"/><Relationship Id="rIdLink54" Type="http://schemas.openxmlformats.org/officeDocument/2006/relationships/hyperlink" Target="https://tradingeconomics.com/bulgaria/inflation-cpi" TargetMode="External"/><Relationship Id="rIdLink55" Type="http://schemas.openxmlformats.org/officeDocument/2006/relationships/hyperlink" Target="https://ec.europa.eu/eurostat/news/euro-indicators" TargetMode="External"/><Relationship Id="rIdLink56" Type="http://schemas.openxmlformats.org/officeDocument/2006/relationships/hyperlink" Target="https://economy-finance.ec.europa.eu/economic-surveillance-eu-member-states/country-pages/belgium/economic-forecast-belgium_en" TargetMode="External"/><Relationship Id="rIdLink57" Type="http://schemas.openxmlformats.org/officeDocument/2006/relationships/hyperlink" Target="https://tradingeconomics.com/belgium/unemployment-rate" TargetMode="External"/><Relationship Id="rIdLink58" Type="http://schemas.openxmlformats.org/officeDocument/2006/relationships/hyperlink" Target="https://tradingeconomics.com/netherlands/housing-index" TargetMode="External"/><Relationship Id="rIdLink59" Type="http://schemas.openxmlformats.org/officeDocument/2006/relationships/hyperlink" Target="https://ec.europa.eu/eurostat/news/euro-indicators" TargetMode="External"/><Relationship Id="rIdLink60" Type="http://schemas.openxmlformats.org/officeDocument/2006/relationships/hyperlink" Target="https://tradingeconomics.com/germany/unemployed-persons" TargetMode="External"/><Relationship Id="rIdLink61" Type="http://schemas.openxmlformats.org/officeDocument/2006/relationships/hyperlink" Target="https://www.arbeitsagentur.de/en/press" TargetMode="External"/><Relationship Id="rIdLink62" Type="http://schemas.openxmlformats.org/officeDocument/2006/relationships/hyperlink" Target="https://www.volkswagen-group.com/en/press-releases" TargetMode="External"/><Relationship Id="rIdLink63" Type="http://schemas.openxmlformats.org/officeDocument/2006/relationships/hyperlink" Target="https://tradingeconomics.com/germany/unemployed-persons" TargetMode="External"/><Relationship Id="rIdLink64" Type="http://schemas.openxmlformats.org/officeDocument/2006/relationships/hyperlink" Target="https://tradingeconomics.com/germany/bankruptcies" TargetMode="External"/><Relationship Id="rIdLink65" Type="http://schemas.openxmlformats.org/officeDocument/2006/relationships/hyperlink" Target="https://www.destatis.de/DE/Themen/Branchen-Unternehmen/Unternehmen/Gewerbemeldungen-Insolvenzen/_inhalt.html" TargetMode="External"/><Relationship Id="rIdLink66" Type="http://schemas.openxmlformats.org/officeDocument/2006/relationships/hyperlink" Target="https://www.ecb.europa.eu/press/press_conference/html/index.en.html" TargetMode="External"/><Relationship Id="rIdLink67" Type="http://schemas.openxmlformats.org/officeDocument/2006/relationships/hyperlink" Target="https://polymarket.com/predictions/euro-area" TargetMode="External"/><Relationship Id="rIdLink68" Type="http://schemas.openxmlformats.org/officeDocument/2006/relationships/hyperlink" Target="https://tradingeconomics.com/euro-area/inflation-cpi" TargetMode="External"/><Relationship Id="rIdLink69" Type="http://schemas.openxmlformats.org/officeDocument/2006/relationships/hyperlink" Target="https://ec.europa.eu/eurostat/news/euro-indicators" TargetMode="External"/><Relationship Id="rIdLink70" Type="http://schemas.openxmlformats.org/officeDocument/2006/relationships/hyperlink" Target="https://tradingeconomics.com/euro-area/food-inflation" TargetMode="External"/><Relationship Id="rIdLink71" Type="http://schemas.openxmlformats.org/officeDocument/2006/relationships/hyperlink" Target="https://tradingeconomics.com/commodity/eu-natural-gas" TargetMode="External"/><Relationship Id="rIdLink72" Type="http://schemas.openxmlformats.org/officeDocument/2006/relationships/hyperlink" Target="https://energy.ec.europa.eu/data-and-analysis/weekly-oil-bulletin_en" TargetMode="External"/><Relationship Id="rIdLink73" Type="http://schemas.openxmlformats.org/officeDocument/2006/relationships/hyperlink" Target="https://www.fuel-prices.eu/weekly/" TargetMode="External"/><Relationship Id="rIdLink74" Type="http://schemas.openxmlformats.org/officeDocument/2006/relationships/hyperlink" Target="https://energy.ec.europa.eu/data-and-analysis/weekly-oil-bulletin_en" TargetMode="External"/><Relationship Id="rIdLink75" Type="http://schemas.openxmlformats.org/officeDocument/2006/relationships/hyperlink" Target="https://straits.live/" TargetMode="External"/><Relationship Id="rIdLink76" Type="http://schemas.openxmlformats.org/officeDocument/2006/relationships/hyperlink" Target="https://tradingeconomics.com/euro-area/negotiated-wage-growth" TargetMode="External"/><Relationship Id="rIdLink77" Type="http://schemas.openxmlformats.org/officeDocument/2006/relationships/hyperlink" Target="https://tradingeconomics.com/euro-area/inflation-cpi" TargetMode="External"/><Relationship Id="rIdLink78" Type="http://schemas.openxmlformats.org/officeDocument/2006/relationships/hyperlink" Target="https://tradingeconomics.com/euro-area/unemployment-rate" TargetMode="External"/><Relationship Id="rIdLink79" Type="http://schemas.openxmlformats.org/officeDocument/2006/relationships/hyperlink" Target="https://ec.europa.eu/eurostat/news/euro-indicators" TargetMode="External"/><Relationship Id="rIdLink80" Type="http://schemas.openxmlformats.org/officeDocument/2006/relationships/hyperlink" Target="https://tradingeconomics.com/euro-area/gdp-growth-annual" TargetMode="External"/><Relationship Id="rIdLink81" Type="http://schemas.openxmlformats.org/officeDocument/2006/relationships/hyperlink" Target="https://polymarket.com/predictions/euro-area" TargetMode="External"/><Relationship Id="rIdImg1" Type="http://schemas.openxmlformats.org/officeDocument/2006/relationships/image" Target="media/flag_nl.png"/><Relationship Id="rIdImg2" Type="http://schemas.openxmlformats.org/officeDocument/2006/relationships/image" Target="media/flag_at.png"/><Relationship Id="rIdImg3" Type="http://schemas.openxmlformats.org/officeDocument/2006/relationships/image" Target="media/flag_be.png"/><Relationship Id="rIdImg4" Type="http://schemas.openxmlformats.org/officeDocument/2006/relationships/image" Target="media/flag_fr.png"/><Relationship Id="rIdImg5" Type="http://schemas.openxmlformats.org/officeDocument/2006/relationships/image" Target="media/flag_de.png"/><Relationship Id="rIdImg6" Type="http://schemas.openxmlformats.org/officeDocument/2006/relationships/image" Target="media/flag_it.png"/><Relationship Id="rIdImg7" Type="http://schemas.openxmlformats.org/officeDocument/2006/relationships/image" Target="media/flag_ro.png"/><Relationship Id="rIdImg8" Type="http://schemas.openxmlformats.org/officeDocument/2006/relationships/image" Target="media/flag_es.png"/><Relationship Id="rIdImg9" Type="http://schemas.openxmlformats.org/officeDocument/2006/relationships/image" Target="media/flag_gr.png"/></Relationships>
</file>