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spacing w:before="0" w:after="320"/>
      </w:pPr>
      <w:r>
        <w:rPr>
          <w:rFonts w:ascii="Calibri" w:hAnsi="Calibri" w:cs="Calibri"/>
          <w:b/>
          <w:color w:val="1F3864"/>
          <w:sz w:val="40"/>
          <w:szCs w:val="40"/>
        </w:rPr>
        <w:t xml:space="preserve">Иран</w:t>
      </w:r>
    </w:p>
    <w:p>
      <w:pPr>
        <w:spacing w:before="0" w:after="140"/>
      </w:pPr>
      <w:r>
        <w:rPr>
          <w:rFonts w:ascii="Calibri" w:hAnsi="Calibri" w:cs="Calibri"/>
          <w:b/>
          <w:color w:val="1F3864"/>
          <w:sz w:val="26"/>
          <w:szCs w:val="26"/>
        </w:rPr>
        <w:t xml:space="preserve">1. Когда откроют Ормузский пролив для торговых судов?</w:t>
      </w:r>
    </w:p>
    <w:tbl>
      <w:tblPr>
        <w:tblW w:w="5000" w:type="pct"/>
        <w:tblBorders>
          <w:top w:val="single" w:sz="4" w:color="D9D9D9"/>
          <w:left w:val="single" w:sz="4" w:color="D9D9D9"/>
          <w:bottom w:val="single" w:sz="4" w:color="D9D9D9"/>
          <w:right w:val="single" w:sz="4" w:color="D9D9D9"/>
          <w:insideH w:val="single" w:sz="4" w:color="D9D9D9"/>
          <w:insideV w:val="single" w:sz="4" w:color="D9D9D9"/>
        </w:tblBorders>
      </w:tblPr>
      <w:tr>
        <w:tc>
          <w:tcPr>
            <w:tcW w:w="6170" w:type="dxa"/>
            <w:tcBorders>
              <w:top w:val="single" w:sz="4" w:color="D9D9D9"/>
              <w:left w:val="single" w:sz="4" w:color="D9D9D9"/>
              <w:bottom w:val="single" w:sz="4" w:color="D9D9D9"/>
              <w:right w:val="single" w:sz="4" w:color="D9D9D9"/>
            </w:tcBorders>
            <w:shd w:val="clear" w:fill="F2F2F2"/>
            <w:tcMar>
              <w:top w:w="80" w:type="dxa"/>
              <w:bottom w:w="80" w:type="dxa"/>
              <w:left w:w="120" w:type="dxa"/>
              <w:right w:w="120" w:type="dxa"/>
            </w:tcMar>
          </w:tcPr>
          <w:p>
            <w:pPr>
              <w:jc w:val="center"/>
              <w:spacing w:before="0" w:after="0"/>
            </w:pPr>
            <w:r>
              <w:rPr>
                <w:rFonts w:ascii="Calibri" w:hAnsi="Calibri" w:cs="Calibri"/>
                <w:b/>
                <w:color w:val="1F3864"/>
                <w:sz w:val="22"/>
                <w:szCs w:val="22"/>
              </w:rPr>
              <w:t xml:space="preserve">Вариант</w:t>
            </w:r>
          </w:p>
        </w:tc>
        <w:tc>
          <w:tcPr>
            <w:tcW w:w="2000" w:type="dxa"/>
            <w:tcBorders>
              <w:top w:val="single" w:sz="4" w:color="D9D9D9"/>
              <w:left w:val="single" w:sz="4" w:color="D9D9D9"/>
              <w:bottom w:val="single" w:sz="4" w:color="D9D9D9"/>
              <w:right w:val="single" w:sz="4" w:color="D9D9D9"/>
            </w:tcBorders>
            <w:shd w:val="clear" w:fill="F2F2F2"/>
            <w:tcMar>
              <w:top w:w="80" w:type="dxa"/>
              <w:bottom w:w="80" w:type="dxa"/>
              <w:left w:w="120" w:type="dxa"/>
              <w:right w:w="120" w:type="dxa"/>
            </w:tcMar>
          </w:tcPr>
          <w:p>
            <w:pPr>
              <w:jc w:val="center"/>
              <w:spacing w:before="0" w:after="0"/>
            </w:pPr>
            <w:r>
              <w:rPr>
                <w:rFonts w:ascii="Calibri" w:hAnsi="Calibri" w:cs="Calibri"/>
                <w:b/>
                <w:color w:val="1B7A3D"/>
                <w:sz w:val="22"/>
                <w:szCs w:val="22"/>
              </w:rPr>
              <w:t xml:space="preserve">ДА</w:t>
            </w:r>
          </w:p>
        </w:tc>
        <w:tc>
          <w:tcPr>
            <w:tcW w:w="2000" w:type="dxa"/>
            <w:tcBorders>
              <w:top w:val="single" w:sz="4" w:color="D9D9D9"/>
              <w:left w:val="single" w:sz="4" w:color="D9D9D9"/>
              <w:bottom w:val="single" w:sz="4" w:color="D9D9D9"/>
              <w:right w:val="single" w:sz="4" w:color="D9D9D9"/>
            </w:tcBorders>
            <w:shd w:val="clear" w:fill="F2F2F2"/>
            <w:tcMar>
              <w:top w:w="80" w:type="dxa"/>
              <w:bottom w:w="80" w:type="dxa"/>
              <w:left w:w="120" w:type="dxa"/>
              <w:right w:w="120" w:type="dxa"/>
            </w:tcMar>
          </w:tcPr>
          <w:p>
            <w:pPr>
              <w:jc w:val="center"/>
              <w:spacing w:before="0" w:after="0"/>
            </w:pPr>
            <w:r>
              <w:rPr>
                <w:rFonts w:ascii="Calibri" w:hAnsi="Calibri" w:cs="Calibri"/>
                <w:b/>
                <w:color w:val="A3261A"/>
                <w:sz w:val="22"/>
                <w:szCs w:val="22"/>
              </w:rPr>
              <w:t xml:space="preserve">НЕТ</w:t>
            </w:r>
          </w:p>
        </w:tc>
      </w:tr>
      <w:tr>
        <w:tc>
          <w:tcPr>
            <w:tcW w:w="617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spacing w:before="0" w:after="0"/>
            </w:pPr>
            <w:r>
              <w:rPr>
                <w:rFonts w:ascii="Calibri" w:hAnsi="Calibri" w:cs="Calibri"/>
                <w:color w:val="000000"/>
                <w:sz w:val="21"/>
                <w:szCs w:val="21"/>
              </w:rPr>
              <w:t xml:space="preserve">До конца сентября</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1B7A3D"/>
                <w:sz w:val="21"/>
                <w:szCs w:val="21"/>
              </w:rPr>
              <w:t xml:space="preserve">5.00 (20%)</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A3261A"/>
                <w:sz w:val="21"/>
                <w:szCs w:val="21"/>
              </w:rPr>
              <w:t xml:space="preserve">1.25 (80%)</w:t>
            </w:r>
          </w:p>
        </w:tc>
      </w:tr>
      <w:tr>
        <w:tc>
          <w:tcPr>
            <w:tcW w:w="617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spacing w:before="0" w:after="0"/>
            </w:pPr>
            <w:r>
              <w:rPr>
                <w:rFonts w:ascii="Calibri" w:hAnsi="Calibri" w:cs="Calibri"/>
                <w:color w:val="000000"/>
                <w:sz w:val="21"/>
                <w:szCs w:val="21"/>
              </w:rPr>
              <w:t xml:space="preserve">В октябре</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1B7A3D"/>
                <w:sz w:val="21"/>
                <w:szCs w:val="21"/>
              </w:rPr>
              <w:t xml:space="preserve">5.56 (18%)</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A3261A"/>
                <w:sz w:val="21"/>
                <w:szCs w:val="21"/>
              </w:rPr>
              <w:t xml:space="preserve">1.22 (82%)</w:t>
            </w:r>
          </w:p>
        </w:tc>
      </w:tr>
      <w:tr>
        <w:tc>
          <w:tcPr>
            <w:tcW w:w="617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spacing w:before="0" w:after="0"/>
            </w:pPr>
            <w:r>
              <w:rPr>
                <w:rFonts w:ascii="Calibri" w:hAnsi="Calibri" w:cs="Calibri"/>
                <w:color w:val="000000"/>
                <w:sz w:val="21"/>
                <w:szCs w:val="21"/>
              </w:rPr>
              <w:t xml:space="preserve">В ноябре</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1B7A3D"/>
                <w:sz w:val="21"/>
                <w:szCs w:val="21"/>
              </w:rPr>
              <w:t xml:space="preserve">8.33 (12%)</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A3261A"/>
                <w:sz w:val="21"/>
                <w:szCs w:val="21"/>
              </w:rPr>
              <w:t xml:space="preserve">1.14 (88%)</w:t>
            </w:r>
          </w:p>
        </w:tc>
      </w:tr>
      <w:tr>
        <w:tc>
          <w:tcPr>
            <w:tcW w:w="617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spacing w:before="0" w:after="0"/>
            </w:pPr>
            <w:r>
              <w:rPr>
                <w:rFonts w:ascii="Calibri" w:hAnsi="Calibri" w:cs="Calibri"/>
                <w:color w:val="000000"/>
                <w:sz w:val="21"/>
                <w:szCs w:val="21"/>
              </w:rPr>
              <w:t xml:space="preserve">В декабре</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1B7A3D"/>
                <w:sz w:val="21"/>
                <w:szCs w:val="21"/>
              </w:rPr>
              <w:t xml:space="preserve">10.00 (10%)</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A3261A"/>
                <w:sz w:val="21"/>
                <w:szCs w:val="21"/>
              </w:rPr>
              <w:t xml:space="preserve">1.11 (90%)</w:t>
            </w:r>
          </w:p>
        </w:tc>
      </w:tr>
      <w:tr>
        <w:tc>
          <w:tcPr>
            <w:tcW w:w="617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spacing w:before="0" w:after="0"/>
            </w:pPr>
            <w:r>
              <w:rPr>
                <w:rFonts w:ascii="Calibri" w:hAnsi="Calibri" w:cs="Calibri"/>
                <w:color w:val="000000"/>
                <w:sz w:val="21"/>
                <w:szCs w:val="21"/>
              </w:rPr>
              <w:t xml:space="preserve">Не откроют до конца 2026</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1B7A3D"/>
                <w:sz w:val="21"/>
                <w:szCs w:val="21"/>
              </w:rPr>
              <w:t xml:space="preserve">2.50 (40%)</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A3261A"/>
                <w:sz w:val="21"/>
                <w:szCs w:val="21"/>
              </w:rPr>
              <w:t xml:space="preserve">1.67 (60%)</w:t>
            </w:r>
          </w:p>
        </w:tc>
      </w:tr>
    </w:tbl>
    <w:p>
      <w:pPr>
        <w:spacing w:before="0" w:after="120"/>
      </w:pPr>
    </w:p>
    <w:p>
      <w:pPr>
        <w:spacing w:before="60" w:after="60"/>
      </w:pPr>
      <w:r>
        <w:rPr>
          <w:rFonts w:ascii="Calibri" w:hAnsi="Calibri" w:cs="Calibri"/>
          <w:b/>
          <w:color w:val="1F3864"/>
          <w:sz w:val="20"/>
          <w:szCs w:val="20"/>
        </w:rPr>
        <w:t xml:space="preserve">Засчитывается: </w:t>
      </w:r>
      <w:r>
        <w:rPr>
          <w:rFonts w:ascii="Calibri" w:hAnsi="Calibri" w:cs="Calibri"/>
          <w:color w:val="000000"/>
          <w:sz w:val="20"/>
          <w:szCs w:val="20"/>
        </w:rPr>
        <w:t xml:space="preserve">Период, в котором среднесуточный трафик через Ормузский пролив достигает 60 судов и более на протяжении семи дней подряд, по данным систем отслеживания судоходства. Все периоды — в пределах до 31.12.2026.</w:t>
      </w:r>
    </w:p>
    <w:p>
      <w:pPr>
        <w:spacing w:before="60" w:after="60"/>
      </w:pPr>
      <w:r>
        <w:rPr>
          <w:rFonts w:ascii="Calibri" w:hAnsi="Calibri" w:cs="Calibri"/>
          <w:b/>
          <w:color w:val="1F3864"/>
          <w:sz w:val="20"/>
          <w:szCs w:val="20"/>
        </w:rPr>
        <w:t xml:space="preserve">Не засчитывается: </w:t>
      </w:r>
      <w:r>
        <w:rPr>
          <w:rFonts w:ascii="Calibri" w:hAnsi="Calibri" w:cs="Calibri"/>
          <w:color w:val="000000"/>
          <w:sz w:val="20"/>
          <w:szCs w:val="20"/>
        </w:rPr>
        <w:t xml:space="preserve">Заявления Ирана или других сторон об открытии пролива без фактического восстановления трафика; проход отдельных караванов под военным сопровождением; разовые дни с высоким трафиком без недельной серии.</w:t>
      </w:r>
    </w:p>
    <w:p>
      <w:pPr>
        <w:spacing w:before="60" w:after="60"/>
      </w:pPr>
      <w:r>
        <w:rPr>
          <w:rFonts w:ascii="Calibri" w:hAnsi="Calibri" w:cs="Calibri"/>
          <w:b/>
          <w:color w:val="1F3864"/>
          <w:sz w:val="20"/>
          <w:szCs w:val="20"/>
        </w:rPr>
        <w:t xml:space="preserve">Если ситуация спорная: </w:t>
      </w:r>
      <w:r>
        <w:rPr>
          <w:rFonts w:ascii="Calibri" w:hAnsi="Calibri" w:cs="Calibri"/>
          <w:color w:val="000000"/>
          <w:sz w:val="20"/>
          <w:szCs w:val="20"/>
        </w:rPr>
        <w:t xml:space="preserve">По данным систем автоматической идентификации судов и отраслевых мониторингов судоходства; при расхождении — по оценке международных страховых ассоциаций о возобновлении покрытия рейсов.</w:t>
      </w:r>
    </w:p>
    <w:p>
      <w:pPr>
        <w:spacing w:before="60" w:after="60"/>
      </w:pPr>
      <w:r>
        <w:rPr>
          <w:rFonts w:ascii="Calibri" w:hAnsi="Calibri" w:cs="Calibri"/>
          <w:b/>
          <w:color w:val="1F3864"/>
          <w:sz w:val="20"/>
          <w:szCs w:val="20"/>
        </w:rPr>
        <w:t xml:space="preserve">Если данных нет вовремя: </w:t>
      </w:r>
      <w:r>
        <w:rPr>
          <w:rFonts w:ascii="Calibri" w:hAnsi="Calibri" w:cs="Calibri"/>
          <w:color w:val="000000"/>
          <w:sz w:val="20"/>
          <w:szCs w:val="20"/>
        </w:rPr>
        <w:t xml:space="preserve">Устойчивого трафика к 31.12.2026 не зафиксировано — «Не откроют до конца 2026».</w:t>
      </w:r>
    </w:p>
    <w:p>
      <w:pPr>
        <w:spacing w:before="60" w:after="60"/>
      </w:pPr>
      <w:r>
        <w:rPr>
          <w:rFonts w:ascii="Calibri" w:hAnsi="Calibri" w:cs="Calibri"/>
          <w:b/>
          <w:color w:val="1F3864"/>
          <w:sz w:val="20"/>
          <w:szCs w:val="20"/>
        </w:rPr>
        <w:t xml:space="preserve">Источник: </w:t>
      </w:r>
      <w:r>
        <w:rPr>
          <w:rFonts w:ascii="Calibri" w:hAnsi="Calibri" w:cs="Calibri"/>
          <w:color w:val="000000"/>
          <w:sz w:val="20"/>
          <w:szCs w:val="20"/>
        </w:rPr>
        <w:t xml:space="preserve">Системы отслеживания судоходства, отраслевые мониторинги, международные страховые ассоциации.</w:t>
      </w:r>
    </w:p>
    <w:p>
      <w:pPr>
        <w:spacing w:before="120" w:after="60"/>
      </w:pPr>
      <w:r>
        <w:rPr>
          <w:rFonts w:ascii="Calibri" w:hAnsi="Calibri" w:cs="Calibri"/>
          <w:i/>
          <w:color w:val="666666"/>
          <w:sz w:val="19"/>
          <w:szCs w:val="19"/>
        </w:rPr>
        <w:t xml:space="preserve">Контекст: пролив фактически закрыт с 28 февраля 2026 года — с первого дня войны. Через него в норме проходит около 88 судов в сутки, 23 июля прошло десять, трафик держится около 15% от довоенного. Страховое покрытие рейсов отменено с 5 марта, крупнейшие морские перевозчики приостановили проход. Тегеран объявлял пролив открытым 17 апреля, но уже на следующий день Корпус стражей исламской революции это решение отменил. Через Ормуз идёт пятая часть мировой нефти. Тегеран заявил, что к довоенному режиму пролив не вернётся: после 17 августа Иран намерен брать плату за морские услуги при проходе.</w:t>
      </w:r>
    </w:p>
    <w:p>
      <w:pPr>
        <w:spacing w:before="60" w:after="60"/>
      </w:pPr>
      <w:r>
        <w:rPr>
          <w:rFonts w:ascii="Calibri" w:hAnsi="Calibri" w:cs="Calibri"/>
          <w:b/>
          <w:color w:val="1F3864"/>
          <w:sz w:val="20"/>
          <w:szCs w:val="20"/>
        </w:rPr>
        <w:t xml:space="preserve">ИИ анализ: </w:t>
      </w:r>
      <w:hyperlink r:id="rIdLink1">
        <w:r>
          <w:rPr>
            <w:rFonts w:ascii="Calibri" w:hAnsi="Calibri"/>
            <w:color w:val="2554A0"/>
            <w:u w:val="single"/>
            <w:sz w:val="20"/>
            <w:szCs w:val="20"/>
          </w:rPr>
          <w:t xml:space="preserve">https://polymarket.com/iran</w:t>
        </w:r>
      </w:hyperlink>
      <w:r>
        <w:rPr>
          <w:rFonts w:ascii="Calibri" w:hAnsi="Calibri" w:cs="Calibri"/>
          <w:color w:val="000000"/>
          <w:sz w:val="20"/>
          <w:szCs w:val="20"/>
        </w:rPr>
        <w:t xml:space="preserve"> (раздел иранских рынков, включая рынок Ормуза — живая вероятность) </w:t>
      </w:r>
      <w:hyperlink r:id="rIdLink2">
        <w:r>
          <w:rPr>
            <w:rFonts w:ascii="Calibri" w:hAnsi="Calibri"/>
            <w:color w:val="2554A0"/>
            <w:u w:val="single"/>
            <w:sz w:val="20"/>
            <w:szCs w:val="20"/>
          </w:rPr>
          <w:t xml:space="preserve">https://straits.live/</w:t>
        </w:r>
      </w:hyperlink>
      <w:r>
        <w:rPr>
          <w:rFonts w:ascii="Calibri" w:hAnsi="Calibri" w:cs="Calibri"/>
          <w:color w:val="000000"/>
          <w:sz w:val="20"/>
          <w:szCs w:val="20"/>
        </w:rPr>
        <w:t xml:space="preserve"> (счётчик дней закрытия и трафика судов — арбитр факта)</w:t>
      </w:r>
    </w:p>
    <w:p>
      <w:pPr>
        <w:spacing w:before="320" w:after="140"/>
      </w:pPr>
      <w:r>
        <w:rPr>
          <w:rFonts w:ascii="Calibri" w:hAnsi="Calibri" w:cs="Calibri"/>
          <w:b/>
          <w:color w:val="1F3864"/>
          <w:sz w:val="26"/>
          <w:szCs w:val="26"/>
        </w:rPr>
        <w:t xml:space="preserve">2. Подпишут ли США и Иран соглашение по ядерной программе до 31 октября?</w:t>
      </w:r>
    </w:p>
    <w:tbl>
      <w:tblPr>
        <w:tblW w:w="5000" w:type="pct"/>
        <w:tblBorders>
          <w:top w:val="single" w:sz="4" w:color="D9D9D9"/>
          <w:left w:val="single" w:sz="4" w:color="D9D9D9"/>
          <w:bottom w:val="single" w:sz="4" w:color="D9D9D9"/>
          <w:right w:val="single" w:sz="4" w:color="D9D9D9"/>
          <w:insideH w:val="single" w:sz="4" w:color="D9D9D9"/>
          <w:insideV w:val="single" w:sz="4" w:color="D9D9D9"/>
        </w:tblBorders>
      </w:tblPr>
      <w:tr>
        <w:tc>
          <w:tcPr>
            <w:tcW w:w="5085" w:type="dxa"/>
            <w:tcBorders>
              <w:top w:val="single" w:sz="4" w:color="D9D9D9"/>
              <w:left w:val="single" w:sz="4" w:color="D9D9D9"/>
              <w:bottom w:val="single" w:sz="4" w:color="D9D9D9"/>
              <w:right w:val="single" w:sz="4" w:color="D9D9D9"/>
            </w:tcBorders>
            <w:shd w:val="clear" w:fill="F2F2F2"/>
            <w:tcMar>
              <w:top w:w="80" w:type="dxa"/>
              <w:bottom w:w="80" w:type="dxa"/>
              <w:left w:w="120" w:type="dxa"/>
              <w:right w:w="120" w:type="dxa"/>
            </w:tcMar>
          </w:tcPr>
          <w:p>
            <w:pPr>
              <w:jc w:val="center"/>
              <w:spacing w:before="0" w:after="0"/>
            </w:pPr>
            <w:r>
              <w:rPr>
                <w:rFonts w:ascii="Calibri" w:hAnsi="Calibri" w:cs="Calibri"/>
                <w:b/>
                <w:color w:val="1B7A3D"/>
                <w:sz w:val="22"/>
                <w:szCs w:val="22"/>
              </w:rPr>
              <w:t xml:space="preserve">ДА</w:t>
            </w:r>
          </w:p>
        </w:tc>
        <w:tc>
          <w:tcPr>
            <w:tcW w:w="5085" w:type="dxa"/>
            <w:tcBorders>
              <w:top w:val="single" w:sz="4" w:color="D9D9D9"/>
              <w:left w:val="single" w:sz="4" w:color="D9D9D9"/>
              <w:bottom w:val="single" w:sz="4" w:color="D9D9D9"/>
              <w:right w:val="single" w:sz="4" w:color="D9D9D9"/>
            </w:tcBorders>
            <w:shd w:val="clear" w:fill="F2F2F2"/>
            <w:tcMar>
              <w:top w:w="80" w:type="dxa"/>
              <w:bottom w:w="80" w:type="dxa"/>
              <w:left w:w="120" w:type="dxa"/>
              <w:right w:w="120" w:type="dxa"/>
            </w:tcMar>
          </w:tcPr>
          <w:p>
            <w:pPr>
              <w:jc w:val="center"/>
              <w:spacing w:before="0" w:after="0"/>
            </w:pPr>
            <w:r>
              <w:rPr>
                <w:rFonts w:ascii="Calibri" w:hAnsi="Calibri" w:cs="Calibri"/>
                <w:b/>
                <w:color w:val="A3261A"/>
                <w:sz w:val="22"/>
                <w:szCs w:val="22"/>
              </w:rPr>
              <w:t xml:space="preserve">НЕТ</w:t>
            </w:r>
          </w:p>
        </w:tc>
      </w:tr>
      <w:tr>
        <w:tc>
          <w:tcPr>
            <w:tcW w:w="5085"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100" w:after="100"/>
            </w:pPr>
            <w:r>
              <w:rPr>
                <w:rFonts w:ascii="Calibri" w:hAnsi="Calibri" w:cs="Calibri"/>
                <w:b/>
                <w:color w:val="1B7A3D"/>
                <w:sz w:val="26"/>
                <w:szCs w:val="26"/>
              </w:rPr>
              <w:t xml:space="preserve">2.86 (35%)</w:t>
            </w:r>
          </w:p>
        </w:tc>
        <w:tc>
          <w:tcPr>
            <w:tcW w:w="5085"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100" w:after="100"/>
            </w:pPr>
            <w:r>
              <w:rPr>
                <w:rFonts w:ascii="Calibri" w:hAnsi="Calibri" w:cs="Calibri"/>
                <w:b/>
                <w:color w:val="A3261A"/>
                <w:sz w:val="26"/>
                <w:szCs w:val="26"/>
              </w:rPr>
              <w:t xml:space="preserve">1.54 (65%)</w:t>
            </w:r>
          </w:p>
        </w:tc>
      </w:tr>
    </w:tbl>
    <w:p>
      <w:pPr>
        <w:spacing w:before="0" w:after="120"/>
      </w:pPr>
    </w:p>
    <w:p>
      <w:pPr>
        <w:spacing w:before="60" w:after="60"/>
      </w:pPr>
      <w:r>
        <w:rPr>
          <w:rFonts w:ascii="Calibri" w:hAnsi="Calibri" w:cs="Calibri"/>
          <w:b/>
          <w:color w:val="1F3864"/>
          <w:sz w:val="20"/>
          <w:szCs w:val="20"/>
        </w:rPr>
        <w:t xml:space="preserve">Засчитывается: </w:t>
      </w:r>
      <w:r>
        <w:rPr>
          <w:rFonts w:ascii="Calibri" w:hAnsi="Calibri" w:cs="Calibri"/>
          <w:color w:val="000000"/>
          <w:sz w:val="20"/>
          <w:szCs w:val="20"/>
        </w:rPr>
        <w:t xml:space="preserve">США и Иран подписывают соглашение, устанавливающее ограничения на иранскую ядерную программу, и обе стороны это официально подтверждают, до 31.12.2026.</w:t>
      </w:r>
    </w:p>
    <w:p>
      <w:pPr>
        <w:spacing w:before="60" w:after="60"/>
      </w:pPr>
      <w:r>
        <w:rPr>
          <w:rFonts w:ascii="Calibri" w:hAnsi="Calibri" w:cs="Calibri"/>
          <w:b/>
          <w:color w:val="1F3864"/>
          <w:sz w:val="20"/>
          <w:szCs w:val="20"/>
        </w:rPr>
        <w:t xml:space="preserve">Не засчитывается: </w:t>
      </w:r>
      <w:r>
        <w:rPr>
          <w:rFonts w:ascii="Calibri" w:hAnsi="Calibri" w:cs="Calibri"/>
          <w:color w:val="000000"/>
          <w:sz w:val="20"/>
          <w:szCs w:val="20"/>
        </w:rPr>
        <w:t xml:space="preserve">Меморандумы о намерениях и рамочные договорённости без подписанного соглашения; временные соглашения о прекращении огня без ядерной составляющей; односторонние заявления о готовности; соглашения при участии третьих стран без подписи США и Ирана.</w:t>
      </w:r>
    </w:p>
    <w:p>
      <w:pPr>
        <w:spacing w:before="60" w:after="60"/>
      </w:pPr>
      <w:r>
        <w:rPr>
          <w:rFonts w:ascii="Calibri" w:hAnsi="Calibri" w:cs="Calibri"/>
          <w:b/>
          <w:color w:val="1F3864"/>
          <w:sz w:val="20"/>
          <w:szCs w:val="20"/>
        </w:rPr>
        <w:t xml:space="preserve">Если ситуация спорная: </w:t>
      </w:r>
      <w:r>
        <w:rPr>
          <w:rFonts w:ascii="Calibri" w:hAnsi="Calibri" w:cs="Calibri"/>
          <w:color w:val="000000"/>
          <w:sz w:val="20"/>
          <w:szCs w:val="20"/>
        </w:rPr>
        <w:t xml:space="preserve">По официальным публикациям Госдепартамента США и МИД Ирана с текстом соглашения.</w:t>
      </w:r>
    </w:p>
    <w:p>
      <w:pPr>
        <w:spacing w:before="60" w:after="60"/>
      </w:pPr>
      <w:r>
        <w:rPr>
          <w:rFonts w:ascii="Calibri" w:hAnsi="Calibri" w:cs="Calibri"/>
          <w:b/>
          <w:color w:val="1F3864"/>
          <w:sz w:val="20"/>
          <w:szCs w:val="20"/>
        </w:rPr>
        <w:t xml:space="preserve">Если данных нет вовремя: </w:t>
      </w:r>
      <w:r>
        <w:rPr>
          <w:rFonts w:ascii="Calibri" w:hAnsi="Calibri" w:cs="Calibri"/>
          <w:color w:val="000000"/>
          <w:sz w:val="20"/>
          <w:szCs w:val="20"/>
        </w:rPr>
        <w:t xml:space="preserve">Соглашение к 31.10.2026 не подписано — НЕТ.</w:t>
      </w:r>
    </w:p>
    <w:p>
      <w:pPr>
        <w:spacing w:before="60" w:after="60"/>
      </w:pPr>
      <w:r>
        <w:rPr>
          <w:rFonts w:ascii="Calibri" w:hAnsi="Calibri" w:cs="Calibri"/>
          <w:b/>
          <w:color w:val="1F3864"/>
          <w:sz w:val="20"/>
          <w:szCs w:val="20"/>
        </w:rPr>
        <w:t xml:space="preserve">Источник: </w:t>
      </w:r>
      <w:r>
        <w:rPr>
          <w:rFonts w:ascii="Calibri" w:hAnsi="Calibri" w:cs="Calibri"/>
          <w:color w:val="000000"/>
          <w:sz w:val="20"/>
          <w:szCs w:val="20"/>
        </w:rPr>
        <w:t xml:space="preserve">Госдепартамент США, МИД Ирана, МАГАТЭ.</w:t>
      </w:r>
    </w:p>
    <w:p>
      <w:pPr>
        <w:spacing w:before="120" w:after="60"/>
      </w:pPr>
      <w:r>
        <w:rPr>
          <w:rFonts w:ascii="Calibri" w:hAnsi="Calibri" w:cs="Calibri"/>
          <w:i/>
          <w:color w:val="666666"/>
          <w:sz w:val="19"/>
          <w:szCs w:val="19"/>
        </w:rPr>
        <w:t xml:space="preserve">Контекст: переговоры о ядерной сделке идут при посредничестве Пакистана. В начале августа Трамп заявил, что соглашение близко и переговоры начинаются на этой неделе, назвав ситуацию «последним шансом на сделку». Иран выдвигает три условия: гарантии безопасности от новых ударов, признание своих прав и репарации. Ракетную программу Тегеран обсуждать отказывается. Рынки прогнозов дают сделку до 2027 года около трети.</w:t>
      </w:r>
    </w:p>
    <w:p>
      <w:pPr>
        <w:spacing w:before="60" w:after="60"/>
      </w:pPr>
      <w:r>
        <w:rPr>
          <w:rFonts w:ascii="Calibri" w:hAnsi="Calibri" w:cs="Calibri"/>
          <w:b/>
          <w:color w:val="1F3864"/>
          <w:sz w:val="20"/>
          <w:szCs w:val="20"/>
        </w:rPr>
        <w:t xml:space="preserve">ИИ анализ: </w:t>
      </w:r>
      <w:hyperlink r:id="rIdLink3">
        <w:r>
          <w:rPr>
            <w:rFonts w:ascii="Calibri" w:hAnsi="Calibri"/>
            <w:color w:val="2554A0"/>
            <w:u w:val="single"/>
            <w:sz w:val="20"/>
            <w:szCs w:val="20"/>
          </w:rPr>
          <w:t xml:space="preserve">https://polymarket.com/event/us-iran-final-nuclear-deal-by-20260621201254412</w:t>
        </w:r>
      </w:hyperlink>
      <w:r>
        <w:rPr>
          <w:rFonts w:ascii="Calibri" w:hAnsi="Calibri" w:cs="Calibri"/>
          <w:color w:val="000000"/>
          <w:sz w:val="20"/>
          <w:szCs w:val="20"/>
        </w:rPr>
        <w:t xml:space="preserve"> (точный рынок ядерной сделки — живая вероятность) </w:t>
      </w:r>
      <w:hyperlink r:id="rIdLink4">
        <w:r>
          <w:rPr>
            <w:rFonts w:ascii="Calibri" w:hAnsi="Calibri"/>
            <w:color w:val="2554A0"/>
            <w:u w:val="single"/>
            <w:sz w:val="20"/>
            <w:szCs w:val="20"/>
          </w:rPr>
          <w:t xml:space="preserve">https://www.iaea.org/newscenter/pressreleases</w:t>
        </w:r>
      </w:hyperlink>
      <w:r>
        <w:rPr>
          <w:rFonts w:ascii="Calibri" w:hAnsi="Calibri" w:cs="Calibri"/>
          <w:color w:val="000000"/>
          <w:sz w:val="20"/>
          <w:szCs w:val="20"/>
        </w:rPr>
        <w:t xml:space="preserve"> (заявления МАГАТЭ по Ирану — арбитр факта)</w:t>
      </w:r>
    </w:p>
    <w:p>
      <w:pPr>
        <w:spacing w:before="320" w:after="140"/>
      </w:pPr>
      <w:r>
        <w:rPr>
          <w:rFonts w:ascii="Calibri" w:hAnsi="Calibri" w:cs="Calibri"/>
          <w:b/>
          <w:color w:val="1F3864"/>
          <w:sz w:val="26"/>
          <w:szCs w:val="26"/>
        </w:rPr>
        <w:t xml:space="preserve">3. Кто станет следующим верховным лидером Ирана?</w:t>
      </w:r>
    </w:p>
    <w:tbl>
      <w:tblPr>
        <w:tblW w:w="5000" w:type="pct"/>
        <w:tblBorders>
          <w:top w:val="single" w:sz="4" w:color="D9D9D9"/>
          <w:left w:val="single" w:sz="4" w:color="D9D9D9"/>
          <w:bottom w:val="single" w:sz="4" w:color="D9D9D9"/>
          <w:right w:val="single" w:sz="4" w:color="D9D9D9"/>
          <w:insideH w:val="single" w:sz="4" w:color="D9D9D9"/>
          <w:insideV w:val="single" w:sz="4" w:color="D9D9D9"/>
        </w:tblBorders>
      </w:tblPr>
      <w:tr>
        <w:tc>
          <w:tcPr>
            <w:tcW w:w="6170" w:type="dxa"/>
            <w:tcBorders>
              <w:top w:val="single" w:sz="4" w:color="D9D9D9"/>
              <w:left w:val="single" w:sz="4" w:color="D9D9D9"/>
              <w:bottom w:val="single" w:sz="4" w:color="D9D9D9"/>
              <w:right w:val="single" w:sz="4" w:color="D9D9D9"/>
            </w:tcBorders>
            <w:shd w:val="clear" w:fill="F2F2F2"/>
            <w:tcMar>
              <w:top w:w="80" w:type="dxa"/>
              <w:bottom w:w="80" w:type="dxa"/>
              <w:left w:w="120" w:type="dxa"/>
              <w:right w:w="120" w:type="dxa"/>
            </w:tcMar>
          </w:tcPr>
          <w:p>
            <w:pPr>
              <w:jc w:val="center"/>
              <w:spacing w:before="0" w:after="0"/>
            </w:pPr>
            <w:r>
              <w:rPr>
                <w:rFonts w:ascii="Calibri" w:hAnsi="Calibri" w:cs="Calibri"/>
                <w:b/>
                <w:color w:val="1F3864"/>
                <w:sz w:val="22"/>
                <w:szCs w:val="22"/>
              </w:rPr>
              <w:t xml:space="preserve">Вариант</w:t>
            </w:r>
          </w:p>
        </w:tc>
        <w:tc>
          <w:tcPr>
            <w:tcW w:w="2000" w:type="dxa"/>
            <w:tcBorders>
              <w:top w:val="single" w:sz="4" w:color="D9D9D9"/>
              <w:left w:val="single" w:sz="4" w:color="D9D9D9"/>
              <w:bottom w:val="single" w:sz="4" w:color="D9D9D9"/>
              <w:right w:val="single" w:sz="4" w:color="D9D9D9"/>
            </w:tcBorders>
            <w:shd w:val="clear" w:fill="F2F2F2"/>
            <w:tcMar>
              <w:top w:w="80" w:type="dxa"/>
              <w:bottom w:w="80" w:type="dxa"/>
              <w:left w:w="120" w:type="dxa"/>
              <w:right w:w="120" w:type="dxa"/>
            </w:tcMar>
          </w:tcPr>
          <w:p>
            <w:pPr>
              <w:jc w:val="center"/>
              <w:spacing w:before="0" w:after="0"/>
            </w:pPr>
            <w:r>
              <w:rPr>
                <w:rFonts w:ascii="Calibri" w:hAnsi="Calibri" w:cs="Calibri"/>
                <w:b/>
                <w:color w:val="1B7A3D"/>
                <w:sz w:val="22"/>
                <w:szCs w:val="22"/>
              </w:rPr>
              <w:t xml:space="preserve">ДА</w:t>
            </w:r>
          </w:p>
        </w:tc>
        <w:tc>
          <w:tcPr>
            <w:tcW w:w="2000" w:type="dxa"/>
            <w:tcBorders>
              <w:top w:val="single" w:sz="4" w:color="D9D9D9"/>
              <w:left w:val="single" w:sz="4" w:color="D9D9D9"/>
              <w:bottom w:val="single" w:sz="4" w:color="D9D9D9"/>
              <w:right w:val="single" w:sz="4" w:color="D9D9D9"/>
            </w:tcBorders>
            <w:shd w:val="clear" w:fill="F2F2F2"/>
            <w:tcMar>
              <w:top w:w="80" w:type="dxa"/>
              <w:bottom w:w="80" w:type="dxa"/>
              <w:left w:w="120" w:type="dxa"/>
              <w:right w:w="120" w:type="dxa"/>
            </w:tcMar>
          </w:tcPr>
          <w:p>
            <w:pPr>
              <w:jc w:val="center"/>
              <w:spacing w:before="0" w:after="0"/>
            </w:pPr>
            <w:r>
              <w:rPr>
                <w:rFonts w:ascii="Calibri" w:hAnsi="Calibri" w:cs="Calibri"/>
                <w:b/>
                <w:color w:val="A3261A"/>
                <w:sz w:val="22"/>
                <w:szCs w:val="22"/>
              </w:rPr>
              <w:t xml:space="preserve">НЕТ</w:t>
            </w:r>
          </w:p>
        </w:tc>
      </w:tr>
      <w:tr>
        <w:tc>
          <w:tcPr>
            <w:tcW w:w="617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spacing w:before="0" w:after="0"/>
            </w:pPr>
            <w:r>
              <w:rPr>
                <w:rFonts w:ascii="Calibri" w:hAnsi="Calibri" w:cs="Calibri"/>
                <w:color w:val="000000"/>
                <w:sz w:val="21"/>
                <w:szCs w:val="21"/>
              </w:rPr>
              <w:t xml:space="preserve">Представитель духовенства из Совета экспертов</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1B7A3D"/>
                <w:sz w:val="21"/>
                <w:szCs w:val="21"/>
              </w:rPr>
              <w:t xml:space="preserve">6.25 (16%)</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A3261A"/>
                <w:sz w:val="21"/>
                <w:szCs w:val="21"/>
              </w:rPr>
              <w:t xml:space="preserve">1.19 (84%)</w:t>
            </w:r>
          </w:p>
        </w:tc>
      </w:tr>
      <w:tr>
        <w:tc>
          <w:tcPr>
            <w:tcW w:w="617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spacing w:before="0" w:after="0"/>
            </w:pPr>
            <w:r>
              <w:rPr>
                <w:rFonts w:ascii="Calibri" w:hAnsi="Calibri" w:cs="Calibri"/>
                <w:color w:val="000000"/>
                <w:sz w:val="21"/>
                <w:szCs w:val="21"/>
              </w:rPr>
              <w:t xml:space="preserve">Военный из Корпуса стражей исламской революции</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1B7A3D"/>
                <w:sz w:val="21"/>
                <w:szCs w:val="21"/>
              </w:rPr>
              <w:t xml:space="preserve">10.00 (10%)</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A3261A"/>
                <w:sz w:val="21"/>
                <w:szCs w:val="21"/>
              </w:rPr>
              <w:t xml:space="preserve">1.11 (90%)</w:t>
            </w:r>
          </w:p>
        </w:tc>
      </w:tr>
      <w:tr>
        <w:tc>
          <w:tcPr>
            <w:tcW w:w="617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spacing w:before="0" w:after="0"/>
            </w:pPr>
            <w:r>
              <w:rPr>
                <w:rFonts w:ascii="Calibri" w:hAnsi="Calibri" w:cs="Calibri"/>
                <w:color w:val="000000"/>
                <w:sz w:val="21"/>
                <w:szCs w:val="21"/>
              </w:rPr>
              <w:t xml:space="preserve">Родственник действующего лидера</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1B7A3D"/>
                <w:sz w:val="21"/>
                <w:szCs w:val="21"/>
              </w:rPr>
              <w:t xml:space="preserve">12.50 (8%)</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A3261A"/>
                <w:sz w:val="21"/>
                <w:szCs w:val="21"/>
              </w:rPr>
              <w:t xml:space="preserve">1.09 (92%)</w:t>
            </w:r>
          </w:p>
        </w:tc>
      </w:tr>
      <w:tr>
        <w:tc>
          <w:tcPr>
            <w:tcW w:w="617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spacing w:before="0" w:after="0"/>
            </w:pPr>
            <w:r>
              <w:rPr>
                <w:rFonts w:ascii="Calibri" w:hAnsi="Calibri" w:cs="Calibri"/>
                <w:color w:val="000000"/>
                <w:sz w:val="21"/>
                <w:szCs w:val="21"/>
              </w:rPr>
              <w:t xml:space="preserve">Смены не произойдёт до 31 декабря 2026</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1B7A3D"/>
                <w:sz w:val="21"/>
                <w:szCs w:val="21"/>
              </w:rPr>
              <w:t xml:space="preserve">1.52 (66%)</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A3261A"/>
                <w:sz w:val="21"/>
                <w:szCs w:val="21"/>
              </w:rPr>
              <w:t xml:space="preserve">2.94 (34%)</w:t>
            </w:r>
          </w:p>
        </w:tc>
      </w:tr>
    </w:tbl>
    <w:p>
      <w:pPr>
        <w:spacing w:before="0" w:after="120"/>
      </w:pPr>
    </w:p>
    <w:p>
      <w:pPr>
        <w:spacing w:before="60" w:after="60"/>
      </w:pPr>
      <w:r>
        <w:rPr>
          <w:rFonts w:ascii="Calibri" w:hAnsi="Calibri" w:cs="Calibri"/>
          <w:b/>
          <w:color w:val="1F3864"/>
          <w:sz w:val="20"/>
          <w:szCs w:val="20"/>
        </w:rPr>
        <w:t xml:space="preserve">Засчитывается: </w:t>
      </w:r>
      <w:r>
        <w:rPr>
          <w:rFonts w:ascii="Calibri" w:hAnsi="Calibri" w:cs="Calibri"/>
          <w:color w:val="000000"/>
          <w:sz w:val="20"/>
          <w:szCs w:val="20"/>
        </w:rPr>
        <w:t xml:space="preserve">Категория, к которой относится человек, избранный Советом экспертов на пост верховного лидера Ирана в период с 10.08.2026 по 31.12.2026, по официальному сообщению иранских государственных агентств и подтверждению Reuters.</w:t>
      </w:r>
    </w:p>
    <w:p>
      <w:pPr>
        <w:spacing w:before="60" w:after="60"/>
      </w:pPr>
      <w:r>
        <w:rPr>
          <w:rFonts w:ascii="Calibri" w:hAnsi="Calibri" w:cs="Calibri"/>
          <w:b/>
          <w:color w:val="1F3864"/>
          <w:sz w:val="20"/>
          <w:szCs w:val="20"/>
        </w:rPr>
        <w:t xml:space="preserve">Не засчитывается: </w:t>
      </w:r>
      <w:r>
        <w:rPr>
          <w:rFonts w:ascii="Calibri" w:hAnsi="Calibri" w:cs="Calibri"/>
          <w:color w:val="000000"/>
          <w:sz w:val="20"/>
          <w:szCs w:val="20"/>
        </w:rPr>
        <w:t xml:space="preserve">Исполнение обязанностей без избрания Советом экспертов; назначение временного руководящего совета; слухи о преемнике без формального решения; избрание человека вне перечисленных категорий — в этом случае выигрывает вариант «Смены не произойдёт».</w:t>
      </w:r>
    </w:p>
    <w:p>
      <w:pPr>
        <w:spacing w:before="60" w:after="60"/>
      </w:pPr>
      <w:r>
        <w:rPr>
          <w:rFonts w:ascii="Calibri" w:hAnsi="Calibri" w:cs="Calibri"/>
          <w:b/>
          <w:color w:val="1F3864"/>
          <w:sz w:val="20"/>
          <w:szCs w:val="20"/>
        </w:rPr>
        <w:t xml:space="preserve">Если ситуация спорная: </w:t>
      </w:r>
      <w:r>
        <w:rPr>
          <w:rFonts w:ascii="Calibri" w:hAnsi="Calibri" w:cs="Calibri"/>
          <w:color w:val="000000"/>
          <w:sz w:val="20"/>
          <w:szCs w:val="20"/>
        </w:rPr>
        <w:t xml:space="preserve">По сообщению Совета экспертов Ирана и подтверждению Reuters.</w:t>
      </w:r>
    </w:p>
    <w:p>
      <w:pPr>
        <w:spacing w:before="60" w:after="60"/>
      </w:pPr>
      <w:r>
        <w:rPr>
          <w:rFonts w:ascii="Calibri" w:hAnsi="Calibri" w:cs="Calibri"/>
          <w:b/>
          <w:color w:val="1F3864"/>
          <w:sz w:val="20"/>
          <w:szCs w:val="20"/>
        </w:rPr>
        <w:t xml:space="preserve">Если данных нет вовремя: </w:t>
      </w:r>
      <w:r>
        <w:rPr>
          <w:rFonts w:ascii="Calibri" w:hAnsi="Calibri" w:cs="Calibri"/>
          <w:color w:val="000000"/>
          <w:sz w:val="20"/>
          <w:szCs w:val="20"/>
        </w:rPr>
        <w:t xml:space="preserve">Если к 31.12.2026 смены не было — «Смены не произойдёт до 31 декабря 2026».</w:t>
      </w:r>
    </w:p>
    <w:p>
      <w:pPr>
        <w:spacing w:before="60" w:after="60"/>
      </w:pPr>
      <w:r>
        <w:rPr>
          <w:rFonts w:ascii="Calibri" w:hAnsi="Calibri" w:cs="Calibri"/>
          <w:b/>
          <w:color w:val="1F3864"/>
          <w:sz w:val="20"/>
          <w:szCs w:val="20"/>
        </w:rPr>
        <w:t xml:space="preserve">Источник: </w:t>
      </w:r>
      <w:r>
        <w:rPr>
          <w:rFonts w:ascii="Calibri" w:hAnsi="Calibri" w:cs="Calibri"/>
          <w:color w:val="000000"/>
          <w:sz w:val="20"/>
          <w:szCs w:val="20"/>
        </w:rPr>
        <w:t xml:space="preserve">Reuters, Ближний Восток: https://www.reuters.com/world/middle-east/</w:t>
      </w:r>
    </w:p>
    <w:p>
      <w:pPr>
        <w:spacing w:before="120" w:after="60"/>
      </w:pPr>
      <w:r>
        <w:rPr>
          <w:rFonts w:ascii="Calibri" w:hAnsi="Calibri" w:cs="Calibri"/>
          <w:i/>
          <w:color w:val="666666"/>
          <w:sz w:val="19"/>
          <w:szCs w:val="19"/>
        </w:rPr>
        <w:t xml:space="preserve">Контекст: после ударов по ядерным объектам и войны с Израилем вопрос преемственности вышел из области теории. Совет экспертов формально избирает лидера, но реальный расклад определяют Корпус стражей и окружение действующего руководителя. Исторически пост занимало духовенство, однако вес военных вырос настолько, что их кандидат впервые обсуждается всерьёз. Две трети цены на то, что смены не будет, — это ставка на устойчивость системы, пережившей войну.</w:t>
      </w:r>
    </w:p>
    <w:p>
      <w:pPr>
        <w:spacing w:before="60" w:after="60"/>
      </w:pPr>
      <w:r>
        <w:rPr>
          <w:rFonts w:ascii="Calibri" w:hAnsi="Calibri" w:cs="Calibri"/>
          <w:b/>
          <w:color w:val="1F3864"/>
          <w:sz w:val="20"/>
          <w:szCs w:val="20"/>
        </w:rPr>
        <w:t xml:space="preserve">ИИ анализ: </w:t>
      </w:r>
      <w:hyperlink r:id="rIdLink5">
        <w:r>
          <w:rPr>
            <w:rFonts w:ascii="Calibri" w:hAnsi="Calibri"/>
            <w:color w:val="2554A0"/>
            <w:u w:val="single"/>
            <w:sz w:val="20"/>
            <w:szCs w:val="20"/>
          </w:rPr>
          <w:t xml:space="preserve">https://www.reuters.com/world/middle-east/</w:t>
        </w:r>
      </w:hyperlink>
      <w:r>
        <w:rPr>
          <w:rFonts w:ascii="Calibri" w:hAnsi="Calibri" w:cs="Calibri"/>
          <w:color w:val="000000"/>
          <w:sz w:val="20"/>
          <w:szCs w:val="20"/>
        </w:rPr>
        <w:t xml:space="preserve"> (лента по региону — арбитр факта) </w:t>
      </w:r>
      <w:hyperlink r:id="rIdLink6">
        <w:r>
          <w:rPr>
            <w:rFonts w:ascii="Calibri" w:hAnsi="Calibri"/>
            <w:color w:val="2554A0"/>
            <w:u w:val="single"/>
            <w:sz w:val="20"/>
            <w:szCs w:val="20"/>
          </w:rPr>
          <w:t xml:space="preserve">https://www.aljazeera.com/where/iran/</w:t>
        </w:r>
      </w:hyperlink>
      <w:r>
        <w:rPr>
          <w:rFonts w:ascii="Calibri" w:hAnsi="Calibri" w:cs="Calibri"/>
          <w:color w:val="000000"/>
          <w:sz w:val="20"/>
          <w:szCs w:val="20"/>
        </w:rPr>
        <w:t xml:space="preserve"> (иранская лента — живая динамика)</w:t>
      </w:r>
    </w:p>
    <w:p>
      <w:pPr>
        <w:spacing w:before="60" w:after="60"/>
      </w:pPr>
      <w:r>
        <w:rPr>
          <w:rFonts w:ascii="Calibri" w:hAnsi="Calibri" w:cs="Calibri"/>
          <w:i/>
          <w:color w:val="666666"/>
          <w:sz w:val="18"/>
          <w:szCs w:val="18"/>
        </w:rPr>
        <w:t xml:space="preserve">Обновление: ежемесячно — при сообщениях о здоровье лидера цены перераспределить.</w:t>
      </w:r>
    </w:p>
    <w:p>
      <w:pPr>
        <w:spacing w:before="320" w:after="140"/>
      </w:pPr>
      <w:r>
        <w:rPr>
          <w:rFonts w:ascii="Calibri" w:hAnsi="Calibri" w:cs="Calibri"/>
          <w:b/>
          <w:color w:val="1F3864"/>
          <w:sz w:val="26"/>
          <w:szCs w:val="26"/>
        </w:rPr>
        <w:t xml:space="preserve">4. Начнётся ли наземная операция США или Израиля в Иране до 31 октября?</w:t>
      </w:r>
    </w:p>
    <w:tbl>
      <w:tblPr>
        <w:tblW w:w="5000" w:type="pct"/>
        <w:tblBorders>
          <w:top w:val="single" w:sz="4" w:color="D9D9D9"/>
          <w:left w:val="single" w:sz="4" w:color="D9D9D9"/>
          <w:bottom w:val="single" w:sz="4" w:color="D9D9D9"/>
          <w:right w:val="single" w:sz="4" w:color="D9D9D9"/>
          <w:insideH w:val="single" w:sz="4" w:color="D9D9D9"/>
          <w:insideV w:val="single" w:sz="4" w:color="D9D9D9"/>
        </w:tblBorders>
      </w:tblPr>
      <w:tr>
        <w:tc>
          <w:tcPr>
            <w:tcW w:w="5085" w:type="dxa"/>
            <w:tcBorders>
              <w:top w:val="single" w:sz="4" w:color="D9D9D9"/>
              <w:left w:val="single" w:sz="4" w:color="D9D9D9"/>
              <w:bottom w:val="single" w:sz="4" w:color="D9D9D9"/>
              <w:right w:val="single" w:sz="4" w:color="D9D9D9"/>
            </w:tcBorders>
            <w:shd w:val="clear" w:fill="F2F2F2"/>
            <w:tcMar>
              <w:top w:w="80" w:type="dxa"/>
              <w:bottom w:w="80" w:type="dxa"/>
              <w:left w:w="120" w:type="dxa"/>
              <w:right w:w="120" w:type="dxa"/>
            </w:tcMar>
          </w:tcPr>
          <w:p>
            <w:pPr>
              <w:jc w:val="center"/>
              <w:spacing w:before="0" w:after="0"/>
            </w:pPr>
            <w:r>
              <w:rPr>
                <w:rFonts w:ascii="Calibri" w:hAnsi="Calibri" w:cs="Calibri"/>
                <w:b/>
                <w:color w:val="1B7A3D"/>
                <w:sz w:val="22"/>
                <w:szCs w:val="22"/>
              </w:rPr>
              <w:t xml:space="preserve">ДА</w:t>
            </w:r>
          </w:p>
        </w:tc>
        <w:tc>
          <w:tcPr>
            <w:tcW w:w="5085" w:type="dxa"/>
            <w:tcBorders>
              <w:top w:val="single" w:sz="4" w:color="D9D9D9"/>
              <w:left w:val="single" w:sz="4" w:color="D9D9D9"/>
              <w:bottom w:val="single" w:sz="4" w:color="D9D9D9"/>
              <w:right w:val="single" w:sz="4" w:color="D9D9D9"/>
            </w:tcBorders>
            <w:shd w:val="clear" w:fill="F2F2F2"/>
            <w:tcMar>
              <w:top w:w="80" w:type="dxa"/>
              <w:bottom w:w="80" w:type="dxa"/>
              <w:left w:w="120" w:type="dxa"/>
              <w:right w:w="120" w:type="dxa"/>
            </w:tcMar>
          </w:tcPr>
          <w:p>
            <w:pPr>
              <w:jc w:val="center"/>
              <w:spacing w:before="0" w:after="0"/>
            </w:pPr>
            <w:r>
              <w:rPr>
                <w:rFonts w:ascii="Calibri" w:hAnsi="Calibri" w:cs="Calibri"/>
                <w:b/>
                <w:color w:val="A3261A"/>
                <w:sz w:val="22"/>
                <w:szCs w:val="22"/>
              </w:rPr>
              <w:t xml:space="preserve">НЕТ</w:t>
            </w:r>
          </w:p>
        </w:tc>
      </w:tr>
      <w:tr>
        <w:tc>
          <w:tcPr>
            <w:tcW w:w="5085"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100" w:after="100"/>
            </w:pPr>
            <w:r>
              <w:rPr>
                <w:rFonts w:ascii="Calibri" w:hAnsi="Calibri" w:cs="Calibri"/>
                <w:b/>
                <w:color w:val="1B7A3D"/>
                <w:sz w:val="26"/>
                <w:szCs w:val="26"/>
              </w:rPr>
              <w:t xml:space="preserve">5.00 (20%)</w:t>
            </w:r>
          </w:p>
        </w:tc>
        <w:tc>
          <w:tcPr>
            <w:tcW w:w="5085"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100" w:after="100"/>
            </w:pPr>
            <w:r>
              <w:rPr>
                <w:rFonts w:ascii="Calibri" w:hAnsi="Calibri" w:cs="Calibri"/>
                <w:b/>
                <w:color w:val="A3261A"/>
                <w:sz w:val="26"/>
                <w:szCs w:val="26"/>
              </w:rPr>
              <w:t xml:space="preserve">1.25 (80%)</w:t>
            </w:r>
          </w:p>
        </w:tc>
      </w:tr>
    </w:tbl>
    <w:p>
      <w:pPr>
        <w:spacing w:before="0" w:after="120"/>
      </w:pPr>
    </w:p>
    <w:p>
      <w:pPr>
        <w:spacing w:before="60" w:after="60"/>
      </w:pPr>
      <w:r>
        <w:rPr>
          <w:rFonts w:ascii="Calibri" w:hAnsi="Calibri" w:cs="Calibri"/>
          <w:b/>
          <w:color w:val="1F3864"/>
          <w:sz w:val="20"/>
          <w:szCs w:val="20"/>
        </w:rPr>
        <w:t xml:space="preserve">Засчитывается: </w:t>
      </w:r>
      <w:r>
        <w:rPr>
          <w:rFonts w:ascii="Calibri" w:hAnsi="Calibri" w:cs="Calibri"/>
          <w:color w:val="000000"/>
          <w:sz w:val="20"/>
          <w:szCs w:val="20"/>
        </w:rPr>
        <w:t xml:space="preserve">Сухопутные подразделения США или Израиля входят на территорию Ирана и ведут там боевые действия, что официально подтверждает наносящая сторона либо Иран, до 31.12.2026.</w:t>
      </w:r>
    </w:p>
    <w:p>
      <w:pPr>
        <w:spacing w:before="60" w:after="60"/>
      </w:pPr>
      <w:r>
        <w:rPr>
          <w:rFonts w:ascii="Calibri" w:hAnsi="Calibri" w:cs="Calibri"/>
          <w:b/>
          <w:color w:val="1F3864"/>
          <w:sz w:val="20"/>
          <w:szCs w:val="20"/>
        </w:rPr>
        <w:t xml:space="preserve">Не засчитывается: </w:t>
      </w:r>
      <w:r>
        <w:rPr>
          <w:rFonts w:ascii="Calibri" w:hAnsi="Calibri" w:cs="Calibri"/>
          <w:color w:val="000000"/>
          <w:sz w:val="20"/>
          <w:szCs w:val="20"/>
        </w:rPr>
        <w:t xml:space="preserve">Авиационные и ракетные удары; операции спецслужб и диверсионных групп; действия флота, включая абордаж судов и блокаду портов; присутствие военных советников в соседних странах.</w:t>
      </w:r>
    </w:p>
    <w:p>
      <w:pPr>
        <w:spacing w:before="60" w:after="60"/>
      </w:pPr>
      <w:r>
        <w:rPr>
          <w:rFonts w:ascii="Calibri" w:hAnsi="Calibri" w:cs="Calibri"/>
          <w:b/>
          <w:color w:val="1F3864"/>
          <w:sz w:val="20"/>
          <w:szCs w:val="20"/>
        </w:rPr>
        <w:t xml:space="preserve">Если ситуация спорная: </w:t>
      </w:r>
      <w:r>
        <w:rPr>
          <w:rFonts w:ascii="Calibri" w:hAnsi="Calibri" w:cs="Calibri"/>
          <w:color w:val="000000"/>
          <w:sz w:val="20"/>
          <w:szCs w:val="20"/>
        </w:rPr>
        <w:t xml:space="preserve">По официальным заявлениям Пентагона, Армии обороны Израиля или иранского командования.</w:t>
      </w:r>
    </w:p>
    <w:p>
      <w:pPr>
        <w:spacing w:before="60" w:after="60"/>
      </w:pPr>
      <w:r>
        <w:rPr>
          <w:rFonts w:ascii="Calibri" w:hAnsi="Calibri" w:cs="Calibri"/>
          <w:b/>
          <w:color w:val="1F3864"/>
          <w:sz w:val="20"/>
          <w:szCs w:val="20"/>
        </w:rPr>
        <w:t xml:space="preserve">Если данных нет вовремя: </w:t>
      </w:r>
      <w:r>
        <w:rPr>
          <w:rFonts w:ascii="Calibri" w:hAnsi="Calibri" w:cs="Calibri"/>
          <w:color w:val="000000"/>
          <w:sz w:val="20"/>
          <w:szCs w:val="20"/>
        </w:rPr>
        <w:t xml:space="preserve">Наземной операции к 31.10.2026 не подтверждено — НЕТ.</w:t>
      </w:r>
    </w:p>
    <w:p>
      <w:pPr>
        <w:spacing w:before="60" w:after="60"/>
      </w:pPr>
      <w:r>
        <w:rPr>
          <w:rFonts w:ascii="Calibri" w:hAnsi="Calibri" w:cs="Calibri"/>
          <w:b/>
          <w:color w:val="1F3864"/>
          <w:sz w:val="20"/>
          <w:szCs w:val="20"/>
        </w:rPr>
        <w:t xml:space="preserve">Источник: </w:t>
      </w:r>
      <w:r>
        <w:rPr>
          <w:rFonts w:ascii="Calibri" w:hAnsi="Calibri" w:cs="Calibri"/>
          <w:color w:val="000000"/>
          <w:sz w:val="20"/>
          <w:szCs w:val="20"/>
        </w:rPr>
        <w:t xml:space="preserve">Пентагон, Центральное командование США, Армия обороны Израиля, иранские государственные СМИ.</w:t>
      </w:r>
    </w:p>
    <w:p>
      <w:pPr>
        <w:spacing w:before="120" w:after="60"/>
      </w:pPr>
      <w:r>
        <w:rPr>
          <w:rFonts w:ascii="Calibri" w:hAnsi="Calibri" w:cs="Calibri"/>
          <w:i/>
          <w:color w:val="666666"/>
          <w:sz w:val="19"/>
          <w:szCs w:val="19"/>
        </w:rPr>
        <w:t xml:space="preserve">Контекст: с февраля 2026 года конфликт идёт в формате ударов с воздуха и морской блокады — наземных операций на иранской территории не было. Рынки прогнозов при этом оценивают вход американских сил в Иран до конца года высоко, и объём торгов на этом вопросе превышает 100 миллионов долларов — один из крупнейших рынков по теме. Наземная операция означала бы принципиально новую фазу войны.</w:t>
      </w:r>
    </w:p>
    <w:p>
      <w:pPr>
        <w:spacing w:before="60" w:after="60"/>
      </w:pPr>
      <w:r>
        <w:rPr>
          <w:rFonts w:ascii="Calibri" w:hAnsi="Calibri" w:cs="Calibri"/>
          <w:b/>
          <w:color w:val="1F3864"/>
          <w:sz w:val="20"/>
          <w:szCs w:val="20"/>
        </w:rPr>
        <w:t xml:space="preserve">ИИ анализ: </w:t>
      </w:r>
      <w:hyperlink r:id="rIdLink7">
        <w:r>
          <w:rPr>
            <w:rFonts w:ascii="Calibri" w:hAnsi="Calibri"/>
            <w:color w:val="2554A0"/>
            <w:u w:val="single"/>
            <w:sz w:val="20"/>
            <w:szCs w:val="20"/>
          </w:rPr>
          <w:t xml:space="preserve">https://polymarket.com/iran/military-strikes</w:t>
        </w:r>
      </w:hyperlink>
      <w:r>
        <w:rPr>
          <w:rFonts w:ascii="Calibri" w:hAnsi="Calibri" w:cs="Calibri"/>
          <w:color w:val="000000"/>
          <w:sz w:val="20"/>
          <w:szCs w:val="20"/>
        </w:rPr>
        <w:t xml:space="preserve"> (раздел рынков по ударам и наземным операциям — живая вероятность) </w:t>
      </w:r>
      <w:hyperlink r:id="rIdLink8">
        <w:r>
          <w:rPr>
            <w:rFonts w:ascii="Calibri" w:hAnsi="Calibri"/>
            <w:color w:val="2554A0"/>
            <w:u w:val="single"/>
            <w:sz w:val="20"/>
            <w:szCs w:val="20"/>
          </w:rPr>
          <w:t xml:space="preserve">https://www.centcom.mil/MEDIA/PRESS-RELEASES/</w:t>
        </w:r>
      </w:hyperlink>
      <w:r>
        <w:rPr>
          <w:rFonts w:ascii="Calibri" w:hAnsi="Calibri" w:cs="Calibri"/>
          <w:color w:val="000000"/>
          <w:sz w:val="20"/>
          <w:szCs w:val="20"/>
        </w:rPr>
        <w:t xml:space="preserve"> (официальные сводки Центрального командования США — арбитр факта)</w:t>
      </w:r>
    </w:p>
    <w:p>
      <w:pPr>
        <w:spacing w:before="320" w:after="140"/>
      </w:pPr>
      <w:r>
        <w:rPr>
          <w:rFonts w:ascii="Calibri" w:hAnsi="Calibri" w:cs="Calibri"/>
          <w:b/>
          <w:color w:val="1F3864"/>
          <w:sz w:val="26"/>
          <w:szCs w:val="26"/>
        </w:rPr>
        <w:t xml:space="preserve">5. Останется ли остров Харг под контролем Ирана до 31 октября?</w:t>
      </w:r>
    </w:p>
    <w:tbl>
      <w:tblPr>
        <w:tblW w:w="5000" w:type="pct"/>
        <w:tblBorders>
          <w:top w:val="single" w:sz="4" w:color="D9D9D9"/>
          <w:left w:val="single" w:sz="4" w:color="D9D9D9"/>
          <w:bottom w:val="single" w:sz="4" w:color="D9D9D9"/>
          <w:right w:val="single" w:sz="4" w:color="D9D9D9"/>
          <w:insideH w:val="single" w:sz="4" w:color="D9D9D9"/>
          <w:insideV w:val="single" w:sz="4" w:color="D9D9D9"/>
        </w:tblBorders>
      </w:tblPr>
      <w:tr>
        <w:tc>
          <w:tcPr>
            <w:tcW w:w="5085" w:type="dxa"/>
            <w:tcBorders>
              <w:top w:val="single" w:sz="4" w:color="D9D9D9"/>
              <w:left w:val="single" w:sz="4" w:color="D9D9D9"/>
              <w:bottom w:val="single" w:sz="4" w:color="D9D9D9"/>
              <w:right w:val="single" w:sz="4" w:color="D9D9D9"/>
            </w:tcBorders>
            <w:shd w:val="clear" w:fill="F2F2F2"/>
            <w:tcMar>
              <w:top w:w="80" w:type="dxa"/>
              <w:bottom w:w="80" w:type="dxa"/>
              <w:left w:w="120" w:type="dxa"/>
              <w:right w:w="120" w:type="dxa"/>
            </w:tcMar>
          </w:tcPr>
          <w:p>
            <w:pPr>
              <w:jc w:val="center"/>
              <w:spacing w:before="0" w:after="0"/>
            </w:pPr>
            <w:r>
              <w:rPr>
                <w:rFonts w:ascii="Calibri" w:hAnsi="Calibri" w:cs="Calibri"/>
                <w:b/>
                <w:color w:val="1B7A3D"/>
                <w:sz w:val="22"/>
                <w:szCs w:val="22"/>
              </w:rPr>
              <w:t xml:space="preserve">ДА</w:t>
            </w:r>
          </w:p>
        </w:tc>
        <w:tc>
          <w:tcPr>
            <w:tcW w:w="5085" w:type="dxa"/>
            <w:tcBorders>
              <w:top w:val="single" w:sz="4" w:color="D9D9D9"/>
              <w:left w:val="single" w:sz="4" w:color="D9D9D9"/>
              <w:bottom w:val="single" w:sz="4" w:color="D9D9D9"/>
              <w:right w:val="single" w:sz="4" w:color="D9D9D9"/>
            </w:tcBorders>
            <w:shd w:val="clear" w:fill="F2F2F2"/>
            <w:tcMar>
              <w:top w:w="80" w:type="dxa"/>
              <w:bottom w:w="80" w:type="dxa"/>
              <w:left w:w="120" w:type="dxa"/>
              <w:right w:w="120" w:type="dxa"/>
            </w:tcMar>
          </w:tcPr>
          <w:p>
            <w:pPr>
              <w:jc w:val="center"/>
              <w:spacing w:before="0" w:after="0"/>
            </w:pPr>
            <w:r>
              <w:rPr>
                <w:rFonts w:ascii="Calibri" w:hAnsi="Calibri" w:cs="Calibri"/>
                <w:b/>
                <w:color w:val="A3261A"/>
                <w:sz w:val="22"/>
                <w:szCs w:val="22"/>
              </w:rPr>
              <w:t xml:space="preserve">НЕТ</w:t>
            </w:r>
          </w:p>
        </w:tc>
      </w:tr>
      <w:tr>
        <w:tc>
          <w:tcPr>
            <w:tcW w:w="5085"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100" w:after="100"/>
            </w:pPr>
            <w:r>
              <w:rPr>
                <w:rFonts w:ascii="Calibri" w:hAnsi="Calibri" w:cs="Calibri"/>
                <w:b/>
                <w:color w:val="1B7A3D"/>
                <w:sz w:val="26"/>
                <w:szCs w:val="26"/>
              </w:rPr>
              <w:t xml:space="preserve">1.28 (78%)</w:t>
            </w:r>
          </w:p>
        </w:tc>
        <w:tc>
          <w:tcPr>
            <w:tcW w:w="5085"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100" w:after="100"/>
            </w:pPr>
            <w:r>
              <w:rPr>
                <w:rFonts w:ascii="Calibri" w:hAnsi="Calibri" w:cs="Calibri"/>
                <w:b/>
                <w:color w:val="A3261A"/>
                <w:sz w:val="26"/>
                <w:szCs w:val="26"/>
              </w:rPr>
              <w:t xml:space="preserve">4.55 (22%)</w:t>
            </w:r>
          </w:p>
        </w:tc>
      </w:tr>
    </w:tbl>
    <w:p>
      <w:pPr>
        <w:spacing w:before="0" w:after="120"/>
      </w:pPr>
    </w:p>
    <w:p>
      <w:pPr>
        <w:spacing w:before="60" w:after="60"/>
      </w:pPr>
      <w:r>
        <w:rPr>
          <w:rFonts w:ascii="Calibri" w:hAnsi="Calibri" w:cs="Calibri"/>
          <w:b/>
          <w:color w:val="1F3864"/>
          <w:sz w:val="20"/>
          <w:szCs w:val="20"/>
        </w:rPr>
        <w:t xml:space="preserve">Засчитывается: </w:t>
      </w:r>
      <w:r>
        <w:rPr>
          <w:rFonts w:ascii="Calibri" w:hAnsi="Calibri" w:cs="Calibri"/>
          <w:color w:val="000000"/>
          <w:sz w:val="20"/>
          <w:szCs w:val="20"/>
        </w:rPr>
        <w:t xml:space="preserve">Иран сохраняет фактический контроль над островом Харг по состоянию на 31.10.2026, то есть остров не занят иностранными войсками и нефтяной терминал не выведен из-под управления иранских властей, по сообщениям Reuters и Associated Press.</w:t>
      </w:r>
    </w:p>
    <w:p>
      <w:pPr>
        <w:spacing w:before="60" w:after="60"/>
      </w:pPr>
      <w:r>
        <w:rPr>
          <w:rFonts w:ascii="Calibri" w:hAnsi="Calibri" w:cs="Calibri"/>
          <w:b/>
          <w:color w:val="1F3864"/>
          <w:sz w:val="20"/>
          <w:szCs w:val="20"/>
        </w:rPr>
        <w:t xml:space="preserve">Не засчитывается: </w:t>
      </w:r>
      <w:r>
        <w:rPr>
          <w:rFonts w:ascii="Calibri" w:hAnsi="Calibri" w:cs="Calibri"/>
          <w:color w:val="000000"/>
          <w:sz w:val="20"/>
          <w:szCs w:val="20"/>
        </w:rPr>
        <w:t xml:space="preserve">Повреждение инфраструктуры терминала при сохранении контроля; временная приостановка отгрузки нефти; блокада подходов к острову без захвата; заявления сторон о планах занять остров.</w:t>
      </w:r>
    </w:p>
    <w:p>
      <w:pPr>
        <w:spacing w:before="60" w:after="60"/>
      </w:pPr>
      <w:r>
        <w:rPr>
          <w:rFonts w:ascii="Calibri" w:hAnsi="Calibri" w:cs="Calibri"/>
          <w:b/>
          <w:color w:val="1F3864"/>
          <w:sz w:val="20"/>
          <w:szCs w:val="20"/>
        </w:rPr>
        <w:t xml:space="preserve">Если ситуация спорная: </w:t>
      </w:r>
      <w:r>
        <w:rPr>
          <w:rFonts w:ascii="Calibri" w:hAnsi="Calibri" w:cs="Calibri"/>
          <w:color w:val="000000"/>
          <w:sz w:val="20"/>
          <w:szCs w:val="20"/>
        </w:rPr>
        <w:t xml:space="preserve">По совпадающим сообщениям Reuters и Associated Press о статусе острова на 31.10.2026.</w:t>
      </w:r>
    </w:p>
    <w:p>
      <w:pPr>
        <w:spacing w:before="60" w:after="60"/>
      </w:pPr>
      <w:r>
        <w:rPr>
          <w:rFonts w:ascii="Calibri" w:hAnsi="Calibri" w:cs="Calibri"/>
          <w:b/>
          <w:color w:val="1F3864"/>
          <w:sz w:val="20"/>
          <w:szCs w:val="20"/>
        </w:rPr>
        <w:t xml:space="preserve">Если данных нет вовремя: </w:t>
      </w:r>
      <w:r>
        <w:rPr>
          <w:rFonts w:ascii="Calibri" w:hAnsi="Calibri" w:cs="Calibri"/>
          <w:color w:val="000000"/>
          <w:sz w:val="20"/>
          <w:szCs w:val="20"/>
        </w:rPr>
        <w:t xml:space="preserve">Если подтверждения утраты контроля нет — ДА.</w:t>
      </w:r>
    </w:p>
    <w:p>
      <w:pPr>
        <w:spacing w:before="60" w:after="60"/>
      </w:pPr>
      <w:r>
        <w:rPr>
          <w:rFonts w:ascii="Calibri" w:hAnsi="Calibri" w:cs="Calibri"/>
          <w:b/>
          <w:color w:val="1F3864"/>
          <w:sz w:val="20"/>
          <w:szCs w:val="20"/>
        </w:rPr>
        <w:t xml:space="preserve">Источник: </w:t>
      </w:r>
      <w:r>
        <w:rPr>
          <w:rFonts w:ascii="Calibri" w:hAnsi="Calibri" w:cs="Calibri"/>
          <w:color w:val="000000"/>
          <w:sz w:val="20"/>
          <w:szCs w:val="20"/>
        </w:rPr>
        <w:t xml:space="preserve">Reuters, Ближний Восток: https://www.reuters.com/world/middle-east/</w:t>
      </w:r>
    </w:p>
    <w:p>
      <w:pPr>
        <w:spacing w:before="120" w:after="60"/>
      </w:pPr>
      <w:r>
        <w:rPr>
          <w:rFonts w:ascii="Calibri" w:hAnsi="Calibri" w:cs="Calibri"/>
          <w:i/>
          <w:color w:val="666666"/>
          <w:sz w:val="19"/>
          <w:szCs w:val="19"/>
        </w:rPr>
        <w:t xml:space="preserve">Контекст: через терминал на острове Харг проходит подавляющая часть иранского нефтяного экспорта — это единственная точка, удар по которой мгновенно останавливает валютную выручку страны. Именно поэтому остров называют самой уязвимой целью в регионе, а рынки прогнозов оценивают его судьбу отдельным контрактом с оборотом в десятки миллионов долларов. 8 августа Иран атаковал танкер в Ормузском проливе, что подняло Brent на три процента и вернуло тему в повестку.</w:t>
      </w:r>
    </w:p>
    <w:p>
      <w:pPr>
        <w:spacing w:before="60" w:after="60"/>
      </w:pPr>
      <w:r>
        <w:rPr>
          <w:rFonts w:ascii="Calibri" w:hAnsi="Calibri" w:cs="Calibri"/>
          <w:b/>
          <w:color w:val="1F3864"/>
          <w:sz w:val="20"/>
          <w:szCs w:val="20"/>
        </w:rPr>
        <w:t xml:space="preserve">ИИ анализ: </w:t>
      </w:r>
      <w:hyperlink r:id="rIdLink9">
        <w:r>
          <w:rPr>
            <w:rFonts w:ascii="Calibri" w:hAnsi="Calibri"/>
            <w:color w:val="2554A0"/>
            <w:u w:val="single"/>
            <w:sz w:val="20"/>
            <w:szCs w:val="20"/>
          </w:rPr>
          <w:t xml:space="preserve">https://www.reuters.com/world/middle-east/</w:t>
        </w:r>
      </w:hyperlink>
      <w:r>
        <w:rPr>
          <w:rFonts w:ascii="Calibri" w:hAnsi="Calibri" w:cs="Calibri"/>
          <w:color w:val="000000"/>
          <w:sz w:val="20"/>
          <w:szCs w:val="20"/>
        </w:rPr>
        <w:t xml:space="preserve"> (лента по региону — арбитр факта) </w:t>
      </w:r>
      <w:hyperlink r:id="rIdLink10">
        <w:r>
          <w:rPr>
            <w:rFonts w:ascii="Calibri" w:hAnsi="Calibri"/>
            <w:color w:val="2554A0"/>
            <w:u w:val="single"/>
            <w:sz w:val="20"/>
            <w:szCs w:val="20"/>
          </w:rPr>
          <w:t xml:space="preserve">https://www.aljazeera.com/where/iran/</w:t>
        </w:r>
      </w:hyperlink>
      <w:r>
        <w:rPr>
          <w:rFonts w:ascii="Calibri" w:hAnsi="Calibri" w:cs="Calibri"/>
          <w:color w:val="000000"/>
          <w:sz w:val="20"/>
          <w:szCs w:val="20"/>
        </w:rPr>
        <w:t xml:space="preserve"> (иранская лента — живая динамика)</w:t>
      </w:r>
    </w:p>
    <w:p>
      <w:pPr>
        <w:spacing w:before="60" w:after="60"/>
      </w:pPr>
      <w:r>
        <w:rPr>
          <w:rFonts w:ascii="Calibri" w:hAnsi="Calibri" w:cs="Calibri"/>
          <w:i/>
          <w:color w:val="666666"/>
          <w:sz w:val="18"/>
          <w:szCs w:val="18"/>
        </w:rPr>
        <w:t xml:space="preserve">Обновление: ежемесячно — при обострении вокруг пролива цену пересматривать.</w:t>
      </w:r>
    </w:p>
    <w:p>
      <w:pPr>
        <w:spacing w:before="320" w:after="140"/>
      </w:pPr>
      <w:r>
        <w:rPr>
          <w:rFonts w:ascii="Calibri" w:hAnsi="Calibri" w:cs="Calibri"/>
          <w:b/>
          <w:color w:val="1F3864"/>
          <w:sz w:val="26"/>
          <w:szCs w:val="26"/>
        </w:rPr>
        <w:t xml:space="preserve">6. Признает ли Иран наличие ядерного оружия до конца 2026?</w:t>
      </w:r>
    </w:p>
    <w:tbl>
      <w:tblPr>
        <w:tblW w:w="5000" w:type="pct"/>
        <w:tblBorders>
          <w:top w:val="single" w:sz="4" w:color="D9D9D9"/>
          <w:left w:val="single" w:sz="4" w:color="D9D9D9"/>
          <w:bottom w:val="single" w:sz="4" w:color="D9D9D9"/>
          <w:right w:val="single" w:sz="4" w:color="D9D9D9"/>
          <w:insideH w:val="single" w:sz="4" w:color="D9D9D9"/>
          <w:insideV w:val="single" w:sz="4" w:color="D9D9D9"/>
        </w:tblBorders>
      </w:tblPr>
      <w:tr>
        <w:tc>
          <w:tcPr>
            <w:tcW w:w="5085" w:type="dxa"/>
            <w:tcBorders>
              <w:top w:val="single" w:sz="4" w:color="D9D9D9"/>
              <w:left w:val="single" w:sz="4" w:color="D9D9D9"/>
              <w:bottom w:val="single" w:sz="4" w:color="D9D9D9"/>
              <w:right w:val="single" w:sz="4" w:color="D9D9D9"/>
            </w:tcBorders>
            <w:shd w:val="clear" w:fill="F2F2F2"/>
            <w:tcMar>
              <w:top w:w="80" w:type="dxa"/>
              <w:bottom w:w="80" w:type="dxa"/>
              <w:left w:w="120" w:type="dxa"/>
              <w:right w:w="120" w:type="dxa"/>
            </w:tcMar>
          </w:tcPr>
          <w:p>
            <w:pPr>
              <w:jc w:val="center"/>
              <w:spacing w:before="0" w:after="0"/>
            </w:pPr>
            <w:r>
              <w:rPr>
                <w:rFonts w:ascii="Calibri" w:hAnsi="Calibri" w:cs="Calibri"/>
                <w:b/>
                <w:color w:val="1B7A3D"/>
                <w:sz w:val="22"/>
                <w:szCs w:val="22"/>
              </w:rPr>
              <w:t xml:space="preserve">ДА</w:t>
            </w:r>
          </w:p>
        </w:tc>
        <w:tc>
          <w:tcPr>
            <w:tcW w:w="5085" w:type="dxa"/>
            <w:tcBorders>
              <w:top w:val="single" w:sz="4" w:color="D9D9D9"/>
              <w:left w:val="single" w:sz="4" w:color="D9D9D9"/>
              <w:bottom w:val="single" w:sz="4" w:color="D9D9D9"/>
              <w:right w:val="single" w:sz="4" w:color="D9D9D9"/>
            </w:tcBorders>
            <w:shd w:val="clear" w:fill="F2F2F2"/>
            <w:tcMar>
              <w:top w:w="80" w:type="dxa"/>
              <w:bottom w:w="80" w:type="dxa"/>
              <w:left w:w="120" w:type="dxa"/>
              <w:right w:w="120" w:type="dxa"/>
            </w:tcMar>
          </w:tcPr>
          <w:p>
            <w:pPr>
              <w:jc w:val="center"/>
              <w:spacing w:before="0" w:after="0"/>
            </w:pPr>
            <w:r>
              <w:rPr>
                <w:rFonts w:ascii="Calibri" w:hAnsi="Calibri" w:cs="Calibri"/>
                <w:b/>
                <w:color w:val="A3261A"/>
                <w:sz w:val="22"/>
                <w:szCs w:val="22"/>
              </w:rPr>
              <w:t xml:space="preserve">НЕТ</w:t>
            </w:r>
          </w:p>
        </w:tc>
      </w:tr>
      <w:tr>
        <w:tc>
          <w:tcPr>
            <w:tcW w:w="5085"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100" w:after="100"/>
            </w:pPr>
            <w:r>
              <w:rPr>
                <w:rFonts w:ascii="Calibri" w:hAnsi="Calibri" w:cs="Calibri"/>
                <w:b/>
                <w:color w:val="1B7A3D"/>
                <w:sz w:val="26"/>
                <w:szCs w:val="26"/>
              </w:rPr>
              <w:t xml:space="preserve">25.00 (4%)</w:t>
            </w:r>
          </w:p>
        </w:tc>
        <w:tc>
          <w:tcPr>
            <w:tcW w:w="5085"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100" w:after="100"/>
            </w:pPr>
            <w:r>
              <w:rPr>
                <w:rFonts w:ascii="Calibri" w:hAnsi="Calibri" w:cs="Calibri"/>
                <w:b/>
                <w:color w:val="A3261A"/>
                <w:sz w:val="26"/>
                <w:szCs w:val="26"/>
              </w:rPr>
              <w:t xml:space="preserve">1.04 (96%)</w:t>
            </w:r>
          </w:p>
        </w:tc>
      </w:tr>
    </w:tbl>
    <w:p>
      <w:pPr>
        <w:spacing w:before="0" w:after="120"/>
      </w:pPr>
    </w:p>
    <w:p>
      <w:pPr>
        <w:spacing w:before="60" w:after="60"/>
      </w:pPr>
      <w:r>
        <w:rPr>
          <w:rFonts w:ascii="Calibri" w:hAnsi="Calibri" w:cs="Calibri"/>
          <w:b/>
          <w:color w:val="1F3864"/>
          <w:sz w:val="20"/>
          <w:szCs w:val="20"/>
        </w:rPr>
        <w:t xml:space="preserve">Засчитывается: </w:t>
      </w:r>
      <w:r>
        <w:rPr>
          <w:rFonts w:ascii="Calibri" w:hAnsi="Calibri" w:cs="Calibri"/>
          <w:color w:val="000000"/>
          <w:sz w:val="20"/>
          <w:szCs w:val="20"/>
        </w:rPr>
        <w:t xml:space="preserve">Официальные лица Ирана публично заявляют о наличии у страны ядерного оружия, либо факт испытания ядерного заряда подтверждает Организация по Договору о всеобъемлющем запрещении ядерных испытаний, до 31.12.2026.</w:t>
      </w:r>
    </w:p>
    <w:p>
      <w:pPr>
        <w:spacing w:before="60" w:after="60"/>
      </w:pPr>
      <w:r>
        <w:rPr>
          <w:rFonts w:ascii="Calibri" w:hAnsi="Calibri" w:cs="Calibri"/>
          <w:b/>
          <w:color w:val="1F3864"/>
          <w:sz w:val="20"/>
          <w:szCs w:val="20"/>
        </w:rPr>
        <w:t xml:space="preserve">Не засчитывается: </w:t>
      </w:r>
      <w:r>
        <w:rPr>
          <w:rFonts w:ascii="Calibri" w:hAnsi="Calibri" w:cs="Calibri"/>
          <w:color w:val="000000"/>
          <w:sz w:val="20"/>
          <w:szCs w:val="20"/>
        </w:rPr>
        <w:t xml:space="preserve">Заявления о технической способности создать оружие; оценки разведок других стран; наличие запасов высокообогащённого урана; угрозы выйти из Договора о нераспространении.</w:t>
      </w:r>
    </w:p>
    <w:p>
      <w:pPr>
        <w:spacing w:before="60" w:after="60"/>
      </w:pPr>
      <w:r>
        <w:rPr>
          <w:rFonts w:ascii="Calibri" w:hAnsi="Calibri" w:cs="Calibri"/>
          <w:b/>
          <w:color w:val="1F3864"/>
          <w:sz w:val="20"/>
          <w:szCs w:val="20"/>
        </w:rPr>
        <w:t xml:space="preserve">Если ситуация спорная: </w:t>
      </w:r>
      <w:r>
        <w:rPr>
          <w:rFonts w:ascii="Calibri" w:hAnsi="Calibri" w:cs="Calibri"/>
          <w:color w:val="000000"/>
          <w:sz w:val="20"/>
          <w:szCs w:val="20"/>
        </w:rPr>
        <w:t xml:space="preserve">По официальным заявлениям иранского руководства и данным сейсмического мониторинга ОДВЗЯИ.</w:t>
      </w:r>
    </w:p>
    <w:p>
      <w:pPr>
        <w:spacing w:before="60" w:after="60"/>
      </w:pPr>
      <w:r>
        <w:rPr>
          <w:rFonts w:ascii="Calibri" w:hAnsi="Calibri" w:cs="Calibri"/>
          <w:b/>
          <w:color w:val="1F3864"/>
          <w:sz w:val="20"/>
          <w:szCs w:val="20"/>
        </w:rPr>
        <w:t xml:space="preserve">Если данных нет вовремя: </w:t>
      </w:r>
      <w:r>
        <w:rPr>
          <w:rFonts w:ascii="Calibri" w:hAnsi="Calibri" w:cs="Calibri"/>
          <w:color w:val="000000"/>
          <w:sz w:val="20"/>
          <w:szCs w:val="20"/>
        </w:rPr>
        <w:t xml:space="preserve">Признания или подтверждённого испытания к 31.12.2026 не было — НЕТ.</w:t>
      </w:r>
    </w:p>
    <w:p>
      <w:pPr>
        <w:spacing w:before="60" w:after="60"/>
      </w:pPr>
      <w:r>
        <w:rPr>
          <w:rFonts w:ascii="Calibri" w:hAnsi="Calibri" w:cs="Calibri"/>
          <w:b/>
          <w:color w:val="1F3864"/>
          <w:sz w:val="20"/>
          <w:szCs w:val="20"/>
        </w:rPr>
        <w:t xml:space="preserve">Источник: </w:t>
      </w:r>
      <w:r>
        <w:rPr>
          <w:rFonts w:ascii="Calibri" w:hAnsi="Calibri" w:cs="Calibri"/>
          <w:color w:val="000000"/>
          <w:sz w:val="20"/>
          <w:szCs w:val="20"/>
        </w:rPr>
        <w:t xml:space="preserve">Официальные заявления руководства Ирана, ОДВЗЯИ, МАГАТЭ.</w:t>
      </w:r>
    </w:p>
    <w:p>
      <w:pPr>
        <w:spacing w:before="120" w:after="60"/>
      </w:pPr>
      <w:r>
        <w:rPr>
          <w:rFonts w:ascii="Calibri" w:hAnsi="Calibri" w:cs="Calibri"/>
          <w:i/>
          <w:color w:val="666666"/>
          <w:sz w:val="19"/>
          <w:szCs w:val="19"/>
        </w:rPr>
        <w:t xml:space="preserve">Контекст: официально Иран отрицает стремление к ядерному оружию и остаётся участником Договора о нераспространении. При этом накопленных запасов урана хватает на несколько зарядов, а инспекторов на объекты не пускают почти год. Рынки прогнозов оценивают появление у Ирана ядерного оружия до 2027 года в 9%. Признание стало бы точкой невозврата для всего региона.</w:t>
      </w:r>
    </w:p>
    <w:p>
      <w:pPr>
        <w:spacing w:before="60" w:after="60"/>
      </w:pPr>
      <w:r>
        <w:rPr>
          <w:rFonts w:ascii="Calibri" w:hAnsi="Calibri" w:cs="Calibri"/>
          <w:b/>
          <w:color w:val="1F3864"/>
          <w:sz w:val="20"/>
          <w:szCs w:val="20"/>
        </w:rPr>
        <w:t xml:space="preserve">ИИ анализ: </w:t>
      </w:r>
      <w:hyperlink r:id="rIdLink11">
        <w:r>
          <w:rPr>
            <w:rFonts w:ascii="Calibri" w:hAnsi="Calibri"/>
            <w:color w:val="2554A0"/>
            <w:u w:val="single"/>
            <w:sz w:val="20"/>
            <w:szCs w:val="20"/>
          </w:rPr>
          <w:t xml:space="preserve">https://polymarket.com/iran/nuclear</w:t>
        </w:r>
      </w:hyperlink>
      <w:r>
        <w:rPr>
          <w:rFonts w:ascii="Calibri" w:hAnsi="Calibri" w:cs="Calibri"/>
          <w:color w:val="000000"/>
          <w:sz w:val="20"/>
          <w:szCs w:val="20"/>
        </w:rPr>
        <w:t xml:space="preserve"> (раздел рынков по иранской ядерной программе — живая вероятность) </w:t>
      </w:r>
      <w:hyperlink r:id="rIdLink12">
        <w:r>
          <w:rPr>
            <w:rFonts w:ascii="Calibri" w:hAnsi="Calibri"/>
            <w:color w:val="2554A0"/>
            <w:u w:val="single"/>
            <w:sz w:val="20"/>
            <w:szCs w:val="20"/>
          </w:rPr>
          <w:t xml:space="preserve">https://www.iaea.org/newscenter/pressreleases</w:t>
        </w:r>
      </w:hyperlink>
      <w:r>
        <w:rPr>
          <w:rFonts w:ascii="Calibri" w:hAnsi="Calibri" w:cs="Calibri"/>
          <w:color w:val="000000"/>
          <w:sz w:val="20"/>
          <w:szCs w:val="20"/>
        </w:rPr>
        <w:t xml:space="preserve"> (заявления МАГАТЭ — арбитр факта)</w:t>
      </w:r>
    </w:p>
    <w:p>
      <w:pPr>
        <w:spacing w:before="320" w:after="140"/>
      </w:pPr>
      <w:r>
        <w:rPr>
          <w:rFonts w:ascii="Calibri" w:hAnsi="Calibri" w:cs="Calibri"/>
          <w:b/>
          <w:color w:val="1F3864"/>
          <w:sz w:val="26"/>
          <w:szCs w:val="26"/>
        </w:rPr>
        <w:t xml:space="preserve">7. Вернутся ли инспекторы МАГАТЭ на иранские объекты до 31 октября?</w:t>
      </w:r>
    </w:p>
    <w:tbl>
      <w:tblPr>
        <w:tblW w:w="5000" w:type="pct"/>
        <w:tblBorders>
          <w:top w:val="single" w:sz="4" w:color="D9D9D9"/>
          <w:left w:val="single" w:sz="4" w:color="D9D9D9"/>
          <w:bottom w:val="single" w:sz="4" w:color="D9D9D9"/>
          <w:right w:val="single" w:sz="4" w:color="D9D9D9"/>
          <w:insideH w:val="single" w:sz="4" w:color="D9D9D9"/>
          <w:insideV w:val="single" w:sz="4" w:color="D9D9D9"/>
        </w:tblBorders>
      </w:tblPr>
      <w:tr>
        <w:tc>
          <w:tcPr>
            <w:tcW w:w="5085" w:type="dxa"/>
            <w:tcBorders>
              <w:top w:val="single" w:sz="4" w:color="D9D9D9"/>
              <w:left w:val="single" w:sz="4" w:color="D9D9D9"/>
              <w:bottom w:val="single" w:sz="4" w:color="D9D9D9"/>
              <w:right w:val="single" w:sz="4" w:color="D9D9D9"/>
            </w:tcBorders>
            <w:shd w:val="clear" w:fill="F2F2F2"/>
            <w:tcMar>
              <w:top w:w="80" w:type="dxa"/>
              <w:bottom w:w="80" w:type="dxa"/>
              <w:left w:w="120" w:type="dxa"/>
              <w:right w:w="120" w:type="dxa"/>
            </w:tcMar>
          </w:tcPr>
          <w:p>
            <w:pPr>
              <w:jc w:val="center"/>
              <w:spacing w:before="0" w:after="0"/>
            </w:pPr>
            <w:r>
              <w:rPr>
                <w:rFonts w:ascii="Calibri" w:hAnsi="Calibri" w:cs="Calibri"/>
                <w:b/>
                <w:color w:val="1B7A3D"/>
                <w:sz w:val="22"/>
                <w:szCs w:val="22"/>
              </w:rPr>
              <w:t xml:space="preserve">ДА</w:t>
            </w:r>
          </w:p>
        </w:tc>
        <w:tc>
          <w:tcPr>
            <w:tcW w:w="5085" w:type="dxa"/>
            <w:tcBorders>
              <w:top w:val="single" w:sz="4" w:color="D9D9D9"/>
              <w:left w:val="single" w:sz="4" w:color="D9D9D9"/>
              <w:bottom w:val="single" w:sz="4" w:color="D9D9D9"/>
              <w:right w:val="single" w:sz="4" w:color="D9D9D9"/>
            </w:tcBorders>
            <w:shd w:val="clear" w:fill="F2F2F2"/>
            <w:tcMar>
              <w:top w:w="80" w:type="dxa"/>
              <w:bottom w:w="80" w:type="dxa"/>
              <w:left w:w="120" w:type="dxa"/>
              <w:right w:w="120" w:type="dxa"/>
            </w:tcMar>
          </w:tcPr>
          <w:p>
            <w:pPr>
              <w:jc w:val="center"/>
              <w:spacing w:before="0" w:after="0"/>
            </w:pPr>
            <w:r>
              <w:rPr>
                <w:rFonts w:ascii="Calibri" w:hAnsi="Calibri" w:cs="Calibri"/>
                <w:b/>
                <w:color w:val="A3261A"/>
                <w:sz w:val="22"/>
                <w:szCs w:val="22"/>
              </w:rPr>
              <w:t xml:space="preserve">НЕТ</w:t>
            </w:r>
          </w:p>
        </w:tc>
      </w:tr>
      <w:tr>
        <w:tc>
          <w:tcPr>
            <w:tcW w:w="5085"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100" w:after="100"/>
            </w:pPr>
            <w:r>
              <w:rPr>
                <w:rFonts w:ascii="Calibri" w:hAnsi="Calibri" w:cs="Calibri"/>
                <w:b/>
                <w:color w:val="1B7A3D"/>
                <w:sz w:val="26"/>
                <w:szCs w:val="26"/>
              </w:rPr>
              <w:t xml:space="preserve">4.00 (25%)</w:t>
            </w:r>
          </w:p>
        </w:tc>
        <w:tc>
          <w:tcPr>
            <w:tcW w:w="5085"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100" w:after="100"/>
            </w:pPr>
            <w:r>
              <w:rPr>
                <w:rFonts w:ascii="Calibri" w:hAnsi="Calibri" w:cs="Calibri"/>
                <w:b/>
                <w:color w:val="A3261A"/>
                <w:sz w:val="26"/>
                <w:szCs w:val="26"/>
              </w:rPr>
              <w:t xml:space="preserve">1.33 (75%)</w:t>
            </w:r>
          </w:p>
        </w:tc>
      </w:tr>
    </w:tbl>
    <w:p>
      <w:pPr>
        <w:spacing w:before="0" w:after="120"/>
      </w:pPr>
    </w:p>
    <w:p>
      <w:pPr>
        <w:spacing w:before="60" w:after="60"/>
      </w:pPr>
      <w:r>
        <w:rPr>
          <w:rFonts w:ascii="Calibri" w:hAnsi="Calibri" w:cs="Calibri"/>
          <w:b/>
          <w:color w:val="1F3864"/>
          <w:sz w:val="20"/>
          <w:szCs w:val="20"/>
        </w:rPr>
        <w:t xml:space="preserve">Засчитывается: </w:t>
      </w:r>
      <w:r>
        <w:rPr>
          <w:rFonts w:ascii="Calibri" w:hAnsi="Calibri" w:cs="Calibri"/>
          <w:color w:val="000000"/>
          <w:sz w:val="20"/>
          <w:szCs w:val="20"/>
        </w:rPr>
        <w:t xml:space="preserve">Инспекторы МАГАТЭ проводят проверку хотя бы на одном ядерном объекте Ирана, и агентство официально это подтверждает, до 31.12.2026.</w:t>
      </w:r>
    </w:p>
    <w:p>
      <w:pPr>
        <w:spacing w:before="60" w:after="60"/>
      </w:pPr>
      <w:r>
        <w:rPr>
          <w:rFonts w:ascii="Calibri" w:hAnsi="Calibri" w:cs="Calibri"/>
          <w:b/>
          <w:color w:val="1F3864"/>
          <w:sz w:val="20"/>
          <w:szCs w:val="20"/>
        </w:rPr>
        <w:t xml:space="preserve">Не засчитывается: </w:t>
      </w:r>
      <w:r>
        <w:rPr>
          <w:rFonts w:ascii="Calibri" w:hAnsi="Calibri" w:cs="Calibri"/>
          <w:color w:val="000000"/>
          <w:sz w:val="20"/>
          <w:szCs w:val="20"/>
        </w:rPr>
        <w:t xml:space="preserve">Визиты руководства МАГАТЭ для переговоров без инспекции объектов; дистанционный мониторинг через камеры; заявления Ирана о готовности допустить инспекторов; проверки на объектах, не связанных с ядерной программой.</w:t>
      </w:r>
    </w:p>
    <w:p>
      <w:pPr>
        <w:spacing w:before="60" w:after="60"/>
      </w:pPr>
      <w:r>
        <w:rPr>
          <w:rFonts w:ascii="Calibri" w:hAnsi="Calibri" w:cs="Calibri"/>
          <w:b/>
          <w:color w:val="1F3864"/>
          <w:sz w:val="20"/>
          <w:szCs w:val="20"/>
        </w:rPr>
        <w:t xml:space="preserve">Если ситуация спорная: </w:t>
      </w:r>
      <w:r>
        <w:rPr>
          <w:rFonts w:ascii="Calibri" w:hAnsi="Calibri" w:cs="Calibri"/>
          <w:color w:val="000000"/>
          <w:sz w:val="20"/>
          <w:szCs w:val="20"/>
        </w:rPr>
        <w:t xml:space="preserve">По официальным заявлениям и отчётам МАГАТЭ о проведённых инспекциях.</w:t>
      </w:r>
    </w:p>
    <w:p>
      <w:pPr>
        <w:spacing w:before="60" w:after="60"/>
      </w:pPr>
      <w:r>
        <w:rPr>
          <w:rFonts w:ascii="Calibri" w:hAnsi="Calibri" w:cs="Calibri"/>
          <w:b/>
          <w:color w:val="1F3864"/>
          <w:sz w:val="20"/>
          <w:szCs w:val="20"/>
        </w:rPr>
        <w:t xml:space="preserve">Если данных нет вовремя: </w:t>
      </w:r>
      <w:r>
        <w:rPr>
          <w:rFonts w:ascii="Calibri" w:hAnsi="Calibri" w:cs="Calibri"/>
          <w:color w:val="000000"/>
          <w:sz w:val="20"/>
          <w:szCs w:val="20"/>
        </w:rPr>
        <w:t xml:space="preserve">Подтверждённых инспекций к 31.10.2026 не было — НЕТ.</w:t>
      </w:r>
    </w:p>
    <w:p>
      <w:pPr>
        <w:spacing w:before="60" w:after="60"/>
      </w:pPr>
      <w:r>
        <w:rPr>
          <w:rFonts w:ascii="Calibri" w:hAnsi="Calibri" w:cs="Calibri"/>
          <w:b/>
          <w:color w:val="1F3864"/>
          <w:sz w:val="20"/>
          <w:szCs w:val="20"/>
        </w:rPr>
        <w:t xml:space="preserve">Источник: </w:t>
      </w:r>
      <w:r>
        <w:rPr>
          <w:rFonts w:ascii="Calibri" w:hAnsi="Calibri" w:cs="Calibri"/>
          <w:color w:val="000000"/>
          <w:sz w:val="20"/>
          <w:szCs w:val="20"/>
        </w:rPr>
        <w:t xml:space="preserve">МАГАТЭ (iaea.org), отчёты о верификации и мониторинге по Ирану.</w:t>
      </w:r>
    </w:p>
    <w:p>
      <w:pPr>
        <w:spacing w:before="120" w:after="60"/>
      </w:pPr>
      <w:r>
        <w:rPr>
          <w:rFonts w:ascii="Calibri" w:hAnsi="Calibri" w:cs="Calibri"/>
          <w:i/>
          <w:color w:val="666666"/>
          <w:sz w:val="19"/>
          <w:szCs w:val="19"/>
        </w:rPr>
        <w:t xml:space="preserve">Контекст: МАГАТЭ вывело инспекторов после ударов летом 2025 года, а в июле того же года Иран официально приостановил сотрудничество с агентством. Доступа к объектам нет почти год. В конце июня глава МАГАТЭ Гросси заявлял, что инспекции начнутся «не теряя времени», но 13 июля Тегеран отказался пускать инспекторов до окончательной сделки. Агентство не может проверить ни запасы обогащённого урана, ни остановку обогащения.</w:t>
      </w:r>
    </w:p>
    <w:p>
      <w:pPr>
        <w:spacing w:before="60" w:after="60"/>
      </w:pPr>
      <w:r>
        <w:rPr>
          <w:rFonts w:ascii="Calibri" w:hAnsi="Calibri" w:cs="Calibri"/>
          <w:b/>
          <w:color w:val="1F3864"/>
          <w:sz w:val="20"/>
          <w:szCs w:val="20"/>
        </w:rPr>
        <w:t xml:space="preserve">ИИ анализ: </w:t>
      </w:r>
      <w:hyperlink r:id="rIdLink13">
        <w:r>
          <w:rPr>
            <w:rFonts w:ascii="Calibri" w:hAnsi="Calibri"/>
            <w:color w:val="2554A0"/>
            <w:u w:val="single"/>
            <w:sz w:val="20"/>
            <w:szCs w:val="20"/>
          </w:rPr>
          <w:t xml:space="preserve">https://www.iaea.org/newscenter/pressreleases</w:t>
        </w:r>
      </w:hyperlink>
      <w:r>
        <w:rPr>
          <w:rFonts w:ascii="Calibri" w:hAnsi="Calibri" w:cs="Calibri"/>
          <w:color w:val="000000"/>
          <w:sz w:val="20"/>
          <w:szCs w:val="20"/>
        </w:rPr>
        <w:t xml:space="preserve"> (официальные заявления МАГАТЭ — арбитр факта) </w:t>
      </w:r>
      <w:hyperlink r:id="rIdLink14">
        <w:r>
          <w:rPr>
            <w:rFonts w:ascii="Calibri" w:hAnsi="Calibri"/>
            <w:color w:val="2554A0"/>
            <w:u w:val="single"/>
            <w:sz w:val="20"/>
            <w:szCs w:val="20"/>
          </w:rPr>
          <w:t xml:space="preserve">https://polymarket.com/iran/nuclear</w:t>
        </w:r>
      </w:hyperlink>
      <w:r>
        <w:rPr>
          <w:rFonts w:ascii="Calibri" w:hAnsi="Calibri" w:cs="Calibri"/>
          <w:color w:val="000000"/>
          <w:sz w:val="20"/>
          <w:szCs w:val="20"/>
        </w:rPr>
        <w:t xml:space="preserve"> (раздел рынков по иранской ядерной программе — живая вероятность)</w:t>
      </w:r>
    </w:p>
    <w:p>
      <w:pPr>
        <w:spacing w:before="320" w:after="140"/>
      </w:pPr>
      <w:r>
        <w:rPr>
          <w:rFonts w:ascii="Calibri" w:hAnsi="Calibri" w:cs="Calibri"/>
          <w:b/>
          <w:color w:val="1F3864"/>
          <w:sz w:val="26"/>
          <w:szCs w:val="26"/>
        </w:rPr>
        <w:t xml:space="preserve">8. Возобновит ли Иран обогащение урана до 31 октября?</w:t>
      </w:r>
    </w:p>
    <w:tbl>
      <w:tblPr>
        <w:tblW w:w="5000" w:type="pct"/>
        <w:tblBorders>
          <w:top w:val="single" w:sz="4" w:color="D9D9D9"/>
          <w:left w:val="single" w:sz="4" w:color="D9D9D9"/>
          <w:bottom w:val="single" w:sz="4" w:color="D9D9D9"/>
          <w:right w:val="single" w:sz="4" w:color="D9D9D9"/>
          <w:insideH w:val="single" w:sz="4" w:color="D9D9D9"/>
          <w:insideV w:val="single" w:sz="4" w:color="D9D9D9"/>
        </w:tblBorders>
      </w:tblPr>
      <w:tr>
        <w:tc>
          <w:tcPr>
            <w:tcW w:w="5085" w:type="dxa"/>
            <w:tcBorders>
              <w:top w:val="single" w:sz="4" w:color="D9D9D9"/>
              <w:left w:val="single" w:sz="4" w:color="D9D9D9"/>
              <w:bottom w:val="single" w:sz="4" w:color="D9D9D9"/>
              <w:right w:val="single" w:sz="4" w:color="D9D9D9"/>
            </w:tcBorders>
            <w:shd w:val="clear" w:fill="F2F2F2"/>
            <w:tcMar>
              <w:top w:w="80" w:type="dxa"/>
              <w:bottom w:w="80" w:type="dxa"/>
              <w:left w:w="120" w:type="dxa"/>
              <w:right w:w="120" w:type="dxa"/>
            </w:tcMar>
          </w:tcPr>
          <w:p>
            <w:pPr>
              <w:jc w:val="center"/>
              <w:spacing w:before="0" w:after="0"/>
            </w:pPr>
            <w:r>
              <w:rPr>
                <w:rFonts w:ascii="Calibri" w:hAnsi="Calibri" w:cs="Calibri"/>
                <w:b/>
                <w:color w:val="1B7A3D"/>
                <w:sz w:val="22"/>
                <w:szCs w:val="22"/>
              </w:rPr>
              <w:t xml:space="preserve">ДА</w:t>
            </w:r>
          </w:p>
        </w:tc>
        <w:tc>
          <w:tcPr>
            <w:tcW w:w="5085" w:type="dxa"/>
            <w:tcBorders>
              <w:top w:val="single" w:sz="4" w:color="D9D9D9"/>
              <w:left w:val="single" w:sz="4" w:color="D9D9D9"/>
              <w:bottom w:val="single" w:sz="4" w:color="D9D9D9"/>
              <w:right w:val="single" w:sz="4" w:color="D9D9D9"/>
            </w:tcBorders>
            <w:shd w:val="clear" w:fill="F2F2F2"/>
            <w:tcMar>
              <w:top w:w="80" w:type="dxa"/>
              <w:bottom w:w="80" w:type="dxa"/>
              <w:left w:w="120" w:type="dxa"/>
              <w:right w:w="120" w:type="dxa"/>
            </w:tcMar>
          </w:tcPr>
          <w:p>
            <w:pPr>
              <w:jc w:val="center"/>
              <w:spacing w:before="0" w:after="0"/>
            </w:pPr>
            <w:r>
              <w:rPr>
                <w:rFonts w:ascii="Calibri" w:hAnsi="Calibri" w:cs="Calibri"/>
                <w:b/>
                <w:color w:val="A3261A"/>
                <w:sz w:val="22"/>
                <w:szCs w:val="22"/>
              </w:rPr>
              <w:t xml:space="preserve">НЕТ</w:t>
            </w:r>
          </w:p>
        </w:tc>
      </w:tr>
      <w:tr>
        <w:tc>
          <w:tcPr>
            <w:tcW w:w="5085"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100" w:after="100"/>
            </w:pPr>
            <w:r>
              <w:rPr>
                <w:rFonts w:ascii="Calibri" w:hAnsi="Calibri" w:cs="Calibri"/>
                <w:b/>
                <w:color w:val="1B7A3D"/>
                <w:sz w:val="26"/>
                <w:szCs w:val="26"/>
              </w:rPr>
              <w:t xml:space="preserve">4.00 (25%)</w:t>
            </w:r>
          </w:p>
        </w:tc>
        <w:tc>
          <w:tcPr>
            <w:tcW w:w="5085"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100" w:after="100"/>
            </w:pPr>
            <w:r>
              <w:rPr>
                <w:rFonts w:ascii="Calibri" w:hAnsi="Calibri" w:cs="Calibri"/>
                <w:b/>
                <w:color w:val="A3261A"/>
                <w:sz w:val="26"/>
                <w:szCs w:val="26"/>
              </w:rPr>
              <w:t xml:space="preserve">1.33 (75%)</w:t>
            </w:r>
          </w:p>
        </w:tc>
      </w:tr>
    </w:tbl>
    <w:p>
      <w:pPr>
        <w:spacing w:before="0" w:after="120"/>
      </w:pPr>
    </w:p>
    <w:p>
      <w:pPr>
        <w:spacing w:before="60" w:after="60"/>
      </w:pPr>
      <w:r>
        <w:rPr>
          <w:rFonts w:ascii="Calibri" w:hAnsi="Calibri" w:cs="Calibri"/>
          <w:b/>
          <w:color w:val="1F3864"/>
          <w:sz w:val="20"/>
          <w:szCs w:val="20"/>
        </w:rPr>
        <w:t xml:space="preserve">Засчитывается: </w:t>
      </w:r>
      <w:r>
        <w:rPr>
          <w:rFonts w:ascii="Calibri" w:hAnsi="Calibri" w:cs="Calibri"/>
          <w:color w:val="000000"/>
          <w:sz w:val="20"/>
          <w:szCs w:val="20"/>
        </w:rPr>
        <w:t xml:space="preserve">МАГАТЭ, правительство США или само правительство Ирана официально подтверждают возобновление обогащения урана на иранских объектах, до 31.12.2026.</w:t>
      </w:r>
    </w:p>
    <w:p>
      <w:pPr>
        <w:spacing w:before="60" w:after="60"/>
      </w:pPr>
      <w:r>
        <w:rPr>
          <w:rFonts w:ascii="Calibri" w:hAnsi="Calibri" w:cs="Calibri"/>
          <w:b/>
          <w:color w:val="1F3864"/>
          <w:sz w:val="20"/>
          <w:szCs w:val="20"/>
        </w:rPr>
        <w:t xml:space="preserve">Не засчитывается: </w:t>
      </w:r>
      <w:r>
        <w:rPr>
          <w:rFonts w:ascii="Calibri" w:hAnsi="Calibri" w:cs="Calibri"/>
          <w:color w:val="000000"/>
          <w:sz w:val="20"/>
          <w:szCs w:val="20"/>
        </w:rPr>
        <w:t xml:space="preserve">Наличие ранее накопленных запасов обогащённого урана; заявления о технической возможности возобновить обогащение; работы по восстановлению повреждённых объектов без запуска центрифуг; сообщения СМИ без официального подтверждения.</w:t>
      </w:r>
    </w:p>
    <w:p>
      <w:pPr>
        <w:spacing w:before="60" w:after="60"/>
      </w:pPr>
      <w:r>
        <w:rPr>
          <w:rFonts w:ascii="Calibri" w:hAnsi="Calibri" w:cs="Calibri"/>
          <w:b/>
          <w:color w:val="1F3864"/>
          <w:sz w:val="20"/>
          <w:szCs w:val="20"/>
        </w:rPr>
        <w:t xml:space="preserve">Если ситуация спорная: </w:t>
      </w:r>
      <w:r>
        <w:rPr>
          <w:rFonts w:ascii="Calibri" w:hAnsi="Calibri" w:cs="Calibri"/>
          <w:color w:val="000000"/>
          <w:sz w:val="20"/>
          <w:szCs w:val="20"/>
        </w:rPr>
        <w:t xml:space="preserve">По официальным отчётам МАГАТЭ; при отсутствии доступа инспекторов — по совместной оценке США и МАГАТЭ.</w:t>
      </w:r>
    </w:p>
    <w:p>
      <w:pPr>
        <w:spacing w:before="60" w:after="60"/>
      </w:pPr>
      <w:r>
        <w:rPr>
          <w:rFonts w:ascii="Calibri" w:hAnsi="Calibri" w:cs="Calibri"/>
          <w:b/>
          <w:color w:val="1F3864"/>
          <w:sz w:val="20"/>
          <w:szCs w:val="20"/>
        </w:rPr>
        <w:t xml:space="preserve">Если данных нет вовремя: </w:t>
      </w:r>
      <w:r>
        <w:rPr>
          <w:rFonts w:ascii="Calibri" w:hAnsi="Calibri" w:cs="Calibri"/>
          <w:color w:val="000000"/>
          <w:sz w:val="20"/>
          <w:szCs w:val="20"/>
        </w:rPr>
        <w:t xml:space="preserve">Возобновления к 31.10.2026 официально не подтверждено — НЕТ.</w:t>
      </w:r>
    </w:p>
    <w:p>
      <w:pPr>
        <w:spacing w:before="60" w:after="60"/>
      </w:pPr>
      <w:r>
        <w:rPr>
          <w:rFonts w:ascii="Calibri" w:hAnsi="Calibri" w:cs="Calibri"/>
          <w:b/>
          <w:color w:val="1F3864"/>
          <w:sz w:val="20"/>
          <w:szCs w:val="20"/>
        </w:rPr>
        <w:t xml:space="preserve">Источник: </w:t>
      </w:r>
      <w:r>
        <w:rPr>
          <w:rFonts w:ascii="Calibri" w:hAnsi="Calibri" w:cs="Calibri"/>
          <w:color w:val="000000"/>
          <w:sz w:val="20"/>
          <w:szCs w:val="20"/>
        </w:rPr>
        <w:t xml:space="preserve">МАГАТЭ (iaea.org), Госдепартамент США.</w:t>
      </w:r>
    </w:p>
    <w:p>
      <w:pPr>
        <w:spacing w:before="120" w:after="60"/>
      </w:pPr>
      <w:r>
        <w:rPr>
          <w:rFonts w:ascii="Calibri" w:hAnsi="Calibri" w:cs="Calibri"/>
          <w:i/>
          <w:color w:val="666666"/>
          <w:sz w:val="19"/>
          <w:szCs w:val="19"/>
        </w:rPr>
        <w:t xml:space="preserve">Контекст: американские и иранские официальные лица сходятся в том, что обогащение не возобновлялось после ударов февраля 2026 года. При этом накопленные запасы никуда не делись: по оценке МАГАТЭ, у Ирана 184 килограмма урана обогащением до 20% и 441 килограмм — до 60%. Этого достаточно для создания до десяти зарядов, если Тегеран примет такое решение. Проверить остановку агентство не может — инспекторов не пускают.</w:t>
      </w:r>
    </w:p>
    <w:p>
      <w:pPr>
        <w:spacing w:before="60" w:after="60"/>
      </w:pPr>
      <w:r>
        <w:rPr>
          <w:rFonts w:ascii="Calibri" w:hAnsi="Calibri" w:cs="Calibri"/>
          <w:b/>
          <w:color w:val="1F3864"/>
          <w:sz w:val="20"/>
          <w:szCs w:val="20"/>
        </w:rPr>
        <w:t xml:space="preserve">ИИ анализ: </w:t>
      </w:r>
      <w:hyperlink r:id="rIdLink15">
        <w:r>
          <w:rPr>
            <w:rFonts w:ascii="Calibri" w:hAnsi="Calibri"/>
            <w:color w:val="2554A0"/>
            <w:u w:val="single"/>
            <w:sz w:val="20"/>
            <w:szCs w:val="20"/>
          </w:rPr>
          <w:t xml:space="preserve">https://polymarket.com/iran/nuclear</w:t>
        </w:r>
      </w:hyperlink>
      <w:r>
        <w:rPr>
          <w:rFonts w:ascii="Calibri" w:hAnsi="Calibri" w:cs="Calibri"/>
          <w:color w:val="000000"/>
          <w:sz w:val="20"/>
          <w:szCs w:val="20"/>
        </w:rPr>
        <w:t xml:space="preserve"> (раздел рынков по иранской ядерной программе — живая вероятность) </w:t>
      </w:r>
      <w:hyperlink r:id="rIdLink16">
        <w:r>
          <w:rPr>
            <w:rFonts w:ascii="Calibri" w:hAnsi="Calibri"/>
            <w:color w:val="2554A0"/>
            <w:u w:val="single"/>
            <w:sz w:val="20"/>
            <w:szCs w:val="20"/>
          </w:rPr>
          <w:t xml:space="preserve">https://www.iaea.org/newscenter/pressreleases</w:t>
        </w:r>
      </w:hyperlink>
      <w:r>
        <w:rPr>
          <w:rFonts w:ascii="Calibri" w:hAnsi="Calibri" w:cs="Calibri"/>
          <w:color w:val="000000"/>
          <w:sz w:val="20"/>
          <w:szCs w:val="20"/>
        </w:rPr>
        <w:t xml:space="preserve"> (отчёты МАГАТЭ по верификации — арбитр факта)</w:t>
      </w:r>
    </w:p>
    <w:p>
      <w:pPr>
        <w:spacing w:before="320" w:after="140"/>
      </w:pPr>
      <w:r>
        <w:rPr>
          <w:rFonts w:ascii="Calibri" w:hAnsi="Calibri" w:cs="Calibri"/>
          <w:b/>
          <w:color w:val="1F3864"/>
          <w:sz w:val="26"/>
          <w:szCs w:val="26"/>
        </w:rPr>
        <w:t xml:space="preserve">9. Удержится ли Моджтаба Хаменеи на посту верховного лидера до конца 2026?</w:t>
      </w:r>
    </w:p>
    <w:tbl>
      <w:tblPr>
        <w:tblW w:w="5000" w:type="pct"/>
        <w:tblBorders>
          <w:top w:val="single" w:sz="4" w:color="D9D9D9"/>
          <w:left w:val="single" w:sz="4" w:color="D9D9D9"/>
          <w:bottom w:val="single" w:sz="4" w:color="D9D9D9"/>
          <w:right w:val="single" w:sz="4" w:color="D9D9D9"/>
          <w:insideH w:val="single" w:sz="4" w:color="D9D9D9"/>
          <w:insideV w:val="single" w:sz="4" w:color="D9D9D9"/>
        </w:tblBorders>
      </w:tblPr>
      <w:tr>
        <w:tc>
          <w:tcPr>
            <w:tcW w:w="5085" w:type="dxa"/>
            <w:tcBorders>
              <w:top w:val="single" w:sz="4" w:color="D9D9D9"/>
              <w:left w:val="single" w:sz="4" w:color="D9D9D9"/>
              <w:bottom w:val="single" w:sz="4" w:color="D9D9D9"/>
              <w:right w:val="single" w:sz="4" w:color="D9D9D9"/>
            </w:tcBorders>
            <w:shd w:val="clear" w:fill="F2F2F2"/>
            <w:tcMar>
              <w:top w:w="80" w:type="dxa"/>
              <w:bottom w:w="80" w:type="dxa"/>
              <w:left w:w="120" w:type="dxa"/>
              <w:right w:w="120" w:type="dxa"/>
            </w:tcMar>
          </w:tcPr>
          <w:p>
            <w:pPr>
              <w:jc w:val="center"/>
              <w:spacing w:before="0" w:after="0"/>
            </w:pPr>
            <w:r>
              <w:rPr>
                <w:rFonts w:ascii="Calibri" w:hAnsi="Calibri" w:cs="Calibri"/>
                <w:b/>
                <w:color w:val="1B7A3D"/>
                <w:sz w:val="22"/>
                <w:szCs w:val="22"/>
              </w:rPr>
              <w:t xml:space="preserve">ДА</w:t>
            </w:r>
          </w:p>
        </w:tc>
        <w:tc>
          <w:tcPr>
            <w:tcW w:w="5085" w:type="dxa"/>
            <w:tcBorders>
              <w:top w:val="single" w:sz="4" w:color="D9D9D9"/>
              <w:left w:val="single" w:sz="4" w:color="D9D9D9"/>
              <w:bottom w:val="single" w:sz="4" w:color="D9D9D9"/>
              <w:right w:val="single" w:sz="4" w:color="D9D9D9"/>
            </w:tcBorders>
            <w:shd w:val="clear" w:fill="F2F2F2"/>
            <w:tcMar>
              <w:top w:w="80" w:type="dxa"/>
              <w:bottom w:w="80" w:type="dxa"/>
              <w:left w:w="120" w:type="dxa"/>
              <w:right w:w="120" w:type="dxa"/>
            </w:tcMar>
          </w:tcPr>
          <w:p>
            <w:pPr>
              <w:jc w:val="center"/>
              <w:spacing w:before="0" w:after="0"/>
            </w:pPr>
            <w:r>
              <w:rPr>
                <w:rFonts w:ascii="Calibri" w:hAnsi="Calibri" w:cs="Calibri"/>
                <w:b/>
                <w:color w:val="A3261A"/>
                <w:sz w:val="22"/>
                <w:szCs w:val="22"/>
              </w:rPr>
              <w:t xml:space="preserve">НЕТ</w:t>
            </w:r>
          </w:p>
        </w:tc>
      </w:tr>
      <w:tr>
        <w:tc>
          <w:tcPr>
            <w:tcW w:w="5085"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100" w:after="100"/>
            </w:pPr>
            <w:r>
              <w:rPr>
                <w:rFonts w:ascii="Calibri" w:hAnsi="Calibri" w:cs="Calibri"/>
                <w:b/>
                <w:color w:val="1B7A3D"/>
                <w:sz w:val="26"/>
                <w:szCs w:val="26"/>
              </w:rPr>
              <w:t xml:space="preserve">1.14 (88%)</w:t>
            </w:r>
          </w:p>
        </w:tc>
        <w:tc>
          <w:tcPr>
            <w:tcW w:w="5085"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100" w:after="100"/>
            </w:pPr>
            <w:r>
              <w:rPr>
                <w:rFonts w:ascii="Calibri" w:hAnsi="Calibri" w:cs="Calibri"/>
                <w:b/>
                <w:color w:val="A3261A"/>
                <w:sz w:val="26"/>
                <w:szCs w:val="26"/>
              </w:rPr>
              <w:t xml:space="preserve">8.33 (12%)</w:t>
            </w:r>
          </w:p>
        </w:tc>
      </w:tr>
    </w:tbl>
    <w:p>
      <w:pPr>
        <w:spacing w:before="0" w:after="120"/>
      </w:pPr>
    </w:p>
    <w:p>
      <w:pPr>
        <w:spacing w:before="60" w:after="60"/>
      </w:pPr>
      <w:r>
        <w:rPr>
          <w:rFonts w:ascii="Calibri" w:hAnsi="Calibri" w:cs="Calibri"/>
          <w:b/>
          <w:color w:val="1F3864"/>
          <w:sz w:val="20"/>
          <w:szCs w:val="20"/>
        </w:rPr>
        <w:t xml:space="preserve">Засчитывается: </w:t>
      </w:r>
      <w:r>
        <w:rPr>
          <w:rFonts w:ascii="Calibri" w:hAnsi="Calibri" w:cs="Calibri"/>
          <w:color w:val="000000"/>
          <w:sz w:val="20"/>
          <w:szCs w:val="20"/>
        </w:rPr>
        <w:t xml:space="preserve">Моджтаба Хаменеи занимает пост верховного лидера Ирана на 31.12.2026.</w:t>
      </w:r>
    </w:p>
    <w:p>
      <w:pPr>
        <w:spacing w:before="60" w:after="60"/>
      </w:pPr>
      <w:r>
        <w:rPr>
          <w:rFonts w:ascii="Calibri" w:hAnsi="Calibri" w:cs="Calibri"/>
          <w:b/>
          <w:color w:val="1F3864"/>
          <w:sz w:val="20"/>
          <w:szCs w:val="20"/>
        </w:rPr>
        <w:t xml:space="preserve">Не засчитывается: </w:t>
      </w:r>
      <w:r>
        <w:rPr>
          <w:rFonts w:ascii="Calibri" w:hAnsi="Calibri" w:cs="Calibri"/>
          <w:color w:val="000000"/>
          <w:sz w:val="20"/>
          <w:szCs w:val="20"/>
        </w:rPr>
        <w:t xml:space="preserve">Временное делегирование полномочий при сохранении поста; сокращение публичной активности; слухи о болезни без официального объявления о смене лидера.</w:t>
      </w:r>
    </w:p>
    <w:p>
      <w:pPr>
        <w:spacing w:before="60" w:after="60"/>
      </w:pPr>
      <w:r>
        <w:rPr>
          <w:rFonts w:ascii="Calibri" w:hAnsi="Calibri" w:cs="Calibri"/>
          <w:b/>
          <w:color w:val="1F3864"/>
          <w:sz w:val="20"/>
          <w:szCs w:val="20"/>
        </w:rPr>
        <w:t xml:space="preserve">Если ситуация спорная: </w:t>
      </w:r>
      <w:r>
        <w:rPr>
          <w:rFonts w:ascii="Calibri" w:hAnsi="Calibri" w:cs="Calibri"/>
          <w:color w:val="000000"/>
          <w:sz w:val="20"/>
          <w:szCs w:val="20"/>
        </w:rPr>
        <w:t xml:space="preserve">По официальным сообщениям Совета экспертов Ирана и канцелярии верховного лидера.</w:t>
      </w:r>
    </w:p>
    <w:p>
      <w:pPr>
        <w:spacing w:before="60" w:after="60"/>
      </w:pPr>
      <w:r>
        <w:rPr>
          <w:rFonts w:ascii="Calibri" w:hAnsi="Calibri" w:cs="Calibri"/>
          <w:b/>
          <w:color w:val="1F3864"/>
          <w:sz w:val="20"/>
          <w:szCs w:val="20"/>
        </w:rPr>
        <w:t xml:space="preserve">Если данных нет вовремя: </w:t>
      </w:r>
      <w:r>
        <w:rPr>
          <w:rFonts w:ascii="Calibri" w:hAnsi="Calibri" w:cs="Calibri"/>
          <w:color w:val="000000"/>
          <w:sz w:val="20"/>
          <w:szCs w:val="20"/>
        </w:rPr>
        <w:t xml:space="preserve">Резолюция по фактическому статусу на 31.12.2026.</w:t>
      </w:r>
    </w:p>
    <w:p>
      <w:pPr>
        <w:spacing w:before="60" w:after="60"/>
      </w:pPr>
      <w:r>
        <w:rPr>
          <w:rFonts w:ascii="Calibri" w:hAnsi="Calibri" w:cs="Calibri"/>
          <w:b/>
          <w:color w:val="1F3864"/>
          <w:sz w:val="20"/>
          <w:szCs w:val="20"/>
        </w:rPr>
        <w:t xml:space="preserve">Источник: </w:t>
      </w:r>
      <w:r>
        <w:rPr>
          <w:rFonts w:ascii="Calibri" w:hAnsi="Calibri" w:cs="Calibri"/>
          <w:color w:val="000000"/>
          <w:sz w:val="20"/>
          <w:szCs w:val="20"/>
        </w:rPr>
        <w:t xml:space="preserve">Канцелярия верховного лидера Ирана, Совет экспертов, иранские государственные СМИ.</w:t>
      </w:r>
    </w:p>
    <w:p>
      <w:pPr>
        <w:spacing w:before="120" w:after="60"/>
      </w:pPr>
      <w:r>
        <w:rPr>
          <w:rFonts w:ascii="Calibri" w:hAnsi="Calibri" w:cs="Calibri"/>
          <w:i/>
          <w:color w:val="666666"/>
          <w:sz w:val="19"/>
          <w:szCs w:val="19"/>
        </w:rPr>
        <w:t xml:space="preserve">Контекст: Али Хаменеи погиб 28 февраля 2026 года при совместном ударе США и Израиля. Совет экспертов 8 марта назначил верховным лидером его 56-летнего сына Моджтабу — впервые власть в Иране передалась по наследству. Корпус стражей исламской революции и армия присягнули новому лидеру. При этом Моджтаба не появляется на публике: обращения передаёт в письменном виде, что породило вопросы о его здоровье и местонахождении. Ему досталось руководство страной в разгар крупнейшего кризиса за 47 лет существования Исламской Республики.</w:t>
      </w:r>
    </w:p>
    <w:p>
      <w:pPr>
        <w:spacing w:before="60" w:after="60"/>
      </w:pPr>
      <w:r>
        <w:rPr>
          <w:rFonts w:ascii="Calibri" w:hAnsi="Calibri" w:cs="Calibri"/>
          <w:b/>
          <w:color w:val="1F3864"/>
          <w:sz w:val="20"/>
          <w:szCs w:val="20"/>
        </w:rPr>
        <w:t xml:space="preserve">ИИ анализ: </w:t>
      </w:r>
      <w:hyperlink r:id="rIdLink17">
        <w:r>
          <w:rPr>
            <w:rFonts w:ascii="Calibri" w:hAnsi="Calibri"/>
            <w:color w:val="2554A0"/>
            <w:u w:val="single"/>
            <w:sz w:val="20"/>
            <w:szCs w:val="20"/>
          </w:rPr>
          <w:t xml:space="preserve">https://polymarket.com/iran</w:t>
        </w:r>
      </w:hyperlink>
      <w:r>
        <w:rPr>
          <w:rFonts w:ascii="Calibri" w:hAnsi="Calibri" w:cs="Calibri"/>
          <w:color w:val="000000"/>
          <w:sz w:val="20"/>
          <w:szCs w:val="20"/>
        </w:rPr>
        <w:t xml:space="preserve"> (раздел иранских рынков — живая вероятность) </w:t>
      </w:r>
      <w:hyperlink r:id="rIdLink18">
        <w:r>
          <w:rPr>
            <w:rFonts w:ascii="Calibri" w:hAnsi="Calibri"/>
            <w:color w:val="2554A0"/>
            <w:u w:val="single"/>
            <w:sz w:val="20"/>
            <w:szCs w:val="20"/>
          </w:rPr>
          <w:t xml:space="preserve">https://www.iaea.org/newscenter/pressreleases</w:t>
        </w:r>
      </w:hyperlink>
      <w:r>
        <w:rPr>
          <w:rFonts w:ascii="Calibri" w:hAnsi="Calibri" w:cs="Calibri"/>
          <w:color w:val="000000"/>
          <w:sz w:val="20"/>
          <w:szCs w:val="20"/>
        </w:rPr>
        <w:t xml:space="preserve"> (заявления по ситуации в Иране — контекст арбитра)</w:t>
      </w:r>
    </w:p>
    <w:p>
      <w:pPr>
        <w:spacing w:before="320" w:after="140"/>
      </w:pPr>
      <w:r>
        <w:rPr>
          <w:rFonts w:ascii="Calibri" w:hAnsi="Calibri" w:cs="Calibri"/>
          <w:b/>
          <w:color w:val="1F3864"/>
          <w:sz w:val="26"/>
          <w:szCs w:val="26"/>
        </w:rPr>
        <w:t xml:space="preserve">10. Снимут ли санкции ООН с Ирана до конца 2026?</w:t>
      </w:r>
    </w:p>
    <w:tbl>
      <w:tblPr>
        <w:tblW w:w="5000" w:type="pct"/>
        <w:tblBorders>
          <w:top w:val="single" w:sz="4" w:color="D9D9D9"/>
          <w:left w:val="single" w:sz="4" w:color="D9D9D9"/>
          <w:bottom w:val="single" w:sz="4" w:color="D9D9D9"/>
          <w:right w:val="single" w:sz="4" w:color="D9D9D9"/>
          <w:insideH w:val="single" w:sz="4" w:color="D9D9D9"/>
          <w:insideV w:val="single" w:sz="4" w:color="D9D9D9"/>
        </w:tblBorders>
      </w:tblPr>
      <w:tr>
        <w:tc>
          <w:tcPr>
            <w:tcW w:w="5085" w:type="dxa"/>
            <w:tcBorders>
              <w:top w:val="single" w:sz="4" w:color="D9D9D9"/>
              <w:left w:val="single" w:sz="4" w:color="D9D9D9"/>
              <w:bottom w:val="single" w:sz="4" w:color="D9D9D9"/>
              <w:right w:val="single" w:sz="4" w:color="D9D9D9"/>
            </w:tcBorders>
            <w:shd w:val="clear" w:fill="F2F2F2"/>
            <w:tcMar>
              <w:top w:w="80" w:type="dxa"/>
              <w:bottom w:w="80" w:type="dxa"/>
              <w:left w:w="120" w:type="dxa"/>
              <w:right w:w="120" w:type="dxa"/>
            </w:tcMar>
          </w:tcPr>
          <w:p>
            <w:pPr>
              <w:jc w:val="center"/>
              <w:spacing w:before="0" w:after="0"/>
            </w:pPr>
            <w:r>
              <w:rPr>
                <w:rFonts w:ascii="Calibri" w:hAnsi="Calibri" w:cs="Calibri"/>
                <w:b/>
                <w:color w:val="1B7A3D"/>
                <w:sz w:val="22"/>
                <w:szCs w:val="22"/>
              </w:rPr>
              <w:t xml:space="preserve">ДА</w:t>
            </w:r>
          </w:p>
        </w:tc>
        <w:tc>
          <w:tcPr>
            <w:tcW w:w="5085" w:type="dxa"/>
            <w:tcBorders>
              <w:top w:val="single" w:sz="4" w:color="D9D9D9"/>
              <w:left w:val="single" w:sz="4" w:color="D9D9D9"/>
              <w:bottom w:val="single" w:sz="4" w:color="D9D9D9"/>
              <w:right w:val="single" w:sz="4" w:color="D9D9D9"/>
            </w:tcBorders>
            <w:shd w:val="clear" w:fill="F2F2F2"/>
            <w:tcMar>
              <w:top w:w="80" w:type="dxa"/>
              <w:bottom w:w="80" w:type="dxa"/>
              <w:left w:w="120" w:type="dxa"/>
              <w:right w:w="120" w:type="dxa"/>
            </w:tcMar>
          </w:tcPr>
          <w:p>
            <w:pPr>
              <w:jc w:val="center"/>
              <w:spacing w:before="0" w:after="0"/>
            </w:pPr>
            <w:r>
              <w:rPr>
                <w:rFonts w:ascii="Calibri" w:hAnsi="Calibri" w:cs="Calibri"/>
                <w:b/>
                <w:color w:val="A3261A"/>
                <w:sz w:val="22"/>
                <w:szCs w:val="22"/>
              </w:rPr>
              <w:t xml:space="preserve">НЕТ</w:t>
            </w:r>
          </w:p>
        </w:tc>
      </w:tr>
      <w:tr>
        <w:tc>
          <w:tcPr>
            <w:tcW w:w="5085"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100" w:after="100"/>
            </w:pPr>
            <w:r>
              <w:rPr>
                <w:rFonts w:ascii="Calibri" w:hAnsi="Calibri" w:cs="Calibri"/>
                <w:b/>
                <w:color w:val="1B7A3D"/>
                <w:sz w:val="26"/>
                <w:szCs w:val="26"/>
              </w:rPr>
              <w:t xml:space="preserve">12.50 (8%)</w:t>
            </w:r>
          </w:p>
        </w:tc>
        <w:tc>
          <w:tcPr>
            <w:tcW w:w="5085"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100" w:after="100"/>
            </w:pPr>
            <w:r>
              <w:rPr>
                <w:rFonts w:ascii="Calibri" w:hAnsi="Calibri" w:cs="Calibri"/>
                <w:b/>
                <w:color w:val="A3261A"/>
                <w:sz w:val="26"/>
                <w:szCs w:val="26"/>
              </w:rPr>
              <w:t xml:space="preserve">1.09 (92%)</w:t>
            </w:r>
          </w:p>
        </w:tc>
      </w:tr>
    </w:tbl>
    <w:p>
      <w:pPr>
        <w:spacing w:before="0" w:after="120"/>
      </w:pPr>
    </w:p>
    <w:p>
      <w:pPr>
        <w:spacing w:before="60" w:after="60"/>
      </w:pPr>
      <w:r>
        <w:rPr>
          <w:rFonts w:ascii="Calibri" w:hAnsi="Calibri" w:cs="Calibri"/>
          <w:b/>
          <w:color w:val="1F3864"/>
          <w:sz w:val="20"/>
          <w:szCs w:val="20"/>
        </w:rPr>
        <w:t xml:space="preserve">Засчитывается: </w:t>
      </w:r>
      <w:r>
        <w:rPr>
          <w:rFonts w:ascii="Calibri" w:hAnsi="Calibri" w:cs="Calibri"/>
          <w:color w:val="000000"/>
          <w:sz w:val="20"/>
          <w:szCs w:val="20"/>
        </w:rPr>
        <w:t xml:space="preserve">Совет Безопасности ООН принимает резолюцию, отменяющую или приостанавливающую санкции против Ирана, восстановленные 27 сентября 2025 года, до 31.12.2026.</w:t>
      </w:r>
    </w:p>
    <w:p>
      <w:pPr>
        <w:spacing w:before="60" w:after="60"/>
      </w:pPr>
      <w:r>
        <w:rPr>
          <w:rFonts w:ascii="Calibri" w:hAnsi="Calibri" w:cs="Calibri"/>
          <w:b/>
          <w:color w:val="1F3864"/>
          <w:sz w:val="20"/>
          <w:szCs w:val="20"/>
        </w:rPr>
        <w:t xml:space="preserve">Не засчитывается: </w:t>
      </w:r>
      <w:r>
        <w:rPr>
          <w:rFonts w:ascii="Calibri" w:hAnsi="Calibri" w:cs="Calibri"/>
          <w:color w:val="000000"/>
          <w:sz w:val="20"/>
          <w:szCs w:val="20"/>
        </w:rPr>
        <w:t xml:space="preserve">Односторонняя отмена санкций отдельными странами; смягчение санкций США без решения Совбеза; гуманитарные исключения; заявления о готовности снять санкции.</w:t>
      </w:r>
    </w:p>
    <w:p>
      <w:pPr>
        <w:spacing w:before="60" w:after="60"/>
      </w:pPr>
      <w:r>
        <w:rPr>
          <w:rFonts w:ascii="Calibri" w:hAnsi="Calibri" w:cs="Calibri"/>
          <w:b/>
          <w:color w:val="1F3864"/>
          <w:sz w:val="20"/>
          <w:szCs w:val="20"/>
        </w:rPr>
        <w:t xml:space="preserve">Если ситуация спорная: </w:t>
      </w:r>
      <w:r>
        <w:rPr>
          <w:rFonts w:ascii="Calibri" w:hAnsi="Calibri" w:cs="Calibri"/>
          <w:color w:val="000000"/>
          <w:sz w:val="20"/>
          <w:szCs w:val="20"/>
        </w:rPr>
        <w:t xml:space="preserve">По официальным резолюциям Совета Безопасности ООН.</w:t>
      </w:r>
    </w:p>
    <w:p>
      <w:pPr>
        <w:spacing w:before="60" w:after="60"/>
      </w:pPr>
      <w:r>
        <w:rPr>
          <w:rFonts w:ascii="Calibri" w:hAnsi="Calibri" w:cs="Calibri"/>
          <w:b/>
          <w:color w:val="1F3864"/>
          <w:sz w:val="20"/>
          <w:szCs w:val="20"/>
        </w:rPr>
        <w:t xml:space="preserve">Если данных нет вовремя: </w:t>
      </w:r>
      <w:r>
        <w:rPr>
          <w:rFonts w:ascii="Calibri" w:hAnsi="Calibri" w:cs="Calibri"/>
          <w:color w:val="000000"/>
          <w:sz w:val="20"/>
          <w:szCs w:val="20"/>
        </w:rPr>
        <w:t xml:space="preserve">Резолюции к 31.12.2026 не принято — НЕТ.</w:t>
      </w:r>
    </w:p>
    <w:p>
      <w:pPr>
        <w:spacing w:before="60" w:after="60"/>
      </w:pPr>
      <w:r>
        <w:rPr>
          <w:rFonts w:ascii="Calibri" w:hAnsi="Calibri" w:cs="Calibri"/>
          <w:b/>
          <w:color w:val="1F3864"/>
          <w:sz w:val="20"/>
          <w:szCs w:val="20"/>
        </w:rPr>
        <w:t xml:space="preserve">Источник: </w:t>
      </w:r>
      <w:r>
        <w:rPr>
          <w:rFonts w:ascii="Calibri" w:hAnsi="Calibri" w:cs="Calibri"/>
          <w:color w:val="000000"/>
          <w:sz w:val="20"/>
          <w:szCs w:val="20"/>
        </w:rPr>
        <w:t xml:space="preserve">Совет Безопасности ООН (un.org), официальные тексты резолюций.</w:t>
      </w:r>
    </w:p>
    <w:p>
      <w:pPr>
        <w:spacing w:before="120" w:after="60"/>
      </w:pPr>
      <w:r>
        <w:rPr>
          <w:rFonts w:ascii="Calibri" w:hAnsi="Calibri" w:cs="Calibri"/>
          <w:i/>
          <w:color w:val="666666"/>
          <w:sz w:val="19"/>
          <w:szCs w:val="19"/>
        </w:rPr>
        <w:t xml:space="preserve">Контекст: санкции Совбеза ООН вернули 27 сентября 2025 года по механизму автоматического восстановления — его запустили Франция, Германия и Британия, а Россия и Китай оспаривали законность процедуры. Их снятие — одно из трёх условий Ирана для окончательного урегулирования, наряду с гарантиями безопасности и репарациями. Для отмены нужна новая резолюция, которую могут заблокировать постоянные члены Совбеза. Пока переговоры по ядерной сделке не завершены, вопрос санкций остаётся заложником общего процесса.</w:t>
      </w:r>
    </w:p>
    <w:p>
      <w:pPr>
        <w:spacing w:before="60" w:after="60"/>
      </w:pPr>
      <w:r>
        <w:rPr>
          <w:rFonts w:ascii="Calibri" w:hAnsi="Calibri" w:cs="Calibri"/>
          <w:b/>
          <w:color w:val="1F3864"/>
          <w:sz w:val="20"/>
          <w:szCs w:val="20"/>
        </w:rPr>
        <w:t xml:space="preserve">ИИ анализ: </w:t>
      </w:r>
      <w:hyperlink r:id="rIdLink19">
        <w:r>
          <w:rPr>
            <w:rFonts w:ascii="Calibri" w:hAnsi="Calibri"/>
            <w:color w:val="2554A0"/>
            <w:u w:val="single"/>
            <w:sz w:val="20"/>
            <w:szCs w:val="20"/>
          </w:rPr>
          <w:t xml:space="preserve">https://www.un.org/securitycouncil/content/resolutions-0</w:t>
        </w:r>
      </w:hyperlink>
      <w:r>
        <w:rPr>
          <w:rFonts w:ascii="Calibri" w:hAnsi="Calibri" w:cs="Calibri"/>
          <w:color w:val="000000"/>
          <w:sz w:val="20"/>
          <w:szCs w:val="20"/>
        </w:rPr>
        <w:t xml:space="preserve"> (резолюции Совбеза ООН — арбитр факта) </w:t>
      </w:r>
      <w:hyperlink r:id="rIdLink20">
        <w:r>
          <w:rPr>
            <w:rFonts w:ascii="Calibri" w:hAnsi="Calibri"/>
            <w:color w:val="2554A0"/>
            <w:u w:val="single"/>
            <w:sz w:val="20"/>
            <w:szCs w:val="20"/>
          </w:rPr>
          <w:t xml:space="preserve">https://polymarket.com/iran/peace-deal</w:t>
        </w:r>
      </w:hyperlink>
      <w:r>
        <w:rPr>
          <w:rFonts w:ascii="Calibri" w:hAnsi="Calibri" w:cs="Calibri"/>
          <w:color w:val="000000"/>
          <w:sz w:val="20"/>
          <w:szCs w:val="20"/>
        </w:rPr>
        <w:t xml:space="preserve"> (раздел рынков по урегулированию — живая вероятность)</w:t>
      </w:r>
    </w:p>
    <w:sectPr>
      <w:pgSz w:w="12240" w:h="15840"/>
      <w:pgMar w:top="1000" w:right="1000" w:bottom="1000" w:left="1000" w:header="720" w:footer="720" w:gutter="0"/>
    </w:sectPr>
  </w:body>
</w:document>
</file>

<file path=word/_rels/document.xml.rels><?xml version="1.0" encoding="UTF-8" standalone="yes"?><Relationships xmlns="http://schemas.openxmlformats.org/package/2006/relationships"><Relationship Id="rIdLink1" Type="http://schemas.openxmlformats.org/officeDocument/2006/relationships/hyperlink" Target="https://polymarket.com/iran" TargetMode="External"/><Relationship Id="rIdLink2" Type="http://schemas.openxmlformats.org/officeDocument/2006/relationships/hyperlink" Target="https://straits.live/" TargetMode="External"/><Relationship Id="rIdLink3" Type="http://schemas.openxmlformats.org/officeDocument/2006/relationships/hyperlink" Target="https://polymarket.com/event/us-iran-final-nuclear-deal-by-20260621201254412" TargetMode="External"/><Relationship Id="rIdLink4" Type="http://schemas.openxmlformats.org/officeDocument/2006/relationships/hyperlink" Target="https://www.iaea.org/newscenter/pressreleases" TargetMode="External"/><Relationship Id="rIdLink5" Type="http://schemas.openxmlformats.org/officeDocument/2006/relationships/hyperlink" Target="https://www.reuters.com/world/middle-east/" TargetMode="External"/><Relationship Id="rIdLink6" Type="http://schemas.openxmlformats.org/officeDocument/2006/relationships/hyperlink" Target="https://www.aljazeera.com/where/iran/" TargetMode="External"/><Relationship Id="rIdLink7" Type="http://schemas.openxmlformats.org/officeDocument/2006/relationships/hyperlink" Target="https://polymarket.com/iran/military-strikes" TargetMode="External"/><Relationship Id="rIdLink8" Type="http://schemas.openxmlformats.org/officeDocument/2006/relationships/hyperlink" Target="https://www.centcom.mil/MEDIA/PRESS-RELEASES/" TargetMode="External"/><Relationship Id="rIdLink9" Type="http://schemas.openxmlformats.org/officeDocument/2006/relationships/hyperlink" Target="https://www.reuters.com/world/middle-east/" TargetMode="External"/><Relationship Id="rIdLink10" Type="http://schemas.openxmlformats.org/officeDocument/2006/relationships/hyperlink" Target="https://www.aljazeera.com/where/iran/" TargetMode="External"/><Relationship Id="rIdLink11" Type="http://schemas.openxmlformats.org/officeDocument/2006/relationships/hyperlink" Target="https://polymarket.com/iran/nuclear" TargetMode="External"/><Relationship Id="rIdLink12" Type="http://schemas.openxmlformats.org/officeDocument/2006/relationships/hyperlink" Target="https://www.iaea.org/newscenter/pressreleases" TargetMode="External"/><Relationship Id="rIdLink13" Type="http://schemas.openxmlformats.org/officeDocument/2006/relationships/hyperlink" Target="https://www.iaea.org/newscenter/pressreleases" TargetMode="External"/><Relationship Id="rIdLink14" Type="http://schemas.openxmlformats.org/officeDocument/2006/relationships/hyperlink" Target="https://polymarket.com/iran/nuclear" TargetMode="External"/><Relationship Id="rIdLink15" Type="http://schemas.openxmlformats.org/officeDocument/2006/relationships/hyperlink" Target="https://polymarket.com/iran/nuclear" TargetMode="External"/><Relationship Id="rIdLink16" Type="http://schemas.openxmlformats.org/officeDocument/2006/relationships/hyperlink" Target="https://www.iaea.org/newscenter/pressreleases" TargetMode="External"/><Relationship Id="rIdLink17" Type="http://schemas.openxmlformats.org/officeDocument/2006/relationships/hyperlink" Target="https://polymarket.com/iran" TargetMode="External"/><Relationship Id="rIdLink18" Type="http://schemas.openxmlformats.org/officeDocument/2006/relationships/hyperlink" Target="https://www.iaea.org/newscenter/pressreleases" TargetMode="External"/><Relationship Id="rIdLink19" Type="http://schemas.openxmlformats.org/officeDocument/2006/relationships/hyperlink" Target="https://www.un.org/securitycouncil/content/resolutions-0" TargetMode="External"/><Relationship Id="rIdLink20" Type="http://schemas.openxmlformats.org/officeDocument/2006/relationships/hyperlink" Target="https://polymarket.com/iran/peace-deal" TargetMode="External"/></Relationships>
</file>