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Экономика России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бензин АИ-95 в России превысит 85 рублей за литр?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5.88 (17%)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1.20 (83%)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превысит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средняя розничная цена бензина АИ-95 по России впервые достигает 85 рублей за литр или выше хотя бы в одном недельном замере Росстата, в период с августа по декабрь 2026,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Цены отдельных регионов и заправок; цена АИ-92 и дизеля; биржевые котировки вместо розничных; замеры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Росстата о средних потребительских ценах на бензин и дате замера.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достигнут — «Не превысит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Росстат, недельный мониторинг потребительских цен.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 последнюю неделю июля АИ-95 подорожал до 79.94 рубля за литр, АИ-92 — до 73.85. Годовой рост цен на бензин достиг 20% — рекорд с 2010 года. Около трети мощностей НПЗ простаивают после атак дронов, с июня действует полный запрет на экспорт бензина, с 8 июля — на дизель. В Москве и Петербурге очереди ушли, но в регионах лимиты сохраняются. Эксперты ждут стабилизации только в четвёртом квартале и только если по НПЗ не будет новых ударов.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https://rosstat.gov.ru/statistics/price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(недельный мониторинг цен Росстата — арбитр факта)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российских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порог пересчитать по последнему замеру Росстата.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Когда лимиты на продажу бензина снимут в 30 регионах России?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3.85 (26%)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1.35 (74%)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5.26 (19%)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1.23 (81%)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снимут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число регионов России с действующими ограничениями на розничную продажу бензина — лимиты на литры в одни руки, продажа по талонам или QR-кодам — впервые опускается до 10 или менее, в период с 09.08.2026 по 31.12.2026. Отсчёт от более чем 40 регионов на начало августа.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Снижение цен без снятия лимитов; отмена ограничений на отдельных АЗС при сохранении региональных; смягчение лимита (например, с 20 до 30 литров) без полной отмены; заявления властей без отмены нормативных актов; события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правительств регионов об отмене ограничений и сводкам Минэнерго; при разногласиях — по данным ФАС.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ограничения действуют более чем в 10 регионах — «Не снимут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Правительства регионов, Минэнерго России, ФАС.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ограничения на продажу бензина действуют более чем в 40 регионах, в Крыму — режим ЧС и продажа по QR-кодам. Причина: около трети мощностей НПЗ простаивают после атак дронов, с июня запрещён экспорт бензина, с 8 июля — дизеля. В Москве и Петербурге очереди ушли, но в Иркутской области, в Бодайбо, АИ-95 нет вообще. Эксперты ждут стабилизации не раньше четвёртого квартала и только если по НПЗ не будет новых ударов.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https://minenergo.gov.ru/press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Минэнерго — арбитр факта)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https://rosstat.gov.ru/statistics/price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(недельный мониторинг цен на топливо —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порог пересчитать по актуальному числу регионов с лимитами.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Когда Urals опустится ниже 38 долларов за баррель?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5.88 (17%)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1.20 (83%)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опустится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среднемесячная цена российской нефти Urals впервые опускается ниже 38 долларов за баррель, по данным Минфина России, используемым для расчёта налогов, в период с августа по декабрь 2026. Резолюция по каждой месячной публикации Минфина, окончательная —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Однодневные котировки без месячного среднего; цены других сортов российской нефти (ESPO, Sokol); месяцы до августа 2026; данные ценовых агентств, расходящиеся с расчётом Минфина.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Минфина России о средней цене Urals за месяц.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публикации данных за декабрь 2026 порог не пройден — «Не опустится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Минфин России, среднемесячная цена Urals.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июле Urals стоила 41.66 доллара за баррель — довоенный уровень, при том что в июне на пике проблем с Ормузским проливом доходила до 60.92. До порога в 38 долларов осталось меньше четырёх. Падение бьёт прямо по бюджету: дефицит за пять месяцев достиг 6 трлн рублей, 2.6% ВВП, и уже на 60% превысил план на весь год. Цена отсечения в бюджетном правиле — 59 долларов, то есть каждый баррель ниже означает изъятие из ФНБ.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https://minfin.gov.ru/ru/statistics/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данные Минфина о цене Urals — арбитр факта)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https://tradingeconomics.com/commodity/brent-crude-oil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(котировки нефти — динамика мирового рынка)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порог пересчитать по последней среднемесячной цене Минфина.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Когда США или ЕС ужесточат санкции против российской нефти?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ужесточат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США либо Евросоюз впервые вводят санкции, прямо направленные против экспорта российской нефти или нефтепродуктов — снижение потолка цен, санкции против покупателей, блокирующие санкции против нефтяных компаний или судов теневого флота, — в период с августа по декабрь 2026,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Продление уже действующих санкций без ужесточения; санкции против физических лиц без привязки к нефтяному экспорту; законопроекты без вступления в силу; меры отдельных стран за пределами США и ЕС; события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датам официальных публикаций Минфина США (OFAC) и Официального журнала Европейского союза.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мер не принято — «Не ужесточат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Минфин США (OFAC), Совет ЕС, Официальный журнал Европейского союза.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потолок цен G7 в 60 долларов действует с 2022 года, но Urals упала до 41.66 — то есть потолок перестал быть ограничением, и обсуждается его снижение. В Конгрессе США лежит законопроект о пошлинах до 200% для крупнейших покупателей российской нефти, прежде всего Китая и Индии. Адаптация российского экспорта к последним американским санкциям, по оценкам, завершится только к 2027 году. Каждый новый пакет бьёт по нефтегазовым доходам, которые и так упали.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https://ofac.treasury.gov/recent-actions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(санкционные решения США — арбитр факта)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https://www.consilium.europa.eu/en/policies/sanctions-against-russia/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(санкции ЕС против России)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Когда Сбербанк или ВТБ запустят цифровой рубль для клиентов?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запустят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Сбербанк, ВТБ или Альфа-Банк впервые открывает всем своим розничным клиентам доступ к операциям с цифровым рублём — открытие счёта, переводы и оплата — в штатном режиме, по подтверждению Банка России или официальному сообщению самого банка,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Пилотные и тестовые проекты; доступ для сотрудников банка или ограниченной группы клиентов; запуск у других банков; приём цифрового рубля только для бюджетных выплат; анонсы без фактического запуска; события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Банка России и пресс-релизам банка с датой запуска.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ни один из трёх банков не запустил массовый доступ — «Не запустят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 (cbr.ru), пресс-службы Сбербанка, ВТБ и Альфа-Банка.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закону массовое внедрение цифрового рубля стартует 1 сентября 2026 — именно эти три банка как системно значимые обязаны первыми дать клиентам доступ. Набиуллина подчёркивает, что для граждан переход добровольный. Сроки внедрения уже сдвигались раньше, поэтому вопрос не в обязанности, а в том, будет ли реальный запуск в назначенный месяц или снова уедет.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https://www.cbr.ru/fintech/dr/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статус проекта цифрового рубля — арбитр факта)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российских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Что решит Банк России по ключевой ставке на заседании 11 сентября?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Снизит до 13.75% или ниже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Сохранит 14.00%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Повысит ставку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Официальное решение Совета директоров Банка России по ключевой ставке на заседании 11.09.2026 в сравнении с действующим уровнем 14.00%.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и сигналы о будущих шагах без решения; решения на других заседаниях; изменение других ставок Банка России.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пресс-релизу Банка России от 11.09.2026.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заседание перенесено — резолюция по первому состоявшемуся заседанию после 11.09.2026, но не позднее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 (cbr.ru/press/keypr).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24 июля ЦБ снизил ставку на 25 базисных пунктов до 14.00% — четвёртое подряд осторожное смягчение. Но одновременно регулятор поднял прогноз инфляции на 2026 год до 6.0-7.0% именно из-за подорожавшего топлива и повысил траекторию ставки: в среднем 14.5-14.6% за год. То есть ЦБ снижает и сразу предупреждает, что дальше будет медленнее. Топливный кризис и рекордный дефицит бюджета тянут в сторону паузы, замедление экономики — в сторону снижения.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https://www.cbr.ru/dkp/cal_mp/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(календарь и решения Банка России — арбитр факта)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российских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после заседания 11.09.2026 перепривязать к следующему заседанию (октябрь, декабрь) и пересчитать цены по фактической ставке.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Когда ликвидная часть ФНБ опустится ниже 3 трлн рублей?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3.85 (26%)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1.35 (74%)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опустится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2.56 (39%)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1.64 (61%)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ликвидная часть Фонда национального благосостояния — средства в юанях, золоте и на счетах Банка России — впервые оказывается ниже 3 трлн рублей по официальным месячным данным Минфина, в период с августа по декабрь 2026,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Общий объём ФНБ вместе с неликвидными активами; снижение из-за курсовой переоценки без фактических трат, если Минфин выделяет это отдельно; оценки аналитиков; данные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ежемесячным публикациям Минфина о структуре ФНБ и дате.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публикации данных за декабрь 2026 порог не пройден — «Не опустится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Минфин России, ежемесячная отчётность о ФНБ.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ликвидная часть ФНБ — около 3.9 трлн рублей при общем объёме фонда порядка 13.4 трлн. Это подушка, которой закрывают дефицит бюджета, а он за пять месяцев достиг 6 трлн и уже на 60% превысил годовой план. Нефть при этом упала до 41.66 доллара при цене отсечения 59 — то есть каждый месяц из фонда изымают выпадающие доходы. Правительство пытается занимать через ОФЗ, чтобы не палить кубышку, но при ставке 14% занимать дорого.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https://minfin.gov.ru/ru/perfomance/nationalwealthfund/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данные о структуре ФНБ — арбитр факта)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https://minfin.gov.ru/ru/statistics/fedbud/execute/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(исполнение бюджета — источник трат из фонда)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порог пересчитать по последнему объёму фонда.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Когда рыночная ипотека в России опустится ниже 14%?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опустится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средневзвешенная ставка по рыночной (не льготной) ипотеке на новостройки или вторичное жильё впервые опускается ниже 14% годовых по месячному замеру Банка России или ДОМ.РФ, в период с августа по декабрь 2026,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Ставки по льготным программам (семейная, IT, дальневосточная); разовые акции отдельных банков; ставки без официального замера регулятора; замеры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Банка России о средневзвешенных ставках ипотеки и дате замера.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пройден — «Не опустится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России, ДОМ.РФ.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снижения 24 июля ключевая ставка 14.00%, рыночная ипотека держится около 15-17% годовых, льготные программы — 6-9%. ЦБ повысил прогноз средней ставки за год до 14.5-14.6%, то есть быстрого смягчения не будет. Чтобы рыночная ипотека ушла ниже 14%, ключевая должна опуститься существенно — а до конца года осталось всего три заседания.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https://www.cbr.ru/statistics/bank_sector/mortgage/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данные ЦБ по ставкам ипотеки — арбитр факта)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https://xn--d1aqf.xn--p1ai/analytics/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(аналитика ДОМ.РФ по ипотечному рынку — динамика ставок)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следующие, цены пересчитать по ключевой ставке.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Какой регион первым поднимет подъёмные контрактникам до 5 млн?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Санкт-Петербург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Москва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Краснодарский край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Татарстан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поднимет ни один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3.12 (32%)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1.47 (68%)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Субъект Российской Федерации, который первым по хронологии устанавливает единовременную выплату при заключении первого контракта на военную службу — подъёмные, суммарно федеральные 400 тысяч плюс региональная часть — в размере 5 млн рублей или выше, по официальному акту главы региона или регионального правительства,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Ежемесячное денежное довольствие и его повышение; выплаты за ранения, награды и участие в конкретных операциях; выплаты семьям погибших; суммы, посчитанные за весь срок контракта; выплаты при продлении контракта; акты, подписанные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дате подписания официального акта региона; при расхождении сумм — по сводной таблице подъёмных на gogov.ru.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порог не достигнут ни в одном регионе — «Не поднимет ни один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порталы правовой информации субъектов РФ; сводные данные gogov.ru.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подъёмные при подписании контракта складываются из федеральных 400 тысяч и региональной надбавки, разброс огромный — от 800 тысяч до 4.5 млн рублей. Рекорд держит Санкт-Петербург с 4.5 млн, за ним Краснодарский край с 3.4 млн и Татарстан с 2.9 млн. В 2025 году регионы выплаты урезали, но 2026-й начался с их возобновления, а в конце июля сразу несколько регионов подняли суммы. Петербургу до планки в 5 млн осталось полмиллиона — он ближе всех.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https://gogov.ru/articles/contract-payroll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(сводная таблица подъёмных по регионам — арбитр факта)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https://publication.pravo.gov.ru/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публикация региональных актов)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актуальным суммам подъёмных, при появлении нового лидера обновить список вариантов.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Когда Минфин снизит цену отсечения нефти в бюджетном правиле?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5.88 (17%)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1.20 (83%)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снизит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1.96 (51%)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2.04 (49%)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Минфин России или правительство официально снижает базовую цену отсечения нефти в бюджетном правиле с текущих 59 долларов за баррель до любого меньшего значения, в период с августа по декабрь 2026,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Обсуждения и предложения без официального решения; приостановка операций по бюджетному правилу без изменения самой цены отсечения; изменение других параметров правила; решения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документам Минфина и постановлениям правительства с датой публикации.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цена отсечения не снижена — «Не снизит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Минфин России, постановления правительства.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цена отсечения в бюджетном правиле — 59 долларов за баррель, а Urals в июле стоила 41.66. Каждый доллар ниже отсечения означает, что выпадающие доходы закрывают из ФНБ, ликвидная часть которого уже сократилась примерно до 3.9 трлн рублей. Обсуждается снижение планки до 50 долларов: это уменьшило бы изъятия из фонда, но одновременно означало бы официальное признание, что дорогая нефть не вернётся.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https://minfin.gov.ru/ru/document/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документы Минфина — арбитр факта)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https://minfin.gov.ru/ru/perfomance/nationalwealthfund/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(данные о ФНБ — источник покрытия дефицита)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Когда Минфин разместит ОФЗ более чем на 1 трлн рублей за месяц?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3.70 (27%)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1.37 (73%)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разместит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валовой объём размещения облигаций федерального займа впервые превышает 1 трлн рублей по итогам аукционов, по официальным данным Минфина России, в период с августа по декабрь 2026,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Объём заявок вместо фактического размещения; размещения региональных и корпоративных облигаций; выкуп и погашение бумаг; данные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Минфина об итогах аукционов ОФЗ за месяц.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публикации данных за декабрь 2026 порог не пройден — «Не разместит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Минфин России, итоги аукционов ОФЗ.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рекордный дефицит бюджета вынуждает Минфин занимать агрессивно, и ОФЗ — основной инструмент, чтобы не тратить ФНБ. Но при ключевой ставке 14% обслуживание долга обходится дорого, а индекс гособлигаций RGBI просел к минимумам — инвесторы требуют высокой доходности. Осенью, когда бюджетный дефицит традиционно раздувается расходами, Минфину придётся выходить на рынок особенно крупными объёмами.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https://minfin.gov.ru/ru/perfomance/public_debt/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статистика размещений — арбитр факта)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https://www.cbr.ru/hd_base/keyrate/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(ключевая ставка — стоимость заимствований)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Когда правительство внесёт в Госдуму проект бюджета на 2027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1.79 (56%)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2.27 (44%)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3.12 (32%)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1.47 (68%)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внесёт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правительство России вносит в Госдуму проект федерального закона о федеральном бюджете на 2027 год и плановый период, по дате регистрации законопроекта в системе обеспечения законодательной деятельности,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Одобрение проекта на заседании правительства без внесения в Госдуму; внесение поправок в действующий бюджет 2026 года; проекты бюджетов внебюджетных фондов, вносимые отдельно; принятие в чтениях (считается именно дата внесения); события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дате регистрации законопроекта на sozd.duma.gov.ru.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проект не внесён — «Не внесёт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Госдума (sozd.duma.gov.ru), Минфин России.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Бюджетному кодексу правительство обязано внести проект бюджета до 1 октября, и обычно это происходит в конце сентября. Именно в этом документе станет видно, урежут ли военные расходы: в бюджете-2026 на оборону заложено 12.9 трлн рублей, а трёхлетний план на 2027 год предполагает 13.564 трлн. Вместе с безопасностью оборона съедает 38% всех трат. Дефицит за пять месяцев достиг 6 трлн и превысил годовой план на 60%, нефть упала до 41.66 доллара — значит либо резать расходы, либо занимать, либо повышать налоги.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 с датами внесения — арбитр факта)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https://minfin.gov.ru/ru/statistics/fedbud/execute/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(исполнение бюджета — состояние казны)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убрать; после внесения перепривязать к принятию в первом чтении.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13. Когда импорт бензина в Россию превысит 50 тысяч тонн за месяц?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превысит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импорт автомобильного бензина в Россию впервые превышает 50 тысяч тонн по данным Федеральной таможенной службы или Росстата, в период с 01.08.2026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Разовые партии, не набирающие месячного объёма; импорт дизеля и авиакеросина; транзит через территорию России; разрешения и договорённости без фактических поставок; месяцы до августа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Федеральной таможенной службы о месячных объёмах импорта.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публикации данных за декабрь 2026 порог не пройден — «Не превысит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Федеральная таможенная служба, Росстат, Минэнерго России.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власти пошли на редкий шаг — разрешили импорт бензина, включая морские поставки, и дали демпфер импортёрам. Беларусь уже нарастила отгрузку, в Индии закуплено не менее 60 тысяч тонн, обсуждаются поставки из Казахстана. Но импортное топливо дороже: АИ-92 из-за рубежа около 99 тысяч рублей за тонну против 66 тысяч на бирже. Вопрос в том, выйдет ли импорт на постоянный объём или останется разовыми партиями.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https://minenergo.gov.ru/press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Минэнерго — арбитр факта) </w:t>
      </w:r>
      <w:hyperlink r:id="rIdLink2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https://rosstat.gov.ru/statistics/price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(мониторинг цен на топливо — следствие дефицита)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14. Когда правительство утвердит индекс роста тарифов ЖКХ на 2027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утвердит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правительство России официально утверждает средний по стране индекс изменения платы граждан за коммунальные услуги на 2027 год — распоряжением правительства либо в составе утверждённого прогноза социально-экономического развития, — в период с августа по декабрь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Проекты и обсуждения без утверждения; региональные предельные индексы без среднего по стране; параметры на 2028 год и далее; документы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дате официальной публикации распоряжения правительства или прогноза Минэкономразвития.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индекс не утверждён — «Не утвердит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России, Минэкономразвития, ФАС.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тарифы ЖКХ в 2026 году подняли дважды — на 1.7% с января и на 11.7% с 1 октября. На 2027 год Минэк ранее закладывал около 7.9%, но инфляция ушла выше: Банк России поднял прогноз до 6.0-7.0% из-за топлива. Параметр уточняют осенью вместе с бюджетным пакетом, и от него напрямую зависит платёжка каждой семьи. Чем позже утвердят, тем выше шанс, что цифру подгонят под фактическую инфляцию.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https://www.economy.gov.ru/material/directions/makroec/prognozy_socialno_ekonomicheskogo_razvitiya/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(прогнозы Минэкономразвития — официальные параметры) </w:t>
      </w:r>
      <w:hyperlink r:id="rIdLink2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(бюджетный пакет в Госдуме — ход принятия)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15. Когда правительство внесёт в Госдуму МРОТ на 2027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внесёт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правительство России вносит в Госдуму законопроект, устанавливающий минимальный размер оплаты труда с 1 января 2027 года, по дате регистрации законопроекта в системе обеспечения законодательной деятельности, в период с августа по декабрь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Обсуждения в правительстве и трёхсторонней комиссии без внесения; законопроекты депутатов и региональных парламентов; принятие закона в чтениях (считается именно внесение); документы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дате регистрации законопроекта на sozd.duma.gov.ru.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законопроект не внесён — «Не внесёт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Госдума (sozd.duma.gov.ru), Минтруд России.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федеральный МРОТ сейчас 27 093 рубля — повышен на 20.7% с января 2026. Власти обещают довести его до 35 тысяч к 2030 году, повышая опережающими темпами. Значение на 2027 год вносят вместе с бюджетным пакетом осенью, обычно в сентябре-октябре. От суммы зависят зарплаты миллионов бюджетников и расчёт больничных, а бюджет при этом с рекордным дефицитом.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 с датами внесения — арбитр факта) </w:t>
      </w:r>
      <w:hyperlink r:id="rIdLink3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https://mintrud.gov.ru/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Минтруда — параметры МРОТ)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16. Превысят ли расходы на соцполитику 8 трлн рублей за 2026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2.44 (41%)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1.69 (59%)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Фактические расходы федерального бюджета России по разделу «Социальная политика» за 2026 год превышают 8 трлн рублей по данным Минфина об исполнении бюджета. Резолюция по отчёту об исполнении за 2026 год, публикуемому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Плановые значения из закона о бюджете; расходы региональных бюджетов и внебюджетных фондов, не входящие в федеральный раздел; расходы на здравоохранение и образование, идущие по другим разделам; помесячные данные.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отчёту Минфина об исполнении федерального бюджета за 2026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первым доступным официальным данным об исполнении бюджета за 2026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Минфин России, отчётность об исполнении федерального бюджета.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бюджете на 2026 год социальные расходы заложены в 7.1 трлн рублей против 12.9 трлн на оборону — почти вдвое меньше. При этом дефицит за пять месяцев достиг 6 трлн и уже превысил годовой план на 60%, а нефть упала до 41.66 доллара за баррель. Когда денег не хватает, выбор между обороной и социалкой становится буквальным: индексация выплат по фактической инфляции стоит дороже, чем по прогнозной, и разница видна в этом разделе.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https://minfin.gov.ru/ru/statistics/fedbud/execute/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данные об исполнении бюджета — арбитр факта) </w:t>
      </w:r>
      <w:hyperlink r:id="rIdLink3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(законопроекты о поправках в бюджет — ход решений)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17. Какой будет ключевая ставка Банка России на конец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13% и выше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11% до 13%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2.22 (45%)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1.82 (55%)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Ниже 11%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Уровень ключевой ставки Банка России по состоянию на 31 декабря 2026 (последнее заседание 2026 года — в декабре). Резолюция по диапазону, в который попадает ставка.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Промежуточные значения в течение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решениям Банка России.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ставке, действующей на 31 декабря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 (cbr.ru/hd_base/keyrate).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24 июля ЦБ снизил ставку до 14.00%. Прогноз самого регулятора по средней ставке за год повышен до 14.5-14.6%, на 2027 год — 10.5-12.5%. Инфляционный прогноз тоже поднят, до 6.0-7.0%, именно из-за топлива. До конца года три заседания: сентябрь, октябрь, декабрь.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https://www.cbr.ru/hd_base/keyrate/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(архив решений по ключевой ставке — арбитр факта) </w:t>
      </w:r>
      <w:hyperlink r:id="rIdLink3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https://www.cbr.ru/dkp/cal_mp/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(календарь заседаний и прогнозы — ближайшие развилки)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18. Сколько раз Банк России снизит ставку на 3 оставшихся заседаниях?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разу (пауза или повышение)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Один–два раза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1.82 (55%)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2.22 (45%)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Три раза и более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Число заседаний Банка России, на которых ключевая ставка была снижена, из трёх оставшихся в 2026 году — 11 сентября, октябрьское и декабрьское. Резолюция по итогам последнего заседания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Сохранение или повышение ставки (не считаются снижением), сигналы без решения.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решениям Банка России.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фактическим решениям на конец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 (cbr.ru/dkp/cal_mp).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24 июля ЦБ снизил ставку до 14.00% — четвёртое подряд снижение по 25 базисных пунктов. До конца года осталось три заседания: 11 сентября, октябрьское и декабрьское. Регулятор одновременно поднял прогноз инфляции на год до 6.0-7.0% из-за подорожавшего топлива и повысил траекторию ставки до среднего уровня 14.5-14.6% за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https://www.cbr.ru/dkp/cal_mp/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(календарь и решения Банка России — арбитр факта) </w:t>
      </w:r>
      <w:hyperlink r:id="rIdLink3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российских рынков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19. Какой будет годовая инфляция в России по итогам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Ниже 5.5%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5.5% до 6.5%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2.63 (38%)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1.61 (62%)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6.5% до 7.5%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2.63 (38%)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1.61 (62%)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7.5% и выше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Годовая инфляция (индекс потребительских цен, декабрь к декабрю) по итогам 2026 года по данным Росстата. Резолюция по диапазону, в который попадает итоговое значение. Резолюция по первой публикации Росстата с годовым индексом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Промежуточные месячные данные, оценки в годовом выражении на середину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Росстата за декабрь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первой официальной оценке Росстата за 2026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Росстат; Банк России (cbr.ru/hd_base/infl).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24 июля Банк России резко поднял прогноз инфляции на 2026 год — до 6.0-7.0% против прежних 4.5-5.5%, и назвал причину прямо: значительный рост цен на топливо. За неделю июля АИ-92 подорожал до 73.85 рубля, АИ-95 — до 79.94, годовой рост цен на бензин достиг 20%, рекорд с 2010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https://rosstat.gov.ru/statistics/price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мониторинг цен Росстата — арбитр факта)   </w:t>
      </w:r>
      <w:hyperlink r:id="rIdLink3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https://www.cbr.ru/hd_base/infl/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статистика инфляции Банка России)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20. Войдёт ли экономика России в техническую рецессию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2.86 (35%)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Официально зафиксированы два квартала подряд снижения ВВП России (с поправкой на сезонность) по данным Росстата в течение 2026 года. Резолюция по данным Росстата за четвёртый квартал 2026, публикуемым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Замедление роста без спада, снижение одного квартала, прогнозы без фактических данных.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Росстата о квартальном ВВП.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моменту публикации данных два квартала спада подряд не зафиксированы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Росстат (rosstat.gov.ru).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начало августа 2026 рост ВВП резко замедлился (май +0,3% годовых), деловая активность в услугах падает третий месяц (PMI 48,2). ЦБ не ждёт спада и прогнозирует рост 0,5–1,5% за год, но признаёт риски. Техническая рецессия возможна, если топливный кризис и слабый спрос ударят по кварталам.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https://rosstat.gov.ru/statistics/accounts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оценка ВВП Росстата — арбитр факта)   </w:t>
      </w:r>
      <w:hyperlink r:id="rIdLink4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профильных рынков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21. Вырастут ли реальные зарплаты россиян по итогам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1.43 (70%)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3.33 (30%)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Официальный показатель Росстата «реальная начисленная заработная плата» (номинальная зарплата, скорректированная на индекс потребительских цен) за 2026 год выше уровня 2025 года — то есть годовая динамика положительная (выше 100%). Резолюция по первой годовой оценке Росстата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Рост только номинальных зарплат без поправки на инфляцию, данные по отдельным отраслям или месяцам, медианная зарплата (учитывается именно средняя по методике Росстата).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Росстата.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первой официальной годовой оценке Росстата.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Росстат (rosstat.gov.ru).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начало августа 2026 номинальные зарплаты растут двузначными темпами из-за дефицита кадров, аналитики прогнозируют рост реальной зарплаты на ~3,9% за год. Но замедление экономики и рост цен на топливо могут притормозить динамику. Пока рынок труда остаётся жёстким (безработица около 2%).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https://rosstat.gov.ru/labour_force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данные Росстата по зарплатам — арбитр факта) </w:t>
      </w:r>
      <w:hyperlink r:id="rIdLink4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https://rosstat.gov.ru/statistics/price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(инфляция — вторая половина расчёта реальной зарплаты)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22. Превысит ли безработица в России 3%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5.00 (20%)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Уровень безработицы в России достигает или превышает 3% хотя бы по одному месячному замеру Росстата до 31 декабря 2026,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Рост безработицы без достижения 3%, данные по отдельным регионам.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Росстата.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 декабря 2026 порог 3% не достигнут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Росстат (rosstat.gov.ru).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начало августа 2026 безработица на историческом минимуме — около 2,1%. Но деловая активность падает: PMI услуг ниже 50, занятость в секторе сокращается пятый месяц подряд. Если замедление экономики усилится, безработица может подрасти, хотя дефицит кадров сдерживает рост.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https://rosstat.gov.ru/labour_force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данные Росстата по безработице — арбитр факта) </w:t>
      </w:r>
      <w:hyperlink r:id="rIdLink4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https://www.cbr.ru/analytics/dkp/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(аналитика ЦБ о рынке труда — динамика)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23. Какой рост ВВП покажет Россия по итогам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Спад или почти ноль (менее 0,5%)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Умеренный рост (0,5–1,5%)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2.00 (50%)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2.00 (50%)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Рост выше 1,5%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Рост ВВП России за 2026 год по первой официальной оценке Росстата. Резолюция по диапазону, в который попадает итоговое значение. Резолюция по первой годовой оценке Росстата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Квартальные данные, прогнозы Минэка или ЦБ без фактической оценки.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данным Росстата.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первой официальной годовой оценке Росстата.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Росстат (rosstat.gov.ru).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начало августа 2026 рост ВВП резко замедлился: в мае всего +0,3% годовых (после +1,9% в марте). Минэк ухудшил прогноз до 0,4%, ЦБ держит 0,5–1,5%, консенсус аналитиков — 0,7%. Топливный кризис и падение деловой активности (PMI услуг ниже 50) тянут экономику вниз.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https://rosstat.gov.ru/statistics/accounts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оценка ВВП Росстата — арбитр факта) </w:t>
      </w:r>
      <w:hyperlink r:id="rIdLink4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https://www.economy.gov.ru/material/directions/makroec/prognozy_socialno_ekonomicheskogo_razvitiya/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(прогнозы Минэкономразвития — ожидания)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24. Каким будет дефицит федерального бюджета России по итогам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5 трлн рублей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5 до 8 трлн рублей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1.82 (55%)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2.22 (45%)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8 трлн рублей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Итоговый дефицит федерального бюджета РФ за 2026 год по данным Минфина (предварительная оценка исполнения). Резолюция по диапазону, в который попадает итоговое значение. Резолюция по оценке Минфина об исполнении бюджета за 2026 год после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Промежуточные помесячные данные, плановые (законодательно утверждённые) значения.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оценке Минфина исполнения бюджета за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первой официальной оценке Минфина за 2026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Минфин РФ (minfin.gov.ru).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начало августа 2026 план дефицита был 3,79 трлн рублей (1,6% ВВП), но по факту за январь–май он достиг 6,01 трлн (2,6% ВВП) — годовой план уже превышен из-за опережающих расходов. Экс-министр Задорнов прогнозирует консолидированный дефицит до 8 трлн. Часть могут закрыть нефтедоходы и заимствования через ОФЗ.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https://minfin.gov.ru/ru/statistics/fedbud/execute/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статистика исполнения бюджета — арбитр факта) </w:t>
      </w:r>
      <w:hyperlink r:id="rIdLink4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https://www.cbr.ru/hd_base/infl/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(инфляция и макропоказатели ЦБ — контекст доходов бюджета)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25. На сколько проиндексируют страховые пенсии в России с 1 февраля 2027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5%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5% до 7%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1.82 (55%)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2.22 (45%)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7%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Размер индексации страховых пенсий с 1 февраля 2027 года (первый этап, привязанный к фактической инфляции за 2026 год) по официальному постановлению правительства. Резолюция по диапазону, в который попадает утверждённый процент.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Прогнозы и проекты без утверждения, индексация социальных или военных пенсий (у них отдельный график), апрельский этап.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документам правительства и Соцфонда.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первому официально утверждённому проценту февральской индексации 2027 (обычно объявляется в январе–феврале 2027). Вопрос закрывается сразу после официального объявления процента.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РФ, Социальный фонд России (СФР).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начало августа 2026 с 2027 года возвращается двухэтапная индексация страховых пенсий: 1 февраля — по фактической инфляции за 2026 год, 1 апреля — по доходам СФР. Точный процент зависит от итоговой инфляции-2026, которая сейчас прогнозируется в районе 5–6,5%. В 2026 году пенсии повысили один раз — на 7,6% с января.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https://sfr.gov.ru/grazhdanam/pensionnoe_obespechenie/indeksacia_strahovth_pensij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Соцфонда по индексации — арбитр факта) </w:t>
      </w:r>
      <w:hyperlink r:id="rIdLink5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https://rosstat.gov.ru/statistics/price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(инфляция Росстата — база для расчёта индексации)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26. Проиндексируют ли маткапитал с 1 февраля 2027 меньше чем на 6%?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2.13 (47%)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1.89 (53%)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Утверждённый правительством коэффициент индексации материнского капитала с 01.02.2027 составляет менее 6%, по официальному постановлению, опубликованному до 28.02.2027. Резолюция сразу после публикации постановления.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Прогнозные значения в проекте бюджета без утверждённого постановления; индексация других выплат, если она отличается от маткапитала; апрельская индексация пенсий; повышение маткапитала отдельными регионами.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 опубликованному постановлению правительства об индексации материнского капитала.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постановление не опубликовано к 28.02.2027 — резолюция по первому официально объявленному коэффициенту.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России, Социальный фонд России (СФР).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 1 февраля 2027 года проиндексируют более 40 видов социальных выплат — маткапитал, пособия при рождении детей, выплаты семьям призывников, ежемесячные выплаты инвалидам и ветеранам. Считают по фактической инфляции за 2026 год. И вот здесь разрыв: в проекте бюджета заложено 5.2%, а Банк России 24 июля поднял прогноз инфляции до 6.0-7.0% из-за подорожавшего топлива. Если индексируют по бюджетному прогнозу, а не по факту, выплаты отстанут от цен.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https://sfr.gov.ru/grazhdanam/pensionnoe_obespechenie/indeksacia_strahovth_pensij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Соцфонда — арбитр факта) </w:t>
      </w:r>
      <w:hyperlink r:id="rIdLink5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https://rosstat.gov.ru/statistics/price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(инфляция Росстата — база для расчёта индексации)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rosstat.gov.ru/statistics/price" TargetMode="External"/><Relationship Id="rIdLink2" Type="http://schemas.openxmlformats.org/officeDocument/2006/relationships/hyperlink" Target="https://polymarket.com/predictions/russia" TargetMode="External"/><Relationship Id="rIdLink3" Type="http://schemas.openxmlformats.org/officeDocument/2006/relationships/hyperlink" Target="https://minenergo.gov.ru/press" TargetMode="External"/><Relationship Id="rIdLink4" Type="http://schemas.openxmlformats.org/officeDocument/2006/relationships/hyperlink" Target="https://rosstat.gov.ru/statistics/price" TargetMode="External"/><Relationship Id="rIdLink5" Type="http://schemas.openxmlformats.org/officeDocument/2006/relationships/hyperlink" Target="https://minfin.gov.ru/ru/statistics/" TargetMode="External"/><Relationship Id="rIdLink6" Type="http://schemas.openxmlformats.org/officeDocument/2006/relationships/hyperlink" Target="https://tradingeconomics.com/commodity/brent-crude-oil" TargetMode="External"/><Relationship Id="rIdLink7" Type="http://schemas.openxmlformats.org/officeDocument/2006/relationships/hyperlink" Target="https://ofac.treasury.gov/recent-actions" TargetMode="External"/><Relationship Id="rIdLink8" Type="http://schemas.openxmlformats.org/officeDocument/2006/relationships/hyperlink" Target="https://www.consilium.europa.eu/en/policies/sanctions-against-russia/" TargetMode="External"/><Relationship Id="rIdLink9" Type="http://schemas.openxmlformats.org/officeDocument/2006/relationships/hyperlink" Target="https://www.cbr.ru/fintech/dr/" TargetMode="External"/><Relationship Id="rIdLink10" Type="http://schemas.openxmlformats.org/officeDocument/2006/relationships/hyperlink" Target="https://polymarket.com/predictions/russia" TargetMode="External"/><Relationship Id="rIdLink11" Type="http://schemas.openxmlformats.org/officeDocument/2006/relationships/hyperlink" Target="https://www.cbr.ru/dkp/cal_mp/" TargetMode="External"/><Relationship Id="rIdLink12" Type="http://schemas.openxmlformats.org/officeDocument/2006/relationships/hyperlink" Target="https://polymarket.com/predictions/russia" TargetMode="External"/><Relationship Id="rIdLink13" Type="http://schemas.openxmlformats.org/officeDocument/2006/relationships/hyperlink" Target="https://minfin.gov.ru/ru/perfomance/nationalwealthfund/" TargetMode="External"/><Relationship Id="rIdLink14" Type="http://schemas.openxmlformats.org/officeDocument/2006/relationships/hyperlink" Target="https://minfin.gov.ru/ru/statistics/fedbud/execute/" TargetMode="External"/><Relationship Id="rIdLink15" Type="http://schemas.openxmlformats.org/officeDocument/2006/relationships/hyperlink" Target="https://www.cbr.ru/statistics/bank_sector/mortgage/" TargetMode="External"/><Relationship Id="rIdLink16" Type="http://schemas.openxmlformats.org/officeDocument/2006/relationships/hyperlink" Target="https://xn--d1aqf.xn--p1ai/analytics/" TargetMode="External"/><Relationship Id="rIdLink17" Type="http://schemas.openxmlformats.org/officeDocument/2006/relationships/hyperlink" Target="https://gogov.ru/articles/contract-payroll" TargetMode="External"/><Relationship Id="rIdLink18" Type="http://schemas.openxmlformats.org/officeDocument/2006/relationships/hyperlink" Target="https://publication.pravo.gov.ru/" TargetMode="External"/><Relationship Id="rIdLink19" Type="http://schemas.openxmlformats.org/officeDocument/2006/relationships/hyperlink" Target="https://minfin.gov.ru/ru/document/" TargetMode="External"/><Relationship Id="rIdLink20" Type="http://schemas.openxmlformats.org/officeDocument/2006/relationships/hyperlink" Target="https://minfin.gov.ru/ru/perfomance/nationalwealthfund/" TargetMode="External"/><Relationship Id="rIdLink21" Type="http://schemas.openxmlformats.org/officeDocument/2006/relationships/hyperlink" Target="https://minfin.gov.ru/ru/perfomance/public_debt/" TargetMode="External"/><Relationship Id="rIdLink22" Type="http://schemas.openxmlformats.org/officeDocument/2006/relationships/hyperlink" Target="https://www.cbr.ru/hd_base/keyrate/" TargetMode="External"/><Relationship Id="rIdLink23" Type="http://schemas.openxmlformats.org/officeDocument/2006/relationships/hyperlink" Target="https://sozd.duma.gov.ru/" TargetMode="External"/><Relationship Id="rIdLink24" Type="http://schemas.openxmlformats.org/officeDocument/2006/relationships/hyperlink" Target="https://minfin.gov.ru/ru/statistics/fedbud/execute/" TargetMode="External"/><Relationship Id="rIdLink25" Type="http://schemas.openxmlformats.org/officeDocument/2006/relationships/hyperlink" Target="https://minenergo.gov.ru/press" TargetMode="External"/><Relationship Id="rIdLink26" Type="http://schemas.openxmlformats.org/officeDocument/2006/relationships/hyperlink" Target="https://rosstat.gov.ru/statistics/price" TargetMode="External"/><Relationship Id="rIdLink27" Type="http://schemas.openxmlformats.org/officeDocument/2006/relationships/hyperlink" Target="https://www.economy.gov.ru/material/directions/makroec/prognozy_socialno_ekonomicheskogo_razvitiya/" TargetMode="External"/><Relationship Id="rIdLink28" Type="http://schemas.openxmlformats.org/officeDocument/2006/relationships/hyperlink" Target="https://sozd.duma.gov.ru/" TargetMode="External"/><Relationship Id="rIdLink29" Type="http://schemas.openxmlformats.org/officeDocument/2006/relationships/hyperlink" Target="https://sozd.duma.gov.ru/" TargetMode="External"/><Relationship Id="rIdLink30" Type="http://schemas.openxmlformats.org/officeDocument/2006/relationships/hyperlink" Target="https://mintrud.gov.ru/" TargetMode="External"/><Relationship Id="rIdLink31" Type="http://schemas.openxmlformats.org/officeDocument/2006/relationships/hyperlink" Target="https://minfin.gov.ru/ru/statistics/fedbud/execute/" TargetMode="External"/><Relationship Id="rIdLink32" Type="http://schemas.openxmlformats.org/officeDocument/2006/relationships/hyperlink" Target="https://sozd.duma.gov.ru/" TargetMode="External"/><Relationship Id="rIdLink33" Type="http://schemas.openxmlformats.org/officeDocument/2006/relationships/hyperlink" Target="https://www.cbr.ru/hd_base/keyrate/" TargetMode="External"/><Relationship Id="rIdLink34" Type="http://schemas.openxmlformats.org/officeDocument/2006/relationships/hyperlink" Target="https://www.cbr.ru/dkp/cal_mp/" TargetMode="External"/><Relationship Id="rIdLink35" Type="http://schemas.openxmlformats.org/officeDocument/2006/relationships/hyperlink" Target="https://www.cbr.ru/dkp/cal_mp/" TargetMode="External"/><Relationship Id="rIdLink36" Type="http://schemas.openxmlformats.org/officeDocument/2006/relationships/hyperlink" Target="https://polymarket.com/predictions/russia" TargetMode="External"/><Relationship Id="rIdLink37" Type="http://schemas.openxmlformats.org/officeDocument/2006/relationships/hyperlink" Target="https://rosstat.gov.ru/statistics/price" TargetMode="External"/><Relationship Id="rIdLink38" Type="http://schemas.openxmlformats.org/officeDocument/2006/relationships/hyperlink" Target="https://www.cbr.ru/hd_base/infl/" TargetMode="External"/><Relationship Id="rIdLink39" Type="http://schemas.openxmlformats.org/officeDocument/2006/relationships/hyperlink" Target="https://rosstat.gov.ru/statistics/accounts" TargetMode="External"/><Relationship Id="rIdLink40" Type="http://schemas.openxmlformats.org/officeDocument/2006/relationships/hyperlink" Target="https://polymarket.com/predictions/russia" TargetMode="External"/><Relationship Id="rIdLink41" Type="http://schemas.openxmlformats.org/officeDocument/2006/relationships/hyperlink" Target="https://rosstat.gov.ru/labour_force" TargetMode="External"/><Relationship Id="rIdLink42" Type="http://schemas.openxmlformats.org/officeDocument/2006/relationships/hyperlink" Target="https://rosstat.gov.ru/statistics/price" TargetMode="External"/><Relationship Id="rIdLink43" Type="http://schemas.openxmlformats.org/officeDocument/2006/relationships/hyperlink" Target="https://rosstat.gov.ru/labour_force" TargetMode="External"/><Relationship Id="rIdLink44" Type="http://schemas.openxmlformats.org/officeDocument/2006/relationships/hyperlink" Target="https://www.cbr.ru/analytics/dkp/" TargetMode="External"/><Relationship Id="rIdLink45" Type="http://schemas.openxmlformats.org/officeDocument/2006/relationships/hyperlink" Target="https://rosstat.gov.ru/statistics/accounts" TargetMode="External"/><Relationship Id="rIdLink46" Type="http://schemas.openxmlformats.org/officeDocument/2006/relationships/hyperlink" Target="https://www.economy.gov.ru/material/directions/makroec/prognozy_socialno_ekonomicheskogo_razvitiya/" TargetMode="External"/><Relationship Id="rIdLink47" Type="http://schemas.openxmlformats.org/officeDocument/2006/relationships/hyperlink" Target="https://minfin.gov.ru/ru/statistics/fedbud/execute/" TargetMode="External"/><Relationship Id="rIdLink48" Type="http://schemas.openxmlformats.org/officeDocument/2006/relationships/hyperlink" Target="https://www.cbr.ru/hd_base/infl/" TargetMode="External"/><Relationship Id="rIdLink49" Type="http://schemas.openxmlformats.org/officeDocument/2006/relationships/hyperlink" Target="https://sfr.gov.ru/grazhdanam/pensionnoe_obespechenie/indeksacia_strahovth_pensij" TargetMode="External"/><Relationship Id="rIdLink50" Type="http://schemas.openxmlformats.org/officeDocument/2006/relationships/hyperlink" Target="https://rosstat.gov.ru/statistics/price" TargetMode="External"/><Relationship Id="rIdLink51" Type="http://schemas.openxmlformats.org/officeDocument/2006/relationships/hyperlink" Target="https://sfr.gov.ru/grazhdanam/pensionnoe_obespechenie/indeksacia_strahovth_pensij" TargetMode="External"/><Relationship Id="rIdLink52" Type="http://schemas.openxmlformats.org/officeDocument/2006/relationships/hyperlink" Target="https://rosstat.gov.ru/statistics/price" TargetMode="External"/></Relationships>
</file>