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120"/>
      </w:pPr>
      <w:r>
        <w:rPr>
          <w:b/>
          <w:sz w:val="34"/>
        </w:rPr>
        <w:t xml:space="preserve">2. Иран</w:t>
      </w:r>
    </w:p>
    <w:p>
      <w:pPr>
        <w:spacing w:after="80"/>
      </w:pPr>
      <w:r>
        <w:rPr>
          <w:b/>
          <w:sz w:val="26"/>
        </w:rPr>
        <w:t xml:space="preserve">1. Когда откроют Ормузский пролив для торговых судов?</w:t>
      </w:r>
    </w:p>
    <w:p>
      <w:pPr>
        <w:spacing w:after="100"/>
      </w:pPr>
      <w:r>
        <w:drawing>
          <wp:inline distT="0" distB="0" distL="0" distR="0">
            <wp:extent cx="666750" cy="666750"/>
            <wp:docPr id="10" name="вопрос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опрос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До конца сентября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октябре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ноябре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 декабре</w:t>
            </w:r>
          </w:p>
        </w:tc>
        <w:tc>
          <w:tcPr>
            <w:tcW w:w="1850" w:type="dxa"/>
          </w:tcPr>
          <w:p>
            <w:pPr>
              <w:spacing w:after="20"/>
            </w:pP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Не откроют до конца 2026</w:t>
            </w:r>
          </w:p>
        </w:tc>
      </w:tr>
    </w:tbl>
    <w:p>
      <w:pPr>
        <w:spacing w:after="200"/>
      </w:pPr>
      <w:r>
        <w:rPr>
          <w:sz w:val="22"/>
        </w:rPr>
        <w:t xml:space="preserve"/>
      </w:r>
    </w:p>
    <w:p>
      <w:pPr>
        <w:spacing w:after="80"/>
      </w:pPr>
      <w:r>
        <w:rPr>
          <w:b/>
          <w:sz w:val="26"/>
        </w:rPr>
        <w:t xml:space="preserve">2. Кто станет следующим верховным лидером Ирана?</w:t>
      </w:r>
    </w:p>
    <w:p>
      <w:pPr>
        <w:spacing w:after="100"/>
      </w:pPr>
      <w:r>
        <w:drawing>
          <wp:inline distT="0" distB="0" distL="0" distR="0">
            <wp:extent cx="666750" cy="666750"/>
            <wp:docPr id="11" name="вопрос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вопрос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tblCellMar>
          <w:left w:w="80" w:type="dxa"/>
          <w:right w:w="80" w:type="dxa"/>
          <w:top w:w="40" w:type="dxa"/>
          <w:bottom w:w="120" w:type="dxa"/>
        </w:tblCellMar>
        <w:tblLayout w:type="fixed"/>
      </w:tblPr>
      <w:tr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2" name="вариант 2.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вариант 2.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Представитель духовенства из Совета экспертов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3" name="вариант 2.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вариант 2.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Военный из Корпуса стражей исламской революции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4" name="вариант 2.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вариант 2.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Родственник действующего лидера</w:t>
            </w:r>
          </w:p>
        </w:tc>
        <w:tc>
          <w:tcPr>
            <w:tcW w:w="1850" w:type="dxa"/>
          </w:tcPr>
          <w:p>
            <w:pPr>
              <w:spacing w:after="20"/>
            </w:pPr>
            <w:r>
              <w:drawing>
                <wp:inline distT="0" distB="0" distL="0" distR="0">
                  <wp:extent cx="666750" cy="666750"/>
                  <wp:docPr id="15" name="вариант 2.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вариант 2.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color w:val="444444"/>
                <w:sz w:val="18"/>
              </w:rPr>
              <w:t xml:space="preserve">Смены не произойдёт до 31 декабря 2026</w:t>
            </w:r>
          </w:p>
        </w:tc>
        <w:tc>
          <w:tcPr>
            <w:tcW w:w="1850" w:type="dxa"/>
          </w:tcPr>
          <w:p>
            <w:pPr>
              <w:spacing w:after="120"/>
            </w:pPr>
          </w:p>
        </w:tc>
      </w:tr>
    </w:tbl>
    <w:p>
      <w:pPr>
        <w:spacing w:after="200"/>
      </w:pPr>
      <w:r>
        <w:rPr>
          <w:sz w:val="22"/>
        </w:rPr>
        <w:t xml:space="preserve"/>
      </w:r>
    </w:p>
  </w:body>
</w:document>
</file>

<file path=word/_rels/document.xml.rels><?xml version="1.0" encoding="UTF-8" standalone="yes"?><Relationships xmlns="http://schemas.openxmlformats.org/package/2006/relationships"><Relationship Id="rId10" Target="media/q1.png" Type="http://schemas.openxmlformats.org/officeDocument/2006/relationships/image"/><Relationship Id="rId11" Target="media/q2.png" Type="http://schemas.openxmlformats.org/officeDocument/2006/relationships/image"/><Relationship Id="rId12" Target="media/q2_1.png" Type="http://schemas.openxmlformats.org/officeDocument/2006/relationships/image"/><Relationship Id="rId13" Target="media/q2_2.png" Type="http://schemas.openxmlformats.org/officeDocument/2006/relationships/image"/><Relationship Id="rId14" Target="media/q2_3.png" Type="http://schemas.openxmlformats.org/officeDocument/2006/relationships/image"/><Relationship Id="rId15" Target="media/q2_4.png" Type="http://schemas.openxmlformats.org/officeDocument/2006/relationships/image"/></Relationships>
</file>