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E1A" w:rsidRDefault="009D5E1A">
      <w:r>
        <w:t>В соответствии со статьей 30 Федерального закона 248-ФЗ эффективность оценивается достижением ключевых показателей службы. В рамках ГСЭН это может определяться как эффекты от проводимых мероприятий:</w:t>
      </w:r>
    </w:p>
    <w:p w:rsidR="009D5E1A" w:rsidRDefault="009D5E1A" w:rsidP="009D5E1A">
      <w:pPr>
        <w:pStyle w:val="a3"/>
        <w:numPr>
          <w:ilvl w:val="0"/>
          <w:numId w:val="1"/>
        </w:numPr>
        <w:autoSpaceDE w:val="0"/>
        <w:autoSpaceDN w:val="0"/>
        <w:adjustRightInd w:val="0"/>
        <w:spacing w:after="0" w:line="240" w:lineRule="auto"/>
        <w:jc w:val="both"/>
        <w:rPr>
          <w:rFonts w:ascii="Calibri" w:hAnsi="Calibri" w:cs="Calibri"/>
        </w:rPr>
      </w:pPr>
      <w:r w:rsidRPr="009D5E1A">
        <w:rPr>
          <w:rFonts w:ascii="Calibri" w:hAnsi="Calibri" w:cs="Calibri"/>
        </w:rPr>
        <w:t>количество людей, заболевших инфекционными болезнями, за исключением хронических гепатитов, укусов, ослюнения животными, туберкулеза, сифилиса, гонококковой инфекции, ВИЧ-инфекции, острой респираторной вирусной инфекции, гриппа, пневмоний, на 100 тыс. населения;</w:t>
      </w:r>
    </w:p>
    <w:p w:rsidR="009D5E1A" w:rsidRDefault="009D5E1A" w:rsidP="009D5E1A">
      <w:pPr>
        <w:pStyle w:val="a3"/>
        <w:numPr>
          <w:ilvl w:val="0"/>
          <w:numId w:val="1"/>
        </w:numPr>
        <w:autoSpaceDE w:val="0"/>
        <w:autoSpaceDN w:val="0"/>
        <w:adjustRightInd w:val="0"/>
        <w:spacing w:after="0" w:line="240" w:lineRule="auto"/>
        <w:jc w:val="both"/>
        <w:rPr>
          <w:rFonts w:ascii="Calibri" w:hAnsi="Calibri" w:cs="Calibri"/>
        </w:rPr>
      </w:pPr>
      <w:r w:rsidRPr="009D5E1A">
        <w:rPr>
          <w:rFonts w:ascii="Calibri" w:hAnsi="Calibri" w:cs="Calibri"/>
        </w:rPr>
        <w:t>количество людей, заболевших паразитарными болезнями, на 100 тыс. населения;</w:t>
      </w:r>
    </w:p>
    <w:p w:rsidR="009D5E1A" w:rsidRPr="009D5E1A" w:rsidRDefault="009D5E1A" w:rsidP="009D5E1A">
      <w:pPr>
        <w:pStyle w:val="a3"/>
        <w:numPr>
          <w:ilvl w:val="0"/>
          <w:numId w:val="1"/>
        </w:numPr>
        <w:autoSpaceDE w:val="0"/>
        <w:autoSpaceDN w:val="0"/>
        <w:adjustRightInd w:val="0"/>
        <w:spacing w:after="0" w:line="240" w:lineRule="auto"/>
        <w:jc w:val="both"/>
        <w:rPr>
          <w:rFonts w:ascii="Calibri" w:hAnsi="Calibri" w:cs="Calibri"/>
        </w:rPr>
      </w:pPr>
      <w:r w:rsidRPr="009D5E1A">
        <w:rPr>
          <w:rFonts w:ascii="Calibri" w:hAnsi="Calibri" w:cs="Calibri"/>
        </w:rPr>
        <w:t>количество людей, пострадавших при пищевых отравлениях, за исключением бытовых пищевых отравлений, на 100 тыс. населения.</w:t>
      </w:r>
    </w:p>
    <w:p w:rsidR="009D5E1A" w:rsidRDefault="009D5E1A" w:rsidP="009D5E1A">
      <w:pPr>
        <w:autoSpaceDE w:val="0"/>
        <w:autoSpaceDN w:val="0"/>
        <w:adjustRightInd w:val="0"/>
        <w:spacing w:after="0" w:line="240" w:lineRule="auto"/>
        <w:jc w:val="both"/>
        <w:rPr>
          <w:rFonts w:ascii="Calibri" w:hAnsi="Calibri" w:cs="Calibri"/>
        </w:rPr>
      </w:pPr>
    </w:p>
    <w:p w:rsidR="009D5E1A" w:rsidRDefault="009D5E1A" w:rsidP="009D5E1A">
      <w:pPr>
        <w:autoSpaceDE w:val="0"/>
        <w:autoSpaceDN w:val="0"/>
        <w:adjustRightInd w:val="0"/>
        <w:spacing w:after="0" w:line="240" w:lineRule="auto"/>
        <w:jc w:val="both"/>
        <w:rPr>
          <w:rFonts w:ascii="Calibri" w:hAnsi="Calibri" w:cs="Calibri"/>
        </w:rPr>
      </w:pPr>
      <w:r>
        <w:rPr>
          <w:rFonts w:ascii="Calibri" w:hAnsi="Calibri" w:cs="Calibri"/>
        </w:rPr>
        <w:t>В целях оценки используются индикативные показатели деятельности:</w:t>
      </w:r>
    </w:p>
    <w:p w:rsidR="009D5E1A" w:rsidRDefault="009D5E1A" w:rsidP="009D5E1A">
      <w:pPr>
        <w:autoSpaceDE w:val="0"/>
        <w:autoSpaceDN w:val="0"/>
        <w:adjustRightInd w:val="0"/>
        <w:spacing w:after="0" w:line="240" w:lineRule="auto"/>
        <w:ind w:firstLine="540"/>
        <w:jc w:val="both"/>
        <w:rPr>
          <w:rFonts w:ascii="Calibri" w:hAnsi="Calibri" w:cs="Calibri"/>
        </w:rPr>
      </w:pPr>
      <w:r>
        <w:rPr>
          <w:rFonts w:ascii="Calibri" w:hAnsi="Calibri" w:cs="Calibri"/>
        </w:rPr>
        <w:t>1) количество плановых контрольных (надзорных) мероприятий, проведенных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2) количество внеплановых контрольных (надзорных) мероприятий, проведенных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3) количество внеплановых контрольных (надзорных) мероприятий, проведенных за отчетный период на основании выявления соответствия объекта контроля параметрам, утвержденным индикаторами риска нарушения обязательных требований, или отклонения объекта контроля от таких параметров,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4) общее количество контрольных (надзорных) мероприятий с взаимодействием, проведенных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5) количество контрольных (надзорных) мероприятий с взаимодействием по каждому виду КНМ, проведенных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6) количество контрольных (надзорных) мероприятий, проведенных с использованием средств дистанционного взаимодействия,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7) количество обязательных профилактических визитов, проведенных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8) количество предостережений о недопустимости нарушения обязательных требований, объявленных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9) количество контрольных (надзорных) мероприятий, по результатам которых выявлены нарушения обязательных требований,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10) количество контрольных (надзорных) мероприятий, по итогам которых возбуждены дела об административных правонарушениях,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11) сумма административных штрафов, наложенных по результатам контрольных (надзорных) мероприятий,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12) количество направленных в органы прокуратуры заявлений о согласовании проведения контрольных (надзорных) мероприятий,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13) количество направленных в органы прокуратуры заявлений о согласовании проведения контрольных (надзорных) мероприятий, по которым органами прокуратуры отказано в согласовании,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14) общее количество учтенных объектов контроля на конец отчетного периода;</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lastRenderedPageBreak/>
        <w:t>15) количество учтенных объектов контроля, отнесенных к категориям риска, по каждой из категорий риска на конец отчетного периода;</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16) количество учтенных контролируемых лиц на конец отчетного периода;</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17) количество учтенных контролируемых лиц, в отношении которых проведены контрольные (надзорные) мероприятия,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18) общее количество жалоб, поданных контролируемыми лицами в досудебном порядке,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19) количество жалоб, в отношении которых контрольным (надзорным) органом был нарушен срок рассмотрения,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20) количество жалоб, поданных контролируемыми лицами в досудебном порядке, по итогам рассмотрения которых принято решение о полной либо частичной отмене решения контрольного (надзорного) органа, либо о признании действий (бездействий) должностных лиц контрольных (надзорных) органов недействительными,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21) количество исковых заявлений об оспаривании решений, действий (бездействия) должностных лиц контрольных (надзорных) органов, направленных контролируемыми лицами в судебном порядке,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22) количество исковых заявлений об оспаривании решений, действий (бездействия) должностных лиц контрольных (надзорных) органов, направленных контролируемыми лицами в судебном порядке, по которым принято решение об удовлетворении заявленных требований, за отчетный период;</w:t>
      </w:r>
    </w:p>
    <w:p w:rsidR="009D5E1A" w:rsidRDefault="009D5E1A" w:rsidP="009D5E1A">
      <w:pPr>
        <w:autoSpaceDE w:val="0"/>
        <w:autoSpaceDN w:val="0"/>
        <w:adjustRightInd w:val="0"/>
        <w:spacing w:before="220" w:after="0" w:line="240" w:lineRule="auto"/>
        <w:ind w:firstLine="540"/>
        <w:jc w:val="both"/>
        <w:rPr>
          <w:rFonts w:ascii="Calibri" w:hAnsi="Calibri" w:cs="Calibri"/>
        </w:rPr>
      </w:pPr>
      <w:r>
        <w:rPr>
          <w:rFonts w:ascii="Calibri" w:hAnsi="Calibri" w:cs="Calibri"/>
        </w:rPr>
        <w:t>23) количество контрольных (надзорных) мероприятий, проведенных с грубым нарушением требований к организации и осуществлению государственного контроля (надзора) и результаты которых были признаны недействительными и (или) отменены, за отчетный период.</w:t>
      </w:r>
    </w:p>
    <w:p w:rsidR="009D5E1A" w:rsidRPr="009D5E1A" w:rsidRDefault="009D5E1A" w:rsidP="009D5E1A">
      <w:pPr>
        <w:autoSpaceDE w:val="0"/>
        <w:autoSpaceDN w:val="0"/>
        <w:adjustRightInd w:val="0"/>
        <w:spacing w:after="0" w:line="240" w:lineRule="auto"/>
        <w:jc w:val="both"/>
        <w:rPr>
          <w:rFonts w:ascii="Calibri" w:hAnsi="Calibri" w:cs="Calibri"/>
        </w:rPr>
      </w:pPr>
    </w:p>
    <w:p w:rsidR="006C6A4A" w:rsidRDefault="006C6A4A"/>
    <w:p w:rsidR="009D5E1A" w:rsidRDefault="009D5E1A" w:rsidP="009D5E1A">
      <w:pPr>
        <w:ind w:firstLine="540"/>
      </w:pPr>
      <w:r>
        <w:t>Полноценная оценка эффективности проведения контрольных (надзорных) мероприятий по сравнению с эффективностью профилактических мероприятий является частью серьезного научного исследования с учетом вмешивающихся факторов, влияющих на итоговый эффект от проведения мероприятий.</w:t>
      </w:r>
    </w:p>
    <w:p w:rsidR="009D5E1A" w:rsidRDefault="009D5E1A" w:rsidP="009D5E1A">
      <w:pPr>
        <w:ind w:firstLine="540"/>
      </w:pPr>
      <w:r>
        <w:t>Таким образом, эффективность проведения мероприятий может рассчитываться</w:t>
      </w:r>
      <w:r w:rsidR="006C6A4A">
        <w:t xml:space="preserve"> по формуле:</w:t>
      </w:r>
    </w:p>
    <w:p w:rsidR="006C6A4A" w:rsidRPr="006C6A4A" w:rsidRDefault="006C6A4A" w:rsidP="006C6A4A">
      <w:pPr>
        <w:ind w:firstLine="540"/>
        <w:jc w:val="center"/>
        <w:rPr>
          <w:sz w:val="28"/>
        </w:rPr>
      </w:pPr>
      <w:r w:rsidRPr="006C6A4A">
        <w:rPr>
          <w:sz w:val="28"/>
        </w:rPr>
        <w:t>Э = РД/З</w:t>
      </w:r>
      <w:r w:rsidRPr="006C6A4A">
        <w:t>, где</w:t>
      </w:r>
    </w:p>
    <w:p w:rsidR="006C6A4A" w:rsidRDefault="006C6A4A" w:rsidP="009D5E1A">
      <w:pPr>
        <w:ind w:firstLine="540"/>
      </w:pPr>
      <w:r>
        <w:t>Э – эффективность проводимого мероприятия,</w:t>
      </w:r>
    </w:p>
    <w:p w:rsidR="006C6A4A" w:rsidRDefault="006C6A4A" w:rsidP="009D5E1A">
      <w:pPr>
        <w:ind w:firstLine="540"/>
      </w:pPr>
      <w:r>
        <w:t>РД – эффект проводимого мероприятия,</w:t>
      </w:r>
    </w:p>
    <w:p w:rsidR="006C6A4A" w:rsidRDefault="006C6A4A" w:rsidP="009D5E1A">
      <w:pPr>
        <w:ind w:firstLine="540"/>
      </w:pPr>
      <w:r>
        <w:t xml:space="preserve">З – совокупность трудовых и материальных затрат на проведение мероприятия. </w:t>
      </w:r>
    </w:p>
    <w:p w:rsidR="00BA4048" w:rsidRDefault="00BA4048" w:rsidP="00BA4048">
      <w:pPr>
        <w:ind w:firstLine="540"/>
      </w:pPr>
    </w:p>
    <w:p w:rsidR="00417BCB" w:rsidRDefault="00BA4048" w:rsidP="00BA4048">
      <w:pPr>
        <w:ind w:firstLine="540"/>
      </w:pPr>
      <w:r>
        <w:t>Ключевые показатели, определенные Правительством Российской Федерации, вмещает в себя риски, связанные с осуществлением определенной деятельности хозяйствующего субъекта.</w:t>
      </w:r>
      <w:r w:rsidR="00417BCB">
        <w:t xml:space="preserve"> И вероятность наступления неблагоприятных событий, снижение которых является целью надзора, зависит от суммы показателей риска на определенной территории.</w:t>
      </w:r>
    </w:p>
    <w:p w:rsidR="00417BCB" w:rsidRDefault="00417BCB" w:rsidP="00417BCB">
      <w:pPr>
        <w:autoSpaceDE w:val="0"/>
        <w:autoSpaceDN w:val="0"/>
        <w:adjustRightInd w:val="0"/>
        <w:spacing w:after="0" w:line="240" w:lineRule="auto"/>
        <w:jc w:val="both"/>
        <w:rPr>
          <w:rFonts w:ascii="Calibri" w:hAnsi="Calibri" w:cs="Calibri"/>
        </w:rPr>
      </w:pPr>
      <w:r>
        <w:lastRenderedPageBreak/>
        <w:t>В настоящее время расчетная категория риска зависит от</w:t>
      </w:r>
      <w:r w:rsidRPr="00417BCB">
        <w:t xml:space="preserve"> </w:t>
      </w:r>
      <w:r>
        <w:t>п</w:t>
      </w:r>
      <w:r>
        <w:rPr>
          <w:rFonts w:ascii="Calibri" w:hAnsi="Calibri" w:cs="Calibri"/>
        </w:rPr>
        <w:t>оказател</w:t>
      </w:r>
      <w:r>
        <w:rPr>
          <w:rFonts w:ascii="Calibri" w:hAnsi="Calibri" w:cs="Calibri"/>
        </w:rPr>
        <w:t>я</w:t>
      </w:r>
      <w:r>
        <w:rPr>
          <w:rFonts w:ascii="Calibri" w:hAnsi="Calibri" w:cs="Calibri"/>
        </w:rPr>
        <w:t xml:space="preserve"> потенциального риска причинения вреда здоровью (R)</w:t>
      </w:r>
      <w:r>
        <w:rPr>
          <w:rFonts w:ascii="Calibri" w:hAnsi="Calibri" w:cs="Calibri"/>
        </w:rPr>
        <w:t xml:space="preserve">: </w:t>
      </w:r>
    </w:p>
    <w:p w:rsidR="00417BCB" w:rsidRDefault="00417BCB" w:rsidP="00417BCB">
      <w:pPr>
        <w:autoSpaceDE w:val="0"/>
        <w:autoSpaceDN w:val="0"/>
        <w:adjustRightInd w:val="0"/>
        <w:spacing w:after="0" w:line="240" w:lineRule="auto"/>
        <w:jc w:val="both"/>
        <w:rPr>
          <w:rFonts w:ascii="Calibri" w:hAnsi="Calibri" w:cs="Calibri"/>
        </w:rPr>
      </w:pPr>
    </w:p>
    <w:p w:rsidR="00417BCB" w:rsidRDefault="00417BCB" w:rsidP="00417BCB">
      <w:pPr>
        <w:autoSpaceDE w:val="0"/>
        <w:autoSpaceDN w:val="0"/>
        <w:adjustRightInd w:val="0"/>
        <w:spacing w:after="0" w:line="240" w:lineRule="auto"/>
        <w:jc w:val="center"/>
        <w:rPr>
          <w:rFonts w:ascii="Calibri" w:hAnsi="Calibri" w:cs="Calibri"/>
        </w:rPr>
      </w:pPr>
      <w:r>
        <w:rPr>
          <w:rFonts w:ascii="Calibri" w:hAnsi="Calibri" w:cs="Calibri"/>
          <w:sz w:val="24"/>
          <w:szCs w:val="24"/>
        </w:rPr>
        <w:t xml:space="preserve">R = </w:t>
      </w:r>
      <w:r w:rsidR="004F2887">
        <w:rPr>
          <w:rFonts w:ascii="Calibri" w:hAnsi="Calibri" w:cs="Calibri"/>
          <w:sz w:val="24"/>
          <w:szCs w:val="24"/>
        </w:rPr>
        <w:t>U x M</w:t>
      </w:r>
      <w:r>
        <w:rPr>
          <w:rFonts w:ascii="Calibri" w:hAnsi="Calibri" w:cs="Calibri"/>
          <w:sz w:val="24"/>
          <w:szCs w:val="24"/>
        </w:rPr>
        <w:t xml:space="preserve"> x p</w:t>
      </w:r>
      <w:r>
        <w:rPr>
          <w:rFonts w:ascii="Calibri" w:hAnsi="Calibri" w:cs="Calibri"/>
          <w:sz w:val="24"/>
          <w:szCs w:val="24"/>
        </w:rPr>
        <w:t>, где</w:t>
      </w:r>
    </w:p>
    <w:p w:rsidR="00417BCB" w:rsidRDefault="00417BCB" w:rsidP="00417BCB">
      <w:pPr>
        <w:ind w:firstLine="540"/>
      </w:pPr>
    </w:p>
    <w:p w:rsidR="00417BCB" w:rsidRDefault="00417BCB" w:rsidP="00417BCB">
      <w:pPr>
        <w:autoSpaceDE w:val="0"/>
        <w:autoSpaceDN w:val="0"/>
        <w:adjustRightInd w:val="0"/>
        <w:spacing w:after="0" w:line="240" w:lineRule="auto"/>
        <w:ind w:firstLine="540"/>
        <w:jc w:val="both"/>
        <w:rPr>
          <w:rFonts w:ascii="Calibri" w:hAnsi="Calibri" w:cs="Calibri"/>
          <w:sz w:val="24"/>
          <w:szCs w:val="24"/>
        </w:rPr>
      </w:pPr>
      <w:r>
        <w:rPr>
          <w:rFonts w:ascii="Calibri" w:hAnsi="Calibri" w:cs="Calibri"/>
          <w:sz w:val="24"/>
          <w:szCs w:val="24"/>
        </w:rPr>
        <w:t>U - показатель потенциального вреда для здоровья человека из-за возможного несоблюдения обязательных требований при осуществлении определенного вида деятельности;</w:t>
      </w:r>
    </w:p>
    <w:p w:rsidR="004F2887" w:rsidRDefault="00417BCB" w:rsidP="004F2887">
      <w:pPr>
        <w:autoSpaceDE w:val="0"/>
        <w:autoSpaceDN w:val="0"/>
        <w:adjustRightInd w:val="0"/>
        <w:spacing w:before="240" w:after="0" w:line="240" w:lineRule="auto"/>
        <w:ind w:firstLine="540"/>
        <w:jc w:val="both"/>
        <w:rPr>
          <w:rFonts w:ascii="Calibri" w:hAnsi="Calibri" w:cs="Calibri"/>
          <w:sz w:val="24"/>
          <w:szCs w:val="24"/>
        </w:rPr>
      </w:pPr>
      <w:r>
        <w:rPr>
          <w:rFonts w:ascii="Calibri" w:hAnsi="Calibri" w:cs="Calibri"/>
          <w:sz w:val="24"/>
          <w:szCs w:val="24"/>
        </w:rPr>
        <w:t>M - показатель численности населения, находящегося по</w:t>
      </w:r>
      <w:r w:rsidR="004F2887">
        <w:rPr>
          <w:rFonts w:ascii="Calibri" w:hAnsi="Calibri" w:cs="Calibri"/>
          <w:sz w:val="24"/>
          <w:szCs w:val="24"/>
        </w:rPr>
        <w:t>д воздействием объекта контроля;</w:t>
      </w:r>
    </w:p>
    <w:p w:rsidR="00417BCB" w:rsidRDefault="00417BCB" w:rsidP="00417BCB">
      <w:pPr>
        <w:autoSpaceDE w:val="0"/>
        <w:autoSpaceDN w:val="0"/>
        <w:adjustRightInd w:val="0"/>
        <w:spacing w:after="0" w:line="240" w:lineRule="auto"/>
        <w:ind w:firstLine="540"/>
        <w:jc w:val="both"/>
        <w:rPr>
          <w:rFonts w:ascii="Calibri" w:hAnsi="Calibri" w:cs="Calibri"/>
          <w:sz w:val="24"/>
          <w:szCs w:val="24"/>
        </w:rPr>
      </w:pPr>
      <w:r>
        <w:rPr>
          <w:rFonts w:ascii="Calibri" w:hAnsi="Calibri" w:cs="Calibri"/>
          <w:sz w:val="24"/>
          <w:szCs w:val="24"/>
        </w:rPr>
        <w:t>p - показатель средневзвешенной частоты нарушений на одно контрольное (надзорное) мероприятие (вероятности нарушений обязательных требований) при осуществлении определенного вида деятельности.</w:t>
      </w:r>
    </w:p>
    <w:p w:rsidR="00417BCB" w:rsidRDefault="00417BCB" w:rsidP="00417BCB">
      <w:pPr>
        <w:ind w:firstLine="540"/>
        <w:rPr>
          <w:rFonts w:ascii="Calibri" w:hAnsi="Calibri" w:cs="Calibri"/>
          <w:sz w:val="24"/>
          <w:szCs w:val="24"/>
        </w:rPr>
      </w:pPr>
    </w:p>
    <w:p w:rsidR="004F2887" w:rsidRDefault="004F2887" w:rsidP="00F56728">
      <w:pPr>
        <w:ind w:firstLine="540"/>
        <w:jc w:val="both"/>
        <w:rPr>
          <w:rFonts w:ascii="Calibri" w:hAnsi="Calibri" w:cs="Calibri"/>
          <w:sz w:val="24"/>
          <w:szCs w:val="24"/>
        </w:rPr>
      </w:pPr>
      <w:r>
        <w:rPr>
          <w:rFonts w:ascii="Calibri" w:hAnsi="Calibri" w:cs="Calibri"/>
          <w:sz w:val="24"/>
          <w:szCs w:val="24"/>
        </w:rPr>
        <w:t>На практике реального определения категории риска в рамках риск-о</w:t>
      </w:r>
      <w:r w:rsidR="00F56728">
        <w:rPr>
          <w:rFonts w:ascii="Calibri" w:hAnsi="Calibri" w:cs="Calibri"/>
          <w:sz w:val="24"/>
          <w:szCs w:val="24"/>
        </w:rPr>
        <w:t>риентированного подхода при осуществлении</w:t>
      </w:r>
      <w:r>
        <w:rPr>
          <w:rFonts w:ascii="Calibri" w:hAnsi="Calibri" w:cs="Calibri"/>
          <w:sz w:val="24"/>
          <w:szCs w:val="24"/>
        </w:rPr>
        <w:t xml:space="preserve"> ГСЭН показатели </w:t>
      </w:r>
      <w:r>
        <w:rPr>
          <w:rFonts w:ascii="Calibri" w:hAnsi="Calibri" w:cs="Calibri"/>
          <w:sz w:val="24"/>
          <w:szCs w:val="24"/>
          <w:lang w:val="en-US"/>
        </w:rPr>
        <w:t>U</w:t>
      </w:r>
      <w:r w:rsidRPr="004F2887">
        <w:rPr>
          <w:rFonts w:ascii="Calibri" w:hAnsi="Calibri" w:cs="Calibri"/>
          <w:sz w:val="24"/>
          <w:szCs w:val="24"/>
        </w:rPr>
        <w:t xml:space="preserve"> </w:t>
      </w:r>
      <w:r>
        <w:rPr>
          <w:rFonts w:ascii="Calibri" w:hAnsi="Calibri" w:cs="Calibri"/>
          <w:sz w:val="24"/>
          <w:szCs w:val="24"/>
        </w:rPr>
        <w:t>и р являются константами, определенными в ПП № 1100, а показатель М определяется по методическим рекомендациям Роспотребнадзора.</w:t>
      </w:r>
    </w:p>
    <w:p w:rsidR="004F2887" w:rsidRDefault="007A2FF6" w:rsidP="00F56728">
      <w:pPr>
        <w:ind w:firstLine="540"/>
        <w:jc w:val="both"/>
        <w:rPr>
          <w:rFonts w:ascii="Calibri" w:hAnsi="Calibri" w:cs="Calibri"/>
          <w:sz w:val="24"/>
          <w:szCs w:val="24"/>
        </w:rPr>
      </w:pPr>
      <w:r>
        <w:rPr>
          <w:rFonts w:ascii="Calibri" w:hAnsi="Calibri" w:cs="Calibri"/>
          <w:sz w:val="24"/>
          <w:szCs w:val="24"/>
        </w:rPr>
        <w:t>В</w:t>
      </w:r>
      <w:r w:rsidR="004F2887">
        <w:rPr>
          <w:rFonts w:ascii="Calibri" w:hAnsi="Calibri" w:cs="Calibri"/>
          <w:sz w:val="24"/>
          <w:szCs w:val="24"/>
        </w:rPr>
        <w:t xml:space="preserve"> рамках </w:t>
      </w:r>
      <w:r w:rsidR="00F56728">
        <w:rPr>
          <w:rFonts w:ascii="Calibri" w:hAnsi="Calibri" w:cs="Calibri"/>
          <w:sz w:val="24"/>
          <w:szCs w:val="24"/>
        </w:rPr>
        <w:t xml:space="preserve">ведомственной </w:t>
      </w:r>
      <w:r w:rsidR="004F2887">
        <w:rPr>
          <w:rFonts w:ascii="Calibri" w:hAnsi="Calibri" w:cs="Calibri"/>
          <w:sz w:val="24"/>
          <w:szCs w:val="24"/>
        </w:rPr>
        <w:t>оценки эффективности мероприятий эти данные лишь берутся за основу и любые видоизменения в рамках оценки эффективности не могут быть взяты за основу в решение об отнесении объекта к категории риска</w:t>
      </w:r>
      <w:r>
        <w:rPr>
          <w:rFonts w:ascii="Calibri" w:hAnsi="Calibri" w:cs="Calibri"/>
          <w:sz w:val="24"/>
          <w:szCs w:val="24"/>
        </w:rPr>
        <w:t>.</w:t>
      </w:r>
    </w:p>
    <w:p w:rsidR="007A2FF6" w:rsidRDefault="007A2FF6" w:rsidP="00F56728">
      <w:pPr>
        <w:ind w:firstLine="540"/>
        <w:jc w:val="both"/>
        <w:rPr>
          <w:rFonts w:ascii="Calibri" w:hAnsi="Calibri" w:cs="Calibri"/>
          <w:sz w:val="24"/>
          <w:szCs w:val="24"/>
        </w:rPr>
      </w:pPr>
      <w:r>
        <w:rPr>
          <w:rFonts w:ascii="Calibri" w:hAnsi="Calibri" w:cs="Calibri"/>
          <w:sz w:val="24"/>
          <w:szCs w:val="24"/>
        </w:rPr>
        <w:t>При проведении контрольных (надзорных) или профилактических мероприятий основной целью является оценка соответствия обязательным требованиям, что является фактором снижения вероятности нарушения. А соответственно, по итогам мероприятия происходит смещение показателя средневзвешенной частоты нарушения в рамках конкретного объекта.</w:t>
      </w:r>
    </w:p>
    <w:p w:rsidR="00F56728" w:rsidRDefault="00F56728" w:rsidP="00F56728">
      <w:pPr>
        <w:ind w:firstLine="540"/>
        <w:jc w:val="both"/>
        <w:rPr>
          <w:rFonts w:ascii="Calibri" w:hAnsi="Calibri" w:cs="Calibri"/>
          <w:sz w:val="24"/>
          <w:szCs w:val="24"/>
        </w:rPr>
      </w:pPr>
      <w:r>
        <w:rPr>
          <w:rFonts w:ascii="Calibri" w:hAnsi="Calibri" w:cs="Calibri"/>
          <w:sz w:val="24"/>
          <w:szCs w:val="24"/>
        </w:rPr>
        <w:t xml:space="preserve">Нарушения, выявляемые при проведении мероприятий, могут быть стратифицированы на </w:t>
      </w:r>
      <w:r w:rsidR="007B4394">
        <w:rPr>
          <w:rFonts w:ascii="Calibri" w:hAnsi="Calibri" w:cs="Calibri"/>
          <w:sz w:val="24"/>
          <w:szCs w:val="24"/>
        </w:rPr>
        <w:t xml:space="preserve">единично </w:t>
      </w:r>
      <w:r w:rsidR="007B4394">
        <w:rPr>
          <w:rFonts w:ascii="Calibri" w:hAnsi="Calibri" w:cs="Calibri"/>
          <w:sz w:val="24"/>
          <w:szCs w:val="24"/>
        </w:rPr>
        <w:t>выявляемые</w:t>
      </w:r>
      <w:r>
        <w:rPr>
          <w:rFonts w:ascii="Calibri" w:hAnsi="Calibri" w:cs="Calibri"/>
          <w:sz w:val="24"/>
          <w:szCs w:val="24"/>
        </w:rPr>
        <w:t xml:space="preserve"> и </w:t>
      </w:r>
      <w:r w:rsidR="007B4394">
        <w:rPr>
          <w:rFonts w:ascii="Calibri" w:hAnsi="Calibri" w:cs="Calibri"/>
          <w:sz w:val="24"/>
          <w:szCs w:val="24"/>
        </w:rPr>
        <w:t xml:space="preserve">постоянно </w:t>
      </w:r>
      <w:r w:rsidR="007B4394">
        <w:rPr>
          <w:rFonts w:ascii="Calibri" w:hAnsi="Calibri" w:cs="Calibri"/>
          <w:sz w:val="24"/>
          <w:szCs w:val="24"/>
        </w:rPr>
        <w:t xml:space="preserve">выявляемые, что вносит разный вклад в последствия, учитывая системность последних. </w:t>
      </w:r>
    </w:p>
    <w:p w:rsidR="004F2887" w:rsidRPr="004F2887" w:rsidRDefault="006157AF" w:rsidP="006157AF">
      <w:pPr>
        <w:ind w:firstLine="540"/>
        <w:jc w:val="both"/>
        <w:rPr>
          <w:rFonts w:ascii="Calibri" w:hAnsi="Calibri" w:cs="Calibri"/>
          <w:sz w:val="24"/>
          <w:szCs w:val="24"/>
        </w:rPr>
      </w:pPr>
      <w:r>
        <w:rPr>
          <w:rFonts w:ascii="Calibri" w:hAnsi="Calibri" w:cs="Calibri"/>
          <w:sz w:val="24"/>
          <w:szCs w:val="24"/>
        </w:rPr>
        <w:t xml:space="preserve">При этом выявление системных нарушений говорит о неэффективности проведения мероприятия в отношении соблюдения этого требования и требует изменения подхода к устранению рисков, связанных с несоблюдением обязательных требований. Например, постоянное нарушение </w:t>
      </w:r>
      <w:r w:rsidR="000E184C">
        <w:rPr>
          <w:rFonts w:ascii="Calibri" w:hAnsi="Calibri" w:cs="Calibri"/>
          <w:sz w:val="24"/>
          <w:szCs w:val="24"/>
        </w:rPr>
        <w:t>учреждением детского сада требований к отделке помещений, которые не выполняется при проверке предписания, требует изменения подхода, так как усиление надзора не приведет к решению проблемы. И с другой ситуации, одно и то же нарушение в учреждении здравоохранения, устранить которое было возможно в течение указанного периода, совершается повторно – усиление надзора может применяться как мера.</w:t>
      </w:r>
      <w:bookmarkStart w:id="0" w:name="_GoBack"/>
      <w:bookmarkEnd w:id="0"/>
    </w:p>
    <w:p w:rsidR="00417BCB" w:rsidRPr="00417BCB" w:rsidRDefault="00417BCB" w:rsidP="00417BCB">
      <w:pPr>
        <w:ind w:firstLine="540"/>
        <w:rPr>
          <w:rFonts w:ascii="Calibri" w:hAnsi="Calibri" w:cs="Calibri"/>
          <w:sz w:val="24"/>
          <w:szCs w:val="24"/>
        </w:rPr>
      </w:pPr>
    </w:p>
    <w:p w:rsidR="00BA4048" w:rsidRDefault="00BA4048" w:rsidP="00417BCB">
      <w:pPr>
        <w:ind w:firstLine="540"/>
      </w:pPr>
    </w:p>
    <w:p w:rsidR="00BA4048" w:rsidRDefault="00BA4048" w:rsidP="00BA4048">
      <w:pPr>
        <w:ind w:firstLine="540"/>
      </w:pPr>
    </w:p>
    <w:p w:rsidR="006C6A4A" w:rsidRDefault="006C6A4A" w:rsidP="006C6A4A"/>
    <w:sectPr w:rsidR="006C6A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75594"/>
    <w:multiLevelType w:val="hybridMultilevel"/>
    <w:tmpl w:val="F75AC1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572C8F"/>
    <w:multiLevelType w:val="hybridMultilevel"/>
    <w:tmpl w:val="F75AC1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CF"/>
    <w:rsid w:val="000E184C"/>
    <w:rsid w:val="00417BCB"/>
    <w:rsid w:val="004F2887"/>
    <w:rsid w:val="006157AF"/>
    <w:rsid w:val="006C6A4A"/>
    <w:rsid w:val="007A2FF6"/>
    <w:rsid w:val="007B4394"/>
    <w:rsid w:val="009313CF"/>
    <w:rsid w:val="009D5E1A"/>
    <w:rsid w:val="00BA4048"/>
    <w:rsid w:val="00F56728"/>
    <w:rsid w:val="00F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348E"/>
  <w15:chartTrackingRefBased/>
  <w15:docId w15:val="{BE4C6969-131E-4762-B30B-404FB22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E1A"/>
    <w:pPr>
      <w:ind w:left="720"/>
      <w:contextualSpacing/>
    </w:pPr>
  </w:style>
  <w:style w:type="character" w:styleId="a4">
    <w:name w:val="annotation reference"/>
    <w:basedOn w:val="a0"/>
    <w:uiPriority w:val="99"/>
    <w:semiHidden/>
    <w:unhideWhenUsed/>
    <w:rsid w:val="006157AF"/>
    <w:rPr>
      <w:sz w:val="16"/>
      <w:szCs w:val="16"/>
    </w:rPr>
  </w:style>
  <w:style w:type="paragraph" w:styleId="a5">
    <w:name w:val="annotation text"/>
    <w:basedOn w:val="a"/>
    <w:link w:val="a6"/>
    <w:uiPriority w:val="99"/>
    <w:semiHidden/>
    <w:unhideWhenUsed/>
    <w:rsid w:val="006157AF"/>
    <w:pPr>
      <w:spacing w:line="240" w:lineRule="auto"/>
    </w:pPr>
    <w:rPr>
      <w:sz w:val="20"/>
      <w:szCs w:val="20"/>
    </w:rPr>
  </w:style>
  <w:style w:type="character" w:customStyle="1" w:styleId="a6">
    <w:name w:val="Текст примечания Знак"/>
    <w:basedOn w:val="a0"/>
    <w:link w:val="a5"/>
    <w:uiPriority w:val="99"/>
    <w:semiHidden/>
    <w:rsid w:val="006157AF"/>
    <w:rPr>
      <w:sz w:val="20"/>
      <w:szCs w:val="20"/>
    </w:rPr>
  </w:style>
  <w:style w:type="paragraph" w:styleId="a7">
    <w:name w:val="annotation subject"/>
    <w:basedOn w:val="a5"/>
    <w:next w:val="a5"/>
    <w:link w:val="a8"/>
    <w:uiPriority w:val="99"/>
    <w:semiHidden/>
    <w:unhideWhenUsed/>
    <w:rsid w:val="006157AF"/>
    <w:rPr>
      <w:b/>
      <w:bCs/>
    </w:rPr>
  </w:style>
  <w:style w:type="character" w:customStyle="1" w:styleId="a8">
    <w:name w:val="Тема примечания Знак"/>
    <w:basedOn w:val="a6"/>
    <w:link w:val="a7"/>
    <w:uiPriority w:val="99"/>
    <w:semiHidden/>
    <w:rsid w:val="006157AF"/>
    <w:rPr>
      <w:b/>
      <w:bCs/>
      <w:sz w:val="20"/>
      <w:szCs w:val="20"/>
    </w:rPr>
  </w:style>
  <w:style w:type="paragraph" w:styleId="a9">
    <w:name w:val="Balloon Text"/>
    <w:basedOn w:val="a"/>
    <w:link w:val="aa"/>
    <w:uiPriority w:val="99"/>
    <w:semiHidden/>
    <w:unhideWhenUsed/>
    <w:rsid w:val="006157AF"/>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157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853</Words>
  <Characters>6463</Characters>
  <Application>Microsoft Office Word</Application>
  <DocSecurity>0</DocSecurity>
  <Lines>124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Алексей Дмитриевич</dc:creator>
  <cp:keywords/>
  <dc:description/>
  <cp:lastModifiedBy>Зайцев Алексей Дмитриевич</cp:lastModifiedBy>
  <cp:revision>2</cp:revision>
  <dcterms:created xsi:type="dcterms:W3CDTF">2023-12-15T14:03:00Z</dcterms:created>
  <dcterms:modified xsi:type="dcterms:W3CDTF">2023-12-15T15:51:00Z</dcterms:modified>
</cp:coreProperties>
</file>