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320"/>
        <w:jc w:val="center"/>
      </w:pPr>
      <w:r>
        <w:rPr>
          <w:rFonts w:ascii="Arial" w:hAnsi="Arial" w:eastAsia="Arial"/>
          <w:b/>
          <w:color w:val="1F4E79"/>
          <w:sz w:val="21"/>
        </w:rPr>
        <w:t>ТЕХНИЧЕСКОЕ ЗАДАНИЕ</w:t>
      </w:r>
    </w:p>
    <w:p>
      <w:pPr>
        <w:spacing w:after="160"/>
        <w:jc w:val="center"/>
      </w:pPr>
      <w:r>
        <w:rPr>
          <w:rFonts w:ascii="Arial" w:hAnsi="Arial" w:eastAsia="Arial"/>
          <w:b/>
          <w:color w:val="0F2C46"/>
          <w:sz w:val="56"/>
        </w:rPr>
        <w:t>Simple WMS Alpha</w:t>
      </w:r>
    </w:p>
    <w:p>
      <w:pPr>
        <w:spacing w:after="600"/>
        <w:jc w:val="center"/>
      </w:pPr>
      <w:r>
        <w:rPr>
          <w:rFonts w:ascii="Arial" w:hAnsi="Arial" w:eastAsia="Arial"/>
          <w:color w:val="5A6470"/>
          <w:sz w:val="28"/>
        </w:rPr>
        <w:t>Адресный и номенклатурный складской учёт</w:t>
      </w:r>
    </w:p>
    <w:p>
      <w:pPr>
        <w:spacing w:after="100"/>
        <w:jc w:val="center"/>
      </w:pPr>
      <w:r>
        <w:rPr>
          <w:rFonts w:ascii="Arial" w:hAnsi="Arial" w:eastAsia="Arial"/>
          <w:b/>
          <w:color w:val="14181C"/>
          <w:sz w:val="21"/>
        </w:rPr>
        <w:t xml:space="preserve">Статус: </w:t>
      </w:r>
      <w:r>
        <w:rPr>
          <w:rFonts w:ascii="Arial" w:hAnsi="Arial" w:eastAsia="Arial"/>
          <w:color w:val="14181C"/>
          <w:sz w:val="21"/>
        </w:rPr>
        <w:t>Утверждено как основа разработки</w:t>
      </w:r>
    </w:p>
    <w:p>
      <w:pPr>
        <w:spacing w:after="100"/>
        <w:jc w:val="center"/>
      </w:pPr>
      <w:r>
        <w:rPr>
          <w:rFonts w:ascii="Arial" w:hAnsi="Arial" w:eastAsia="Arial"/>
          <w:b/>
          <w:color w:val="14181C"/>
          <w:sz w:val="21"/>
        </w:rPr>
        <w:t xml:space="preserve">Версия продукта: </w:t>
      </w:r>
      <w:r>
        <w:rPr>
          <w:rFonts w:ascii="Arial" w:hAnsi="Arial" w:eastAsia="Arial"/>
          <w:color w:val="14181C"/>
          <w:sz w:val="21"/>
        </w:rPr>
        <w:t>0.1 Alpha</w:t>
      </w:r>
    </w:p>
    <w:p>
      <w:pPr>
        <w:spacing w:after="100"/>
        <w:jc w:val="center"/>
      </w:pPr>
      <w:r>
        <w:rPr>
          <w:rFonts w:ascii="Arial" w:hAnsi="Arial" w:eastAsia="Arial"/>
          <w:b/>
          <w:color w:val="14181C"/>
          <w:sz w:val="21"/>
        </w:rPr>
        <w:t xml:space="preserve">Дата редакции: </w:t>
      </w:r>
      <w:r>
        <w:rPr>
          <w:rFonts w:ascii="Arial" w:hAnsi="Arial" w:eastAsia="Arial"/>
          <w:color w:val="14181C"/>
          <w:sz w:val="21"/>
        </w:rPr>
        <w:t>10.08.2026</w:t>
      </w:r>
    </w:p>
    <w:p>
      <w:pPr>
        <w:spacing w:after="100"/>
        <w:jc w:val="center"/>
      </w:pPr>
      <w:r>
        <w:rPr>
          <w:rFonts w:ascii="Arial" w:hAnsi="Arial" w:eastAsia="Arial"/>
          <w:b/>
          <w:color w:val="14181C"/>
          <w:sz w:val="21"/>
        </w:rPr>
        <w:t xml:space="preserve">Назначение: </w:t>
      </w:r>
      <w:r>
        <w:rPr>
          <w:rFonts w:ascii="Arial" w:hAnsi="Arial" w:eastAsia="Arial"/>
          <w:color w:val="14181C"/>
          <w:sz w:val="21"/>
        </w:rPr>
        <w:t>Базовый документ для разработки, приёмки и продуктового развития</w:t>
      </w:r>
    </w:p>
    <w:p>
      <w:r>
        <w:br w:type="page"/>
      </w:r>
    </w:p>
    <w:p>
      <w:pPr>
        <w:pStyle w:val="Heading1"/>
        <w:keepNext/>
      </w:pPr>
      <w:r>
        <w:t>1. Статус документа</w:t>
      </w:r>
    </w:p>
    <w:p>
      <w:r>
        <w:rPr>
          <w:rFonts w:ascii="Arial" w:hAnsi="Arial" w:eastAsia="Arial"/>
        </w:rPr>
        <w:t>Документ определяет обязательный функциональный и технический объём Simple WMS Alpha. Он подготовлен на основе утверждённой продуктовой концепции и учитывает фактически реализованное универсальное складское ядро. После согласования документ становится основной границей разработки до закрытия Alpha.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GEN-01 Единая база разработки. </w:t>
      </w:r>
      <w:r>
        <w:rPr>
          <w:rFonts w:ascii="Arial" w:hAnsi="Arial" w:eastAsia="Arial"/>
        </w:rPr>
        <w:t>Новые функции развивают существующие модели, API и складские операции. Параллельная система поштучного учёта не создаётся.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GEN-02 Управление объёмом. </w:t>
      </w:r>
      <w:r>
        <w:rPr>
          <w:rFonts w:ascii="Arial" w:hAnsi="Arial" w:eastAsia="Arial"/>
        </w:rPr>
        <w:t>Функция, не включённая в настоящее ТЗ, оформляется направлением развития или подключаемым модулем и не блокирует завершение Alpha.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GEN-03 Последовательность документов. </w:t>
      </w:r>
      <w:r>
        <w:rPr>
          <w:rFonts w:ascii="Arial" w:hAnsi="Arial" w:eastAsia="Arial"/>
        </w:rPr>
        <w:t>После ТЗ формируются каталог сквозных сценариев и актуальная дорожная карта. Архитектурные инварианты, приведённые в разделе 9, обязательны непосредственно по ТЗ.</w:t>
      </w:r>
    </w:p>
    <w:p>
      <w:pPr>
        <w:pStyle w:val="Heading1"/>
        <w:keepNext/>
      </w:pPr>
      <w:r>
        <w:t>2. Назначение и цель продукта</w:t>
      </w:r>
    </w:p>
    <w:p>
      <w:pPr>
        <w:pStyle w:val="LeadCallout"/>
        <w:shd w:fill="F4F6F9"/>
      </w:pPr>
      <w:r>
        <w:rPr>
          <w:rFonts w:ascii="Arial" w:hAnsi="Arial" w:eastAsia="Arial"/>
          <w:b/>
          <w:color w:val="0F2C46"/>
          <w:sz w:val="22"/>
        </w:rPr>
        <w:t>Simple WMS должна отвечать на три практических вопроса: что хранится, сколько этого доступно и где это физически находится — после чего провести работника по безопасной последовательности действий.</w:t>
      </w:r>
    </w:p>
    <w:p>
      <w:r>
        <w:rPr>
          <w:rFonts w:ascii="Arial" w:hAnsi="Arial" w:eastAsia="Arial"/>
        </w:rPr>
        <w:t>Система предназначена для складов организации, на которых товар, сырьё, расходные материалы, запчасти и иная номенклатура могут храниться непосредственно по адресам либо внутри палет, коробов, лотков, ящиков, бочек, кубов и других логистических единиц.</w:t>
      </w:r>
    </w:p>
    <w:p>
      <w:pPr>
        <w:spacing w:after="80" w:line="280" w:lineRule="auto"/>
        <w:numPr>
          <w:ilvl w:val="0"/>
          <w:numId w:val="10"/>
        </w:numPr>
      </w:pPr>
      <w:r>
        <w:rPr>
          <w:rFonts w:ascii="Arial" w:hAnsi="Arial" w:eastAsia="Arial"/>
        </w:rPr>
        <w:t>автономная работа без обязательной ERP;</w:t>
      </w:r>
    </w:p>
    <w:p>
      <w:pPr>
        <w:spacing w:after="80" w:line="280" w:lineRule="auto"/>
        <w:numPr>
          <w:ilvl w:val="0"/>
          <w:numId w:val="10"/>
        </w:numPr>
      </w:pPr>
      <w:r>
        <w:rPr>
          <w:rFonts w:ascii="Arial" w:hAnsi="Arial" w:eastAsia="Arial"/>
        </w:rPr>
        <w:t>адресный и номенклатурный учёт в одном ядре;</w:t>
      </w:r>
    </w:p>
    <w:p>
      <w:pPr>
        <w:spacing w:after="80" w:line="280" w:lineRule="auto"/>
        <w:numPr>
          <w:ilvl w:val="0"/>
          <w:numId w:val="10"/>
        </w:numPr>
      </w:pPr>
      <w:r>
        <w:rPr>
          <w:rFonts w:ascii="Arial" w:hAnsi="Arial" w:eastAsia="Arial"/>
        </w:rPr>
        <w:t>палетные, количественные, поштучные, весовые и объёмные операции;</w:t>
      </w:r>
    </w:p>
    <w:p>
      <w:pPr>
        <w:spacing w:after="80" w:line="280" w:lineRule="auto"/>
        <w:numPr>
          <w:ilvl w:val="0"/>
          <w:numId w:val="10"/>
        </w:numPr>
      </w:pPr>
      <w:r>
        <w:rPr>
          <w:rFonts w:ascii="Arial" w:hAnsi="Arial" w:eastAsia="Arial"/>
        </w:rPr>
        <w:t>поиск фактического размещения и доступного остатка;</w:t>
      </w:r>
    </w:p>
    <w:p>
      <w:pPr>
        <w:spacing w:after="80" w:line="280" w:lineRule="auto"/>
        <w:numPr>
          <w:ilvl w:val="0"/>
          <w:numId w:val="10"/>
        </w:numPr>
      </w:pPr>
      <w:r>
        <w:rPr>
          <w:rFonts w:ascii="Arial" w:hAnsi="Arial" w:eastAsia="Arial"/>
        </w:rPr>
        <w:t>сценарная автоматизация работы кладовщика;</w:t>
      </w:r>
    </w:p>
    <w:p>
      <w:pPr>
        <w:spacing w:after="80" w:line="280" w:lineRule="auto"/>
        <w:numPr>
          <w:ilvl w:val="0"/>
          <w:numId w:val="10"/>
        </w:numPr>
      </w:pPr>
      <w:r>
        <w:rPr>
          <w:rFonts w:ascii="Arial" w:hAnsi="Arial" w:eastAsia="Arial"/>
        </w:rPr>
        <w:t>подключаемое оборудование и внешние приложения через стабильные интерфейсы;</w:t>
      </w:r>
    </w:p>
    <w:p>
      <w:pPr>
        <w:spacing w:after="80" w:line="280" w:lineRule="auto"/>
        <w:numPr>
          <w:ilvl w:val="0"/>
          <w:numId w:val="10"/>
        </w:numPr>
      </w:pPr>
      <w:r>
        <w:rPr>
          <w:rFonts w:ascii="Arial" w:hAnsi="Arial" w:eastAsia="Arial"/>
        </w:rPr>
        <w:t>расширение под заказчика без внедрения его правил в общее ядро.</w:t>
      </w:r>
    </w:p>
    <w:p>
      <w:pPr>
        <w:pStyle w:val="Heading1"/>
        <w:keepNext/>
      </w:pPr>
      <w:r>
        <w:t>3. Граница Alpha</w:t>
      </w:r>
    </w:p>
    <w:p>
      <w:pPr>
        <w:pStyle w:val="Heading2"/>
        <w:keepNext/>
      </w:pPr>
      <w:r>
        <w:t>3.1. Обязательная область</w:t>
      </w:r>
    </w:p>
    <w:p>
      <w:pPr>
        <w:spacing w:after="80" w:line="280" w:lineRule="auto"/>
        <w:numPr>
          <w:ilvl w:val="0"/>
          <w:numId w:val="11"/>
        </w:numPr>
      </w:pPr>
      <w:r>
        <w:rPr>
          <w:rFonts w:ascii="Arial" w:hAnsi="Arial" w:eastAsia="Arial"/>
        </w:rPr>
        <w:t>организация, пользователи, роли, склады и рабочие места;</w:t>
      </w:r>
    </w:p>
    <w:p>
      <w:pPr>
        <w:spacing w:after="80" w:line="280" w:lineRule="auto"/>
        <w:numPr>
          <w:ilvl w:val="0"/>
          <w:numId w:val="11"/>
        </w:numPr>
      </w:pPr>
      <w:r>
        <w:rPr>
          <w:rFonts w:ascii="Arial" w:hAnsi="Arial" w:eastAsia="Arial"/>
        </w:rPr>
        <w:t>номенклатура, единицы измерения, упаковки, партии, сроки и серийные экземпляры;</w:t>
      </w:r>
    </w:p>
    <w:p>
      <w:pPr>
        <w:spacing w:after="80" w:line="280" w:lineRule="auto"/>
        <w:numPr>
          <w:ilvl w:val="0"/>
          <w:numId w:val="11"/>
        </w:numPr>
      </w:pPr>
      <w:r>
        <w:rPr>
          <w:rFonts w:ascii="Arial" w:hAnsi="Arial" w:eastAsia="Arial"/>
        </w:rPr>
        <w:t>полная адресная иерархия и универсальные логистические единицы;</w:t>
      </w:r>
    </w:p>
    <w:p>
      <w:pPr>
        <w:spacing w:after="80" w:line="280" w:lineRule="auto"/>
        <w:numPr>
          <w:ilvl w:val="0"/>
          <w:numId w:val="11"/>
        </w:numPr>
      </w:pPr>
      <w:r>
        <w:rPr>
          <w:rFonts w:ascii="Arial" w:hAnsi="Arial" w:eastAsia="Arial"/>
        </w:rPr>
        <w:t>единый регистр остатков, резервов и неизменяемых движений;</w:t>
      </w:r>
    </w:p>
    <w:p>
      <w:pPr>
        <w:spacing w:after="80" w:line="280" w:lineRule="auto"/>
        <w:numPr>
          <w:ilvl w:val="0"/>
          <w:numId w:val="11"/>
        </w:numPr>
      </w:pPr>
      <w:r>
        <w:rPr>
          <w:rFonts w:ascii="Arial" w:hAnsi="Arial" w:eastAsia="Arial"/>
        </w:rPr>
        <w:t>поиск по номенклатуре и физическому размещению;</w:t>
      </w:r>
    </w:p>
    <w:p>
      <w:pPr>
        <w:spacing w:after="80" w:line="280" w:lineRule="auto"/>
        <w:numPr>
          <w:ilvl w:val="0"/>
          <w:numId w:val="11"/>
        </w:numPr>
      </w:pPr>
      <w:r>
        <w:rPr>
          <w:rFonts w:ascii="Arial" w:hAnsi="Arial" w:eastAsia="Arial"/>
        </w:rPr>
        <w:t>приёмка, качество, упаковка, размещение, перемещение и пополнение;</w:t>
      </w:r>
    </w:p>
    <w:p>
      <w:pPr>
        <w:spacing w:after="80" w:line="280" w:lineRule="auto"/>
        <w:numPr>
          <w:ilvl w:val="0"/>
          <w:numId w:val="11"/>
        </w:numPr>
      </w:pPr>
      <w:r>
        <w:rPr>
          <w:rFonts w:ascii="Arial" w:hAnsi="Arial" w:eastAsia="Arial"/>
        </w:rPr>
        <w:t>резерв, отбор, внутренняя выдача, отгрузка и межскладская передача;</w:t>
      </w:r>
    </w:p>
    <w:p>
      <w:pPr>
        <w:spacing w:after="80" w:line="280" w:lineRule="auto"/>
        <w:numPr>
          <w:ilvl w:val="0"/>
          <w:numId w:val="11"/>
        </w:numPr>
      </w:pPr>
      <w:r>
        <w:rPr>
          <w:rFonts w:ascii="Arial" w:hAnsi="Arial" w:eastAsia="Arial"/>
        </w:rPr>
        <w:t>возвраты, инвентаризация, корректировки и списания;</w:t>
      </w:r>
    </w:p>
    <w:p>
      <w:pPr>
        <w:spacing w:after="80" w:line="280" w:lineRule="auto"/>
        <w:numPr>
          <w:ilvl w:val="0"/>
          <w:numId w:val="11"/>
        </w:numPr>
      </w:pPr>
      <w:r>
        <w:rPr>
          <w:rFonts w:ascii="Arial" w:hAnsi="Arial" w:eastAsia="Arial"/>
        </w:rPr>
        <w:t>складские задания, маркировка, оборудование, отчёты и аудит;</w:t>
      </w:r>
    </w:p>
    <w:p>
      <w:pPr>
        <w:spacing w:after="80" w:line="280" w:lineRule="auto"/>
        <w:numPr>
          <w:ilvl w:val="0"/>
          <w:numId w:val="11"/>
        </w:numPr>
      </w:pPr>
      <w:r>
        <w:rPr>
          <w:rFonts w:ascii="Arial" w:hAnsi="Arial" w:eastAsia="Arial"/>
        </w:rPr>
        <w:t>REST API, установка, обновление, резервное копирование и восстановление.</w:t>
      </w:r>
    </w:p>
    <w:p>
      <w:pPr>
        <w:pStyle w:val="Heading2"/>
        <w:keepNext/>
      </w:pPr>
      <w:r>
        <w:t>3.2. Направления развития</w:t>
      </w:r>
    </w:p>
    <w:p>
      <w:r>
        <w:rPr>
          <w:rFonts w:ascii="Arial" w:hAnsi="Arial" w:eastAsia="Arial"/>
        </w:rPr>
        <w:t>Следующие области сохраняются в продуктовой архитектуре, но реализуются после Alpha как отдельные модули, адаптеры либо заказные доработки:</w:t>
      </w:r>
    </w:p>
    <w:p>
      <w:pPr>
        <w:spacing w:after="80" w:line="280" w:lineRule="auto"/>
        <w:numPr>
          <w:ilvl w:val="0"/>
          <w:numId w:val="12"/>
        </w:numPr>
      </w:pPr>
      <w:r>
        <w:rPr>
          <w:rFonts w:ascii="Arial" w:hAnsi="Arial" w:eastAsia="Arial"/>
        </w:rPr>
        <w:t>адаптеры 1С и других ERP, ЭДО и отраслевые интеграции;</w:t>
      </w:r>
    </w:p>
    <w:p>
      <w:pPr>
        <w:spacing w:after="80" w:line="280" w:lineRule="auto"/>
        <w:numPr>
          <w:ilvl w:val="0"/>
          <w:numId w:val="12"/>
        </w:numPr>
      </w:pPr>
      <w:r>
        <w:rPr>
          <w:rFonts w:ascii="Arial" w:hAnsi="Arial" w:eastAsia="Arial"/>
        </w:rPr>
        <w:t>производство, фасовка и технологические операции;</w:t>
      </w:r>
    </w:p>
    <w:p>
      <w:pPr>
        <w:spacing w:after="80" w:line="280" w:lineRule="auto"/>
        <w:numPr>
          <w:ilvl w:val="0"/>
          <w:numId w:val="12"/>
        </w:numPr>
      </w:pPr>
      <w:r>
        <w:rPr>
          <w:rFonts w:ascii="Arial" w:hAnsi="Arial" w:eastAsia="Arial"/>
        </w:rPr>
        <w:t>транспортное планирование, управление двором, воротами и рейсами;</w:t>
      </w:r>
    </w:p>
    <w:p>
      <w:pPr>
        <w:spacing w:after="80" w:line="280" w:lineRule="auto"/>
        <w:numPr>
          <w:ilvl w:val="0"/>
          <w:numId w:val="12"/>
        </w:numPr>
      </w:pPr>
      <w:r>
        <w:rPr>
          <w:rFonts w:ascii="Arial" w:hAnsi="Arial" w:eastAsia="Arial"/>
        </w:rPr>
        <w:t>СИЗ, инструменты, ремонт, прокат и расширенный учёт имущества;</w:t>
      </w:r>
    </w:p>
    <w:p>
      <w:pPr>
        <w:spacing w:after="80" w:line="280" w:lineRule="auto"/>
        <w:numPr>
          <w:ilvl w:val="0"/>
          <w:numId w:val="12"/>
        </w:numPr>
      </w:pPr>
      <w:r>
        <w:rPr>
          <w:rFonts w:ascii="Arial" w:hAnsi="Arial" w:eastAsia="Arial"/>
        </w:rPr>
        <w:t>ответственное хранение с тарификацией и биллингом;</w:t>
      </w:r>
    </w:p>
    <w:p>
      <w:pPr>
        <w:spacing w:after="80" w:line="280" w:lineRule="auto"/>
        <w:numPr>
          <w:ilvl w:val="0"/>
          <w:numId w:val="12"/>
        </w:numPr>
      </w:pPr>
      <w:r>
        <w:rPr>
          <w:rFonts w:ascii="Arial" w:hAnsi="Arial" w:eastAsia="Arial"/>
        </w:rPr>
        <w:t>POS, Честный Знак, ЕГАИС и иные регуляторные контуры;</w:t>
      </w:r>
    </w:p>
    <w:p>
      <w:pPr>
        <w:spacing w:after="80" w:line="280" w:lineRule="auto"/>
        <w:numPr>
          <w:ilvl w:val="0"/>
          <w:numId w:val="12"/>
        </w:numPr>
      </w:pPr>
      <w:r>
        <w:rPr>
          <w:rFonts w:ascii="Arial" w:hAnsi="Arial" w:eastAsia="Arial"/>
        </w:rPr>
        <w:t>OCR документов, RFID, голосовой отбор и специализированная идентификация;</w:t>
      </w:r>
    </w:p>
    <w:p>
      <w:pPr>
        <w:spacing w:after="80" w:line="280" w:lineRule="auto"/>
        <w:numPr>
          <w:ilvl w:val="0"/>
          <w:numId w:val="12"/>
        </w:numPr>
      </w:pPr>
      <w:r>
        <w:rPr>
          <w:rFonts w:ascii="Arial" w:hAnsi="Arial" w:eastAsia="Arial"/>
        </w:rPr>
        <w:t>кросс-докинг, волновой и кластерный отбор, сложная диспетчеризация;</w:t>
      </w:r>
    </w:p>
    <w:p>
      <w:pPr>
        <w:spacing w:after="80" w:line="280" w:lineRule="auto"/>
        <w:numPr>
          <w:ilvl w:val="0"/>
          <w:numId w:val="12"/>
        </w:numPr>
      </w:pPr>
      <w:r>
        <w:rPr>
          <w:rFonts w:ascii="Arial" w:hAnsi="Arial" w:eastAsia="Arial"/>
        </w:rPr>
        <w:t>заказные драйверы оборудования и индивидуальные стратегии склада.</w:t>
      </w:r>
    </w:p>
    <w:p>
      <w:pPr>
        <w:pStyle w:val="Heading2"/>
        <w:keepNext/>
      </w:pPr>
      <w:r>
        <w:t>3.3. Исключения из складского ядра</w:t>
      </w:r>
    </w:p>
    <w:p>
      <w:r>
        <w:rPr>
          <w:rFonts w:ascii="Arial" w:hAnsi="Arial" w:eastAsia="Arial"/>
        </w:rPr>
        <w:t>Simple WMS не ведёт цены, себестоимость, взаиморасчёты, бухгалтерские проводки, налоги, заработную плату, закупочную и продажную бухгалтерию. Внешняя система может получать складские факты и формировать их финансовое или регламентированное отражение.</w:t>
      </w:r>
    </w:p>
    <w:p>
      <w:pPr>
        <w:pStyle w:val="Heading1"/>
        <w:keepNext/>
      </w:pPr>
      <w:r>
        <w:t>4. Пользователи и роли</w:t>
      </w:r>
    </w:p>
    <w:tbl>
      <w:tblPr>
        <w:tblW w:type="dxa" w:w="924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C9D1D9"/>
          <w:left w:val="single" w:sz="6" w:space="0" w:color="C9D1D9"/>
          <w:bottom w:val="single" w:sz="6" w:space="0" w:color="C9D1D9"/>
          <w:right w:val="single" w:sz="6" w:space="0" w:color="C9D1D9"/>
          <w:insideH w:val="single" w:sz="6" w:space="0" w:color="C9D1D9"/>
          <w:insideV w:val="single" w:sz="6" w:space="0" w:color="C9D1D9"/>
        </w:tblBorders>
      </w:tblPr>
      <w:tblGrid>
        <w:gridCol w:w="1800"/>
        <w:gridCol w:w="2400"/>
        <w:gridCol w:w="5040"/>
      </w:tblGrid>
      <w:tr>
        <w:trPr>
          <w:tblHeader w:val="true"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  <w:jc w:val="left"/>
            </w:pPr>
            <w:r>
              <w:rPr>
                <w:rFonts w:ascii="Arial" w:hAnsi="Arial" w:eastAsia="Arial"/>
                <w:b/>
                <w:color w:val="0F2C46"/>
                <w:sz w:val="19"/>
              </w:rPr>
              <w:t>Роль</w:t>
            </w:r>
          </w:p>
        </w:tc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  <w:jc w:val="left"/>
            </w:pPr>
            <w:r>
              <w:rPr>
                <w:rFonts w:ascii="Arial" w:hAnsi="Arial" w:eastAsia="Arial"/>
                <w:b/>
                <w:color w:val="0F2C46"/>
                <w:sz w:val="19"/>
              </w:rPr>
              <w:t>Назначение</w:t>
            </w:r>
          </w:p>
        </w:tc>
        <w:tc>
          <w:tcPr>
            <w:tcW w:type="dxa" w:w="5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  <w:jc w:val="left"/>
            </w:pPr>
            <w:r>
              <w:rPr>
                <w:rFonts w:ascii="Arial" w:hAnsi="Arial" w:eastAsia="Arial"/>
                <w:b/>
                <w:color w:val="0F2C46"/>
                <w:sz w:val="19"/>
              </w:rPr>
              <w:t>Основные действия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Кладовщик</w:t>
            </w:r>
          </w:p>
        </w:tc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Выполнение работ</w:t>
            </w:r>
          </w:p>
        </w:tc>
        <w:tc>
          <w:tcPr>
            <w:tcW w:type="dxa" w:w="5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Поиск, сканирование и исполнение назначенных операций на доступных складах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Старший кладовщик</w:t>
            </w:r>
          </w:p>
        </w:tc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Управление сменой</w:t>
            </w:r>
          </w:p>
        </w:tc>
        <w:tc>
          <w:tcPr>
            <w:tcW w:type="dxa" w:w="5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Создание и распределение заданий, штатные расхождения, печать и контроль очереди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Руководитель склада</w:t>
            </w:r>
          </w:p>
        </w:tc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Контроль и решения</w:t>
            </w:r>
          </w:p>
        </w:tc>
        <w:tc>
          <w:tcPr>
            <w:tcW w:type="dxa" w:w="5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Подтверждение списаний и существенных расхождений, отчёты и правила склада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Администратор</w:t>
            </w:r>
          </w:p>
        </w:tc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Настройка системы</w:t>
            </w:r>
          </w:p>
        </w:tc>
        <w:tc>
          <w:tcPr>
            <w:tcW w:type="dxa" w:w="5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Пользователи, организация, справочники, оборудование, интеграции и эксплуатация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Аудитор</w:t>
            </w:r>
          </w:p>
        </w:tc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Независимый контроль</w:t>
            </w:r>
          </w:p>
        </w:tc>
        <w:tc>
          <w:tcPr>
            <w:tcW w:type="dxa" w:w="5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Чтение остатков, документов, карточек и журнала без изменения данных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Интеграция</w:t>
            </w:r>
          </w:p>
        </w:tc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Машинный доступ</w:t>
            </w:r>
          </w:p>
        </w:tc>
        <w:tc>
          <w:tcPr>
            <w:tcW w:type="dxa" w:w="5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Ограниченные API-операции от имени отдельного технического субъекта</w:t>
            </w:r>
          </w:p>
        </w:tc>
      </w:tr>
    </w:tbl>
    <w:p>
      <w:pPr>
        <w:spacing w:after="40"/>
      </w:pP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ROLE-01 Аутентификация. </w:t>
      </w:r>
      <w:r>
        <w:rPr>
          <w:rFonts w:ascii="Arial" w:hAnsi="Arial" w:eastAsia="Arial"/>
        </w:rPr>
        <w:t>Пользователь входит по логину и паролю либо по персональному машиночитаемому пропуску в формате QR или линейного штрихкода в разрешённом контексте рабочего места.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ROLE-02 Область складов. </w:t>
      </w:r>
      <w:r>
        <w:rPr>
          <w:rFonts w:ascii="Arial" w:hAnsi="Arial" w:eastAsia="Arial"/>
        </w:rPr>
        <w:t>Пользователю назначаются доступные организации и склады; каждая операция проверяет область на backend.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ROLE-03 Опасные действия. </w:t>
      </w:r>
      <w:r>
        <w:rPr>
          <w:rFonts w:ascii="Arial" w:hAnsi="Arial" w:eastAsia="Arial"/>
        </w:rPr>
        <w:t>Корректировка, списание, снятие карантина, отмена проведённого документа и изменение правил требуют отдельных полномочий.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ROLE-04 Технический субъект. </w:t>
      </w:r>
      <w:r>
        <w:rPr>
          <w:rFonts w:ascii="Arial" w:hAnsi="Arial" w:eastAsia="Arial"/>
        </w:rPr>
        <w:t>Интеграция и оборудование используют отдельные учётные данные и не работают от имени администратора.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AUTH-01 Логин и пароль. </w:t>
      </w:r>
      <w:r>
        <w:rPr>
          <w:rFonts w:ascii="Arial" w:hAnsi="Arial" w:eastAsia="Arial"/>
        </w:rPr>
        <w:t>Основной способ входа доступен всем интерактивным пользователям; пароль хранится только в виде безопасного хеша.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AUTH-02 Персональный пропуск. </w:t>
      </w:r>
      <w:r>
        <w:rPr>
          <w:rFonts w:ascii="Arial" w:hAnsi="Arial" w:eastAsia="Arial"/>
        </w:rPr>
        <w:t>QR или линейный штрихкод содержит один случайный непрогнозируемый токен, а не логин, пароль или открытый идентификатор с правом входа. Формат представления выбирается по оборудованию рабочего места.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AUTH-03 Хранение пропуска. </w:t>
      </w:r>
      <w:r>
        <w:rPr>
          <w:rFonts w:ascii="Arial" w:hAnsi="Arial" w:eastAsia="Arial"/>
        </w:rPr>
        <w:t>На сервере хранится только хеш токена, владелец, срок действия при наличии, состояние, дата выдачи и отзыва.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AUTH-04 Контекст входа. </w:t>
      </w:r>
      <w:r>
        <w:rPr>
          <w:rFonts w:ascii="Arial" w:hAnsi="Arial" w:eastAsia="Arial"/>
        </w:rPr>
        <w:t>Вход по пропуску разрешается только на зарегистрированных рабочих местах или в явно разрешённом организацией режиме и создаёт обычную краткоживущую сессию.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AUTH-05 Права. </w:t>
      </w:r>
      <w:r>
        <w:rPr>
          <w:rFonts w:ascii="Arial" w:hAnsi="Arial" w:eastAsia="Arial"/>
        </w:rPr>
        <w:t>Вход по пропуску не меняет роль и область складов пользователя и не предоставляет дополнительных полномочий.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AUTH-06 Опасные действия. </w:t>
      </w:r>
      <w:r>
        <w:rPr>
          <w:rFonts w:ascii="Arial" w:hAnsi="Arial" w:eastAsia="Arial"/>
        </w:rPr>
        <w:t>Организация может требовать повторный пароль, персональный PIN или подтверждение старшего для списания, корректировки и иных исключительных операций.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AUTH-07 Отзыв и блокировка. </w:t>
      </w:r>
      <w:r>
        <w:rPr>
          <w:rFonts w:ascii="Arial" w:hAnsi="Arial" w:eastAsia="Arial"/>
        </w:rPr>
        <w:t>Пропуск немедленно отзывается полномочным пользователем; после увольнения, потери или блокировки пользователя новые сессии не создаются, а связанные активные сессии могут быть принудительно завершены.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AUTH-08 Сессия рабочего места. </w:t>
      </w:r>
      <w:r>
        <w:rPr>
          <w:rFonts w:ascii="Arial" w:hAnsi="Arial" w:eastAsia="Arial"/>
        </w:rPr>
        <w:t>Поддерживаются ручной выход, автоматическая блокировка по бездействию и быстрая смена оператора без сохранения действий за предыдущим пользователем.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AUTH-09 Выпуск. </w:t>
      </w:r>
      <w:r>
        <w:rPr>
          <w:rFonts w:ascii="Arial" w:hAnsi="Arial" w:eastAsia="Arial"/>
        </w:rPr>
        <w:t>Пропуск выпускает администратор, старший кладовщик в пределах назначенных складов либо сам пользователь из своего профиля после повторного подтверждения логина и пароля.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AUTH-10 Одноразовая выдача. </w:t>
      </w:r>
      <w:r>
        <w:rPr>
          <w:rFonts w:ascii="Arial" w:hAnsi="Arial" w:eastAsia="Arial"/>
        </w:rPr>
        <w:t>Открытый токен показывается, скачивается или отправляется на печать только в момент выпуска. Получить существующий токен повторно невозможно, поскольку сервер хранит только его хеш.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AUTH-11 Перевыпуск. </w:t>
      </w:r>
      <w:r>
        <w:rPr>
          <w:rFonts w:ascii="Arial" w:hAnsi="Arial" w:eastAsia="Arial"/>
        </w:rPr>
        <w:t>Каждая новая выдача создаёт новый токен и в одной транзакции отзывает прежний активный пропуск пользователя. Старый QR или штрихкод перестаёт создавать сессии немедленно.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AUTH-12 Аудит выдачи. </w:t>
      </w:r>
      <w:r>
        <w:rPr>
          <w:rFonts w:ascii="Arial" w:hAnsi="Arial" w:eastAsia="Arial"/>
        </w:rPr>
        <w:t>Журнал содержит владельца, инициатора, способ выпуска, время, рабочее место, причину перевыпуска и результат. Действия по пропуску всегда относятся к его владельцу; интерфейс сообщает о персональном характере пропуска.</w:t>
      </w:r>
    </w:p>
    <w:p>
      <w:pPr>
        <w:pStyle w:val="Heading1"/>
        <w:keepNext/>
      </w:pPr>
      <w:r>
        <w:t>5. Термины и модель предметной области</w:t>
      </w:r>
    </w:p>
    <w:tbl>
      <w:tblPr>
        <w:tblW w:type="dxa" w:w="924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C9D1D9"/>
          <w:left w:val="single" w:sz="6" w:space="0" w:color="C9D1D9"/>
          <w:bottom w:val="single" w:sz="6" w:space="0" w:color="C9D1D9"/>
          <w:right w:val="single" w:sz="6" w:space="0" w:color="C9D1D9"/>
          <w:insideH w:val="single" w:sz="6" w:space="0" w:color="C9D1D9"/>
          <w:insideV w:val="single" w:sz="6" w:space="0" w:color="C9D1D9"/>
        </w:tblBorders>
      </w:tblPr>
      <w:tblGrid>
        <w:gridCol w:w="2600"/>
        <w:gridCol w:w="6640"/>
      </w:tblGrid>
      <w:tr>
        <w:trPr>
          <w:tblHeader w:val="true"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  <w:jc w:val="left"/>
            </w:pPr>
            <w:r>
              <w:rPr>
                <w:rFonts w:ascii="Arial" w:hAnsi="Arial" w:eastAsia="Arial"/>
                <w:b/>
                <w:color w:val="0F2C46"/>
                <w:sz w:val="19"/>
              </w:rPr>
              <w:t>Термин</w:t>
            </w:r>
          </w:p>
        </w:tc>
        <w:tc>
          <w:tcPr>
            <w:tcW w:type="dxa" w:w="66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  <w:jc w:val="left"/>
            </w:pPr>
            <w:r>
              <w:rPr>
                <w:rFonts w:ascii="Arial" w:hAnsi="Arial" w:eastAsia="Arial"/>
                <w:b/>
                <w:color w:val="0F2C46"/>
                <w:sz w:val="19"/>
              </w:rPr>
              <w:t>Определение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Номенклатура</w:t>
            </w:r>
          </w:p>
        </w:tc>
        <w:tc>
          <w:tcPr>
            <w:tcW w:type="dxa" w:w="66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Учётная позиция физического запаса: товар, сырьё, материал, расходник, запчасть или иное имущество.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Количество</w:t>
            </w:r>
          </w:p>
        </w:tc>
        <w:tc>
          <w:tcPr>
            <w:tcW w:type="dxa" w:w="66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Числовая величина номенклатуры в определённой единице измерения.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Товарная упаковка</w:t>
            </w:r>
          </w:p>
        </w:tc>
        <w:tc>
          <w:tcPr>
            <w:tcW w:type="dxa" w:w="66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Настроенное представление количества одной номенклатуры, например коробка 12 шт. или канистра 20 л.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Логистическая единица (ЛЕ)</w:t>
            </w:r>
          </w:p>
        </w:tc>
        <w:tc>
          <w:tcPr>
            <w:tcW w:type="dxa" w:w="66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Уникальный физический объект хранения и перемещения: палета, короб, лоток, бочка, куб, контейнер или пользовательский тип.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Адрес</w:t>
            </w:r>
          </w:p>
        </w:tc>
        <w:tc>
          <w:tcPr>
            <w:tcW w:type="dxa" w:w="66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Элемент физической или виртуальной структуры хранения, однозначно связанный со складом.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Позиция остатка</w:t>
            </w:r>
          </w:p>
        </w:tc>
        <w:tc>
          <w:tcPr>
            <w:tcW w:type="dxa" w:w="66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Количество номенклатуры с определёнными владельцем, партией или серией, качеством и физическим держателем.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Физический держатель</w:t>
            </w:r>
          </w:p>
        </w:tc>
        <w:tc>
          <w:tcPr>
            <w:tcW w:type="dxa" w:w="66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Конкретный адрес либо конечная ЛЕ, внутри которой учитывается запас.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Резерв</w:t>
            </w:r>
          </w:p>
        </w:tc>
        <w:tc>
          <w:tcPr>
            <w:tcW w:type="dxa" w:w="66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Отдельное закрепление части доступного количества за документом или потребностью без обязательного перемещения.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Движение</w:t>
            </w:r>
          </w:p>
        </w:tc>
        <w:tc>
          <w:tcPr>
            <w:tcW w:type="dxa" w:w="66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Неизменяемая запись о проведённом изменении количества или одного из измерений запаса.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Документ</w:t>
            </w:r>
          </w:p>
        </w:tc>
        <w:tc>
          <w:tcPr>
            <w:tcW w:type="dxa" w:w="66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Основание и жизненный цикл бизнес-операции; содержит строки, статусы, участников и ссылки на движения.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Задание</w:t>
            </w:r>
          </w:p>
        </w:tc>
        <w:tc>
          <w:tcPr>
            <w:tcW w:type="dxa" w:w="66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Исполняемая работа оператора, созданная документом, правилом либо руководителем.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6. Исходное состояние реализации</w:t>
      </w:r>
    </w:p>
    <w:p>
      <w:r>
        <w:rPr>
          <w:rFonts w:ascii="Arial" w:hAnsi="Arial" w:eastAsia="Arial"/>
        </w:rPr>
        <w:t>Разработка Alpha начинается не с пустого проекта. Нижеприведённая матрица фиксирует состояние на момент подготовки ТЗ и определяет характер дальнейшей работы.</w:t>
      </w:r>
    </w:p>
    <w:tbl>
      <w:tblPr>
        <w:tblW w:type="dxa" w:w="924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C9D1D9"/>
          <w:left w:val="single" w:sz="6" w:space="0" w:color="C9D1D9"/>
          <w:bottom w:val="single" w:sz="6" w:space="0" w:color="C9D1D9"/>
          <w:right w:val="single" w:sz="6" w:space="0" w:color="C9D1D9"/>
          <w:insideH w:val="single" w:sz="6" w:space="0" w:color="C9D1D9"/>
          <w:insideV w:val="single" w:sz="6" w:space="0" w:color="C9D1D9"/>
        </w:tblBorders>
      </w:tblPr>
      <w:tblGrid>
        <w:gridCol w:w="1750"/>
        <w:gridCol w:w="1450"/>
        <w:gridCol w:w="3150"/>
        <w:gridCol w:w="2890"/>
      </w:tblGrid>
      <w:tr>
        <w:trPr>
          <w:tblHeader w:val="true"/>
        </w:trPr>
        <w:tc>
          <w:tcPr>
            <w:tcW w:type="dxa" w:w="17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  <w:jc w:val="left"/>
            </w:pPr>
            <w:r>
              <w:rPr>
                <w:rFonts w:ascii="Arial" w:hAnsi="Arial" w:eastAsia="Arial"/>
                <w:b/>
                <w:color w:val="0F2C46"/>
                <w:sz w:val="19"/>
              </w:rPr>
              <w:t>Область</w:t>
            </w:r>
          </w:p>
        </w:tc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  <w:jc w:val="left"/>
            </w:pPr>
            <w:r>
              <w:rPr>
                <w:rFonts w:ascii="Arial" w:hAnsi="Arial" w:eastAsia="Arial"/>
                <w:b/>
                <w:color w:val="0F2C46"/>
                <w:sz w:val="19"/>
              </w:rPr>
              <w:t>Статус</w:t>
            </w:r>
          </w:p>
        </w:tc>
        <w:tc>
          <w:tcPr>
            <w:tcW w:type="dxa" w:w="3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  <w:jc w:val="left"/>
            </w:pPr>
            <w:r>
              <w:rPr>
                <w:rFonts w:ascii="Arial" w:hAnsi="Arial" w:eastAsia="Arial"/>
                <w:b/>
                <w:color w:val="0F2C46"/>
                <w:sz w:val="19"/>
              </w:rPr>
              <w:t>Что уже существует</w:t>
            </w:r>
          </w:p>
        </w:tc>
        <w:tc>
          <w:tcPr>
            <w:tcW w:type="dxa" w:w="289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  <w:jc w:val="left"/>
            </w:pPr>
            <w:r>
              <w:rPr>
                <w:rFonts w:ascii="Arial" w:hAnsi="Arial" w:eastAsia="Arial"/>
                <w:b/>
                <w:color w:val="0F2C46"/>
                <w:sz w:val="19"/>
              </w:rPr>
              <w:t>Что требуется по Alpha</w:t>
            </w:r>
          </w:p>
        </w:tc>
      </w:tr>
      <w:tr>
        <w:tc>
          <w:tcPr>
            <w:tcW w:type="dxa" w:w="17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Логистические единицы</w:t>
            </w:r>
          </w:p>
        </w:tc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Готово</w:t>
            </w:r>
          </w:p>
        </w:tc>
        <w:tc>
          <w:tcPr>
            <w:tcW w:type="dxa" w:w="3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Типы, экземпляры, вложенность, состав, статусы и универсальные операции</w:t>
            </w:r>
          </w:p>
        </w:tc>
        <w:tc>
          <w:tcPr>
            <w:tcW w:type="dxa" w:w="289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Связать с единым регистром остатков</w:t>
            </w:r>
          </w:p>
        </w:tc>
      </w:tr>
      <w:tr>
        <w:tc>
          <w:tcPr>
            <w:tcW w:type="dxa" w:w="17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Адресная иерархия</w:t>
            </w:r>
          </w:p>
        </w:tc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Готово</w:t>
            </w:r>
          </w:p>
        </w:tc>
        <w:tc>
          <w:tcPr>
            <w:tcW w:type="dxa" w:w="3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Склад, зона, проход, стеллаж, секция, ярус, позиция и дерево API</w:t>
            </w:r>
          </w:p>
        </w:tc>
        <w:tc>
          <w:tcPr>
            <w:tcW w:type="dxa" w:w="289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Ограничения и рекомендации</w:t>
            </w:r>
          </w:p>
        </w:tc>
      </w:tr>
      <w:tr>
        <w:tc>
          <w:tcPr>
            <w:tcW w:type="dxa" w:w="17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Складской цикл</w:t>
            </w:r>
          </w:p>
        </w:tc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Готово частично</w:t>
            </w:r>
          </w:p>
        </w:tc>
        <w:tc>
          <w:tcPr>
            <w:tcW w:type="dxa" w:w="3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Приёмка, размещение, перемещение, отгрузка, передача, инвентаризация и задания</w:t>
            </w:r>
          </w:p>
        </w:tc>
        <w:tc>
          <w:tcPr>
            <w:tcW w:type="dxa" w:w="289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Количественные строки и единые проводки</w:t>
            </w:r>
          </w:p>
        </w:tc>
      </w:tr>
      <w:tr>
        <w:tc>
          <w:tcPr>
            <w:tcW w:type="dxa" w:w="17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Единицы и упаковки</w:t>
            </w:r>
          </w:p>
        </w:tc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Готово частично</w:t>
            </w:r>
          </w:p>
        </w:tc>
        <w:tc>
          <w:tcPr>
            <w:tcW w:type="dxa" w:w="3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Decimal, базовые единицы, коэффициенты и backend товарных упаковок</w:t>
            </w:r>
          </w:p>
        </w:tc>
        <w:tc>
          <w:tcPr>
            <w:tcW w:type="dxa" w:w="289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UI, сканирование упаковок и применение во всех операциях</w:t>
            </w:r>
          </w:p>
        </w:tc>
      </w:tr>
      <w:tr>
        <w:tc>
          <w:tcPr>
            <w:tcW w:type="dxa" w:w="17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Поиск и карточки</w:t>
            </w:r>
          </w:p>
        </w:tc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Готово частично</w:t>
            </w:r>
          </w:p>
        </w:tc>
        <w:tc>
          <w:tcPr>
            <w:tcW w:type="dxa" w:w="3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Карточки ЛЕ и адресов, история и поиск объектов</w:t>
            </w:r>
          </w:p>
        </w:tc>
        <w:tc>
          <w:tcPr>
            <w:tcW w:type="dxa" w:w="289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Номенклатурный поиск и сводный остаток</w:t>
            </w:r>
          </w:p>
        </w:tc>
      </w:tr>
      <w:tr>
        <w:tc>
          <w:tcPr>
            <w:tcW w:type="dxa" w:w="17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Оборудование</w:t>
            </w:r>
          </w:p>
        </w:tc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Готово частично</w:t>
            </w:r>
          </w:p>
        </w:tc>
        <w:tc>
          <w:tcPr>
            <w:tcW w:type="dxa" w:w="3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Профили, PDF, RAW TCP и проверенный термопринтер</w:t>
            </w:r>
          </w:p>
        </w:tc>
        <w:tc>
          <w:tcPr>
            <w:tcW w:type="dxa" w:w="289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Диспетчер, диагностика, рабочие места и весы</w:t>
            </w:r>
          </w:p>
        </w:tc>
      </w:tr>
      <w:tr>
        <w:tc>
          <w:tcPr>
            <w:tcW w:type="dxa" w:w="17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Пользователи и права</w:t>
            </w:r>
          </w:p>
        </w:tc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Не начато</w:t>
            </w:r>
          </w:p>
        </w:tc>
        <w:tc>
          <w:tcPr>
            <w:tcW w:type="dxa" w:w="3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Модель пользователя и перечисление ролей</w:t>
            </w:r>
          </w:p>
        </w:tc>
        <w:tc>
          <w:tcPr>
            <w:tcW w:type="dxa" w:w="289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Вход, сессии, области складов и backend-проверки</w:t>
            </w:r>
          </w:p>
        </w:tc>
      </w:tr>
      <w:tr>
        <w:tc>
          <w:tcPr>
            <w:tcW w:type="dxa" w:w="17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Регистр остатков</w:t>
            </w:r>
          </w:p>
        </w:tc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Не начато</w:t>
            </w:r>
          </w:p>
        </w:tc>
        <w:tc>
          <w:tcPr>
            <w:tcW w:type="dxa" w:w="3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Состав ЛЕ и журнал событий дают исходные факты</w:t>
            </w:r>
          </w:p>
        </w:tc>
        <w:tc>
          <w:tcPr>
            <w:tcW w:type="dxa" w:w="289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Позиции, резервы, движения, сверка и миграция</w:t>
            </w:r>
          </w:p>
        </w:tc>
      </w:tr>
      <w:tr>
        <w:tc>
          <w:tcPr>
            <w:tcW w:type="dxa" w:w="17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Эксплуатация</w:t>
            </w:r>
          </w:p>
        </w:tc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Готово частично</w:t>
            </w:r>
          </w:p>
        </w:tc>
        <w:tc>
          <w:tcPr>
            <w:tcW w:type="dxa" w:w="3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PostgreSQL, Alembic, systemd и backup</w:t>
            </w:r>
          </w:p>
        </w:tc>
        <w:tc>
          <w:tcPr>
            <w:tcW w:type="dxa" w:w="289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Установщик, обновление, мастер запуска и восстановление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7. Справочники и постоянные данные</w:t>
      </w:r>
    </w:p>
    <w:p>
      <w:pPr>
        <w:pStyle w:val="Heading2"/>
        <w:keepNext/>
      </w:pPr>
      <w:r>
        <w:t>7.1. Организация и нумерация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ORG-01 Организация. </w:t>
      </w:r>
      <w:r>
        <w:rPr>
          <w:rFonts w:ascii="Arial" w:hAnsi="Arial" w:eastAsia="Arial"/>
        </w:rPr>
        <w:t>Хранятся название, часовой пояс, режим эксплуатации, единицы по умолчанию и контакты администратора.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ORG-02 Нумерация. </w:t>
      </w:r>
      <w:r>
        <w:rPr>
          <w:rFonts w:ascii="Arial" w:hAnsi="Arial" w:eastAsia="Arial"/>
        </w:rPr>
        <w:t>Коды документов, адресов и ЛЕ создаются ядром по настраиваемым префиксам и последовательностям с гарантией уникальности.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ORG-03 Режим данных. </w:t>
      </w:r>
      <w:r>
        <w:rPr>
          <w:rFonts w:ascii="Arial" w:hAnsi="Arial" w:eastAsia="Arial"/>
        </w:rPr>
        <w:t>Производственный и демонстрационный режимы разделены; очистка демо-данных недоступна в производственном режиме.</w:t>
      </w:r>
    </w:p>
    <w:p>
      <w:pPr>
        <w:pStyle w:val="Heading2"/>
        <w:keepNext/>
      </w:pPr>
      <w:r>
        <w:t>7.2. Номенклатура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ITEM-01 Карточка. </w:t>
      </w:r>
      <w:r>
        <w:rPr>
          <w:rFonts w:ascii="Arial" w:hAnsi="Arial" w:eastAsia="Arial"/>
        </w:rPr>
        <w:t>Содержит код, название, артикул, категорию, базовую единицу, штрихкоды, режим партий и серий, срок годности, массу и габариты при наличии.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ITEM-02 Область. </w:t>
      </w:r>
      <w:r>
        <w:rPr>
          <w:rFonts w:ascii="Arial" w:hAnsi="Arial" w:eastAsia="Arial"/>
        </w:rPr>
        <w:t>Допускаются товары, сырьё, материалы, расходники, канцелярия, запчасти, СИЗ, инструменты и иные объекты физического склада.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ITEM-03 Архив. </w:t>
      </w:r>
      <w:r>
        <w:rPr>
          <w:rFonts w:ascii="Arial" w:hAnsi="Arial" w:eastAsia="Arial"/>
        </w:rPr>
        <w:t>Номенклатура с историей не удаляется; она архивируется и исключается из новых операций.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ITEM-04 Идентификаторы. </w:t>
      </w:r>
      <w:r>
        <w:rPr>
          <w:rFonts w:ascii="Arial" w:hAnsi="Arial" w:eastAsia="Arial"/>
        </w:rPr>
        <w:t>Активный штрихкод или иной машиночитаемый код не может неоднозначно обозначать разные активные объекты без явного правила выбора.</w:t>
      </w:r>
    </w:p>
    <w:p>
      <w:pPr>
        <w:pStyle w:val="Heading2"/>
        <w:keepNext/>
      </w:pPr>
      <w:r>
        <w:t>7.3. Единицы измерения и товарные упаковки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UOM-01 Измерения. </w:t>
      </w:r>
      <w:r>
        <w:rPr>
          <w:rFonts w:ascii="Arial" w:hAnsi="Arial" w:eastAsia="Arial"/>
        </w:rPr>
        <w:t>Поддерживаются штуки, масса, объём, длина, площадь и пользовательские совместимые единицы.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UOM-02 Точность. </w:t>
      </w:r>
      <w:r>
        <w:rPr>
          <w:rFonts w:ascii="Arial" w:hAnsi="Arial" w:eastAsia="Arial"/>
        </w:rPr>
        <w:t>Количество хранится как Decimal с точностью единицы; двоичный float для расчёта остатков не используется.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UOM-03 Пересчёт. </w:t>
      </w:r>
      <w:r>
        <w:rPr>
          <w:rFonts w:ascii="Arial" w:hAnsi="Arial" w:eastAsia="Arial"/>
        </w:rPr>
        <w:t>Пересчёт разрешён только между совместимыми измерениями и выполняется в базовую единицу номенклатуры.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UOM-04 Снимок коэффициента. </w:t>
      </w:r>
      <w:r>
        <w:rPr>
          <w:rFonts w:ascii="Arial" w:hAnsi="Arial" w:eastAsia="Arial"/>
        </w:rPr>
        <w:t>Движение сохраняет исходное количество, единицу ввода, базовое количество и применённый коэффициент.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PKG-01 Товарная упаковка. </w:t>
      </w:r>
      <w:r>
        <w:rPr>
          <w:rFonts w:ascii="Arial" w:hAnsi="Arial" w:eastAsia="Arial"/>
        </w:rPr>
        <w:t>Для номенклатуры задаются код, название, количество, штрихкод, масса, габариты и признак активности.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PKG-02 Отличие от ЛЕ. </w:t>
      </w:r>
      <w:r>
        <w:rPr>
          <w:rFonts w:ascii="Arial" w:hAnsi="Arial" w:eastAsia="Arial"/>
        </w:rPr>
        <w:t>Товарная упаковка является способом ввода количества и не становится уникальной физической ЛЕ без отдельной операции создания ЛЕ.</w:t>
      </w:r>
    </w:p>
    <w:p>
      <w:pPr>
        <w:pStyle w:val="Heading2"/>
        <w:keepNext/>
      </w:pPr>
      <w:r>
        <w:t>7.4. Партии и серийные экземпляры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LOT-01 Партия. </w:t>
      </w:r>
      <w:r>
        <w:rPr>
          <w:rFonts w:ascii="Arial" w:hAnsi="Arial" w:eastAsia="Arial"/>
        </w:rPr>
        <w:t>Партия может содержать номер поставщика и внутренний номер, даты производства и годности, производителя, документы и качество.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LOT-02 Режим учёта. </w:t>
      </w:r>
      <w:r>
        <w:rPr>
          <w:rFonts w:ascii="Arial" w:hAnsi="Arial" w:eastAsia="Arial"/>
        </w:rPr>
        <w:t>Для номенклатуры задаётся отсутствие партии, обязательная партия либо уникальная серийность.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SER-01 Серийный код. </w:t>
      </w:r>
      <w:r>
        <w:rPr>
          <w:rFonts w:ascii="Arial" w:hAnsi="Arial" w:eastAsia="Arial"/>
        </w:rPr>
        <w:t>Серийный экземпляр уникален; повторный приход того же активного кода отклоняется или оформляется возвратом существующего экземпляра.</w:t>
      </w:r>
    </w:p>
    <w:p>
      <w:pPr>
        <w:pStyle w:val="Heading2"/>
        <w:keepNext/>
      </w:pPr>
      <w:r>
        <w:t>7.5. Логистические единицы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LU-01 Пользовательские типы. </w:t>
      </w:r>
      <w:r>
        <w:rPr>
          <w:rFonts w:ascii="Arial" w:hAnsi="Arial" w:eastAsia="Arial"/>
        </w:rPr>
        <w:t>Тип содержит код, название, массу тары, габариты, допустимую загрузку, правила вложенности и шаблон кода.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LU-02 Экземпляр. </w:t>
      </w:r>
      <w:r>
        <w:rPr>
          <w:rFonts w:ascii="Arial" w:hAnsi="Arial" w:eastAsia="Arial"/>
        </w:rPr>
        <w:t>ЛЕ имеет уникальный код, тип, состояние, физическое местонахождение, родителя, содержимое и историю.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LU-03 Вложенность. </w:t>
      </w:r>
      <w:r>
        <w:rPr>
          <w:rFonts w:ascii="Arial" w:hAnsi="Arial" w:eastAsia="Arial"/>
        </w:rPr>
        <w:t>Поддерживаются цепочки палета → короб → товар, палета → бочки → жидкость, куб → литры и пользовательские варианты.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LU-04 Защита. </w:t>
      </w:r>
      <w:r>
        <w:rPr>
          <w:rFonts w:ascii="Arial" w:hAnsi="Arial" w:eastAsia="Arial"/>
        </w:rPr>
        <w:t>Запрещены циклы, несколько родителей, повторный физический учёт содержимого и несовместимая вложенность.</w:t>
      </w:r>
    </w:p>
    <w:p>
      <w:pPr>
        <w:pStyle w:val="Heading2"/>
        <w:keepNext/>
      </w:pPr>
      <w:r>
        <w:t>7.6. Склады и адреса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LOC-01 Иерархия. </w:t>
      </w:r>
      <w:r>
        <w:rPr>
          <w:rFonts w:ascii="Arial" w:hAnsi="Arial" w:eastAsia="Arial"/>
        </w:rPr>
        <w:t>Адрес строится независимо от карты: склад → зона → проход → стеллаж → секция → ярус → позиция.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LOC-02 Типы зон. </w:t>
      </w:r>
      <w:r>
        <w:rPr>
          <w:rFonts w:ascii="Arial" w:hAnsi="Arial" w:eastAsia="Arial"/>
        </w:rPr>
        <w:t>Поддерживаются хранение, приёмка, качество, отбор, экспедиция, брак, техническая и виртуальная транзитная зона.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LOC-03 Ограничения. </w:t>
      </w:r>
      <w:r>
        <w:rPr>
          <w:rFonts w:ascii="Arial" w:hAnsi="Arial" w:eastAsia="Arial"/>
        </w:rPr>
        <w:t>Адрес может ограничивать массу, объём, габариты, число мест, типы ЛЕ, товары, качество и совместное хранение.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LOC-04 Карта. </w:t>
      </w:r>
      <w:r>
        <w:rPr>
          <w:rFonts w:ascii="Arial" w:hAnsi="Arial" w:eastAsia="Arial"/>
        </w:rPr>
        <w:t>Карта визуализирует адреса, но не является источником их идентификаторов. Коды создаются ядром, а дубликаты отклоняются сервером.</w:t>
      </w:r>
    </w:p>
    <w:p>
      <w:pPr>
        <w:pStyle w:val="Heading2"/>
        <w:keepNext/>
      </w:pPr>
      <w:r>
        <w:t>7.7. Получатели, собственники и причины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PARTY-01 Получатель. </w:t>
      </w:r>
      <w:r>
        <w:rPr>
          <w:rFonts w:ascii="Arial" w:hAnsi="Arial" w:eastAsia="Arial"/>
        </w:rPr>
        <w:t>Выдача связывается с сотрудником, подразделением, рабочим местом, контрагентом либо текстовым назначением.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OWNER-01 Собственник. </w:t>
      </w:r>
      <w:r>
        <w:rPr>
          <w:rFonts w:ascii="Arial" w:hAnsi="Arial" w:eastAsia="Arial"/>
        </w:rPr>
        <w:t>Модель остатка допускает отдельного собственника; в первой установке может автоматически использоваться организация по умолчанию.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REASON-01 Причины. </w:t>
      </w:r>
      <w:r>
        <w:rPr>
          <w:rFonts w:ascii="Arial" w:hAnsi="Arial" w:eastAsia="Arial"/>
        </w:rPr>
        <w:t>Корректировки, списания, блокировки, отмены и исключительные действия используют настраиваемые коды причин.</w:t>
      </w:r>
    </w:p>
    <w:p>
      <w:pPr>
        <w:pStyle w:val="Heading1"/>
        <w:keepNext/>
      </w:pPr>
      <w:r>
        <w:t>8. Регистр остатков, резервов и движений</w:t>
      </w:r>
    </w:p>
    <w:p>
      <w:pPr>
        <w:pStyle w:val="Heading2"/>
        <w:keepNext/>
      </w:pPr>
      <w:r>
        <w:t>8.1. Сущности регистра</w:t>
      </w:r>
    </w:p>
    <w:tbl>
      <w:tblPr>
        <w:tblW w:type="dxa" w:w="924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C9D1D9"/>
          <w:left w:val="single" w:sz="6" w:space="0" w:color="C9D1D9"/>
          <w:bottom w:val="single" w:sz="6" w:space="0" w:color="C9D1D9"/>
          <w:right w:val="single" w:sz="6" w:space="0" w:color="C9D1D9"/>
          <w:insideH w:val="single" w:sz="6" w:space="0" w:color="C9D1D9"/>
          <w:insideV w:val="single" w:sz="6" w:space="0" w:color="C9D1D9"/>
        </w:tblBorders>
      </w:tblPr>
      <w:tblGrid>
        <w:gridCol w:w="2600"/>
        <w:gridCol w:w="6640"/>
      </w:tblGrid>
      <w:tr>
        <w:trPr>
          <w:tblHeader w:val="true"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  <w:jc w:val="left"/>
            </w:pPr>
            <w:r>
              <w:rPr>
                <w:rFonts w:ascii="Arial" w:hAnsi="Arial" w:eastAsia="Arial"/>
                <w:b/>
                <w:color w:val="0F2C46"/>
                <w:sz w:val="19"/>
              </w:rPr>
              <w:t>Сущность</w:t>
            </w:r>
          </w:p>
        </w:tc>
        <w:tc>
          <w:tcPr>
            <w:tcW w:type="dxa" w:w="66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  <w:jc w:val="left"/>
            </w:pPr>
            <w:r>
              <w:rPr>
                <w:rFonts w:ascii="Arial" w:hAnsi="Arial" w:eastAsia="Arial"/>
                <w:b/>
                <w:color w:val="0F2C46"/>
                <w:sz w:val="19"/>
              </w:rPr>
              <w:t>Назначение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Позиция остатка</w:t>
            </w:r>
          </w:p>
        </w:tc>
        <w:tc>
          <w:tcPr>
            <w:tcW w:type="dxa" w:w="66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Текущее физическое количество по номенклатуре, владельцу, партии или серии, качеству и физическому держателю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Резерв</w:t>
            </w:r>
          </w:p>
        </w:tc>
        <w:tc>
          <w:tcPr>
            <w:tcW w:type="dxa" w:w="66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Закреплённое количество позиции за строкой документа или потребностью; не меняет физическое местонахождение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Движение</w:t>
            </w:r>
          </w:p>
        </w:tc>
        <w:tc>
          <w:tcPr>
            <w:tcW w:type="dxa" w:w="66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Неизменяемая проводка между состояниями с исходным и базовым количеством, основанием, пользователем и временем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Документ и строка</w:t>
            </w:r>
          </w:p>
        </w:tc>
        <w:tc>
          <w:tcPr>
            <w:tcW w:type="dxa" w:w="66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Бизнес-основание операции, жизненный цикл, ожидаемое и фактическое количество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Аудит</w:t>
            </w:r>
          </w:p>
        </w:tc>
        <w:tc>
          <w:tcPr>
            <w:tcW w:type="dxa" w:w="66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Попытки, решения, отмены, ошибки и административные изменения, не являющиеся движением количества</w:t>
            </w:r>
          </w:p>
        </w:tc>
      </w:tr>
    </w:tbl>
    <w:p>
      <w:pPr>
        <w:spacing w:after="40"/>
      </w:pP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STOCK-01 Физический держатель. </w:t>
      </w:r>
      <w:r>
        <w:rPr>
          <w:rFonts w:ascii="Arial" w:hAnsi="Arial" w:eastAsia="Arial"/>
        </w:rPr>
        <w:t>Запас хранится либо непосредственно по адресу, либо в конечной ЛЕ. Одновременно оба значения не образуют две позиции.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STOCK-02 Качество. </w:t>
      </w:r>
      <w:r>
        <w:rPr>
          <w:rFonts w:ascii="Arial" w:hAnsi="Arial" w:eastAsia="Arial"/>
        </w:rPr>
        <w:t>Качество хранится отдельным измерением: разрешено, карантин, брак, некондиция или пользовательский статус по правилам перехода.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STOCK-03 Блокировка. </w:t>
      </w:r>
      <w:r>
        <w:rPr>
          <w:rFonts w:ascii="Arial" w:hAnsi="Arial" w:eastAsia="Arial"/>
        </w:rPr>
        <w:t>Административная блокировка хранится отдельно от качества и содержит область, причину, автора и срок при наличии.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STOCK-04 Доступное количество. </w:t>
      </w:r>
      <w:r>
        <w:rPr>
          <w:rFonts w:ascii="Arial" w:hAnsi="Arial" w:eastAsia="Arial"/>
        </w:rPr>
        <w:t>Доступно = физическое разрешённое количество минус активные резервы и иные явно запрещающие ограничения.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STOCK-05 Транзит. </w:t>
      </w:r>
      <w:r>
        <w:rPr>
          <w:rFonts w:ascii="Arial" w:hAnsi="Arial" w:eastAsia="Arial"/>
        </w:rPr>
        <w:t>Переданный между удалёнными складами запас учитывается в виртуальном транзитном местоположении до приёмки назначения.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STOCK-06 Сверка. </w:t>
      </w:r>
      <w:r>
        <w:rPr>
          <w:rFonts w:ascii="Arial" w:hAnsi="Arial" w:eastAsia="Arial"/>
        </w:rPr>
        <w:t>Система предоставляет проверку агрегированных позиций по движениям, документам и фактическому содержимому ЛЕ.</w:t>
      </w:r>
    </w:p>
    <w:p>
      <w:pPr>
        <w:pStyle w:val="Heading2"/>
        <w:keepNext/>
      </w:pPr>
      <w:r>
        <w:t>8.2. Документы и проведение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DOC-01 Состояния. </w:t>
      </w:r>
      <w:r>
        <w:rPr>
          <w:rFonts w:ascii="Arial" w:hAnsi="Arial" w:eastAsia="Arial"/>
        </w:rPr>
        <w:t>Документ проходит черновик, готовность, проведение, частичное исполнение, завершение, отмену либо ошибку по своему сценарию.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DOC-02 Ожидание и факт. </w:t>
      </w:r>
      <w:r>
        <w:rPr>
          <w:rFonts w:ascii="Arial" w:hAnsi="Arial" w:eastAsia="Arial"/>
        </w:rPr>
        <w:t>Строка хранит ожидаемое, фактическое и отклонённое количество; частичное исполнение не переписывает первоначальное ожидание.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DOC-03 Проведение. </w:t>
      </w:r>
      <w:r>
        <w:rPr>
          <w:rFonts w:ascii="Arial" w:hAnsi="Arial" w:eastAsia="Arial"/>
        </w:rPr>
        <w:t>Одна транзакция фиксирует документ, строки, движения, резервы, связанные задания и аудит либо откатывает все изменения.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DOC-04 Отмена. </w:t>
      </w:r>
      <w:r>
        <w:rPr>
          <w:rFonts w:ascii="Arial" w:hAnsi="Arial" w:eastAsia="Arial"/>
        </w:rPr>
        <w:t>Проведённый результат не удаляется; допустимая отмена создаёт обратные движения и ссылку на исходный документ.</w:t>
      </w:r>
    </w:p>
    <w:p>
      <w:pPr>
        <w:pStyle w:val="Heading1"/>
        <w:keepNext/>
      </w:pPr>
      <w:r>
        <w:t>9. Обязательные архитектурные инварианты</w:t>
      </w:r>
    </w:p>
    <w:p>
      <w:r>
        <w:rPr>
          <w:rFonts w:ascii="Arial" w:hAnsi="Arial" w:eastAsia="Arial"/>
        </w:rPr>
        <w:t>Инварианты применяются ко всем API, интерфейсам, интеграциям, миграциям и административным операциям. Их нарушение считается дефектом ядра независимо от визуального результата операции.</w:t>
      </w:r>
    </w:p>
    <w:p>
      <w:pPr>
        <w:spacing w:after="80" w:line="280" w:lineRule="auto"/>
        <w:numPr>
          <w:ilvl w:val="0"/>
          <w:numId w:val="13"/>
        </w:numPr>
      </w:pPr>
      <w:r>
        <w:rPr>
          <w:rFonts w:ascii="Arial" w:hAnsi="Arial" w:eastAsia="Arial"/>
        </w:rPr>
        <w:t>Обычная операция не создаёт отрицательный физический или доступный остаток.</w:t>
      </w:r>
    </w:p>
    <w:p>
      <w:pPr>
        <w:spacing w:after="80" w:line="280" w:lineRule="auto"/>
        <w:numPr>
          <w:ilvl w:val="0"/>
          <w:numId w:val="13"/>
        </w:numPr>
      </w:pPr>
      <w:r>
        <w:rPr>
          <w:rFonts w:ascii="Arial" w:hAnsi="Arial" w:eastAsia="Arial"/>
        </w:rPr>
        <w:t>Операция атомарна: либо проведены все связанные изменения, либо не проведено ничего.</w:t>
      </w:r>
    </w:p>
    <w:p>
      <w:pPr>
        <w:spacing w:after="80" w:line="280" w:lineRule="auto"/>
        <w:numPr>
          <w:ilvl w:val="0"/>
          <w:numId w:val="13"/>
        </w:numPr>
      </w:pPr>
      <w:r>
        <w:rPr>
          <w:rFonts w:ascii="Arial" w:hAnsi="Arial" w:eastAsia="Arial"/>
        </w:rPr>
        <w:t>Повтор команды с тем же ключом идемпотентности возвращает прежний результат без нового движения.</w:t>
      </w:r>
    </w:p>
    <w:p>
      <w:pPr>
        <w:spacing w:after="80" w:line="280" w:lineRule="auto"/>
        <w:numPr>
          <w:ilvl w:val="0"/>
          <w:numId w:val="13"/>
        </w:numPr>
      </w:pPr>
      <w:r>
        <w:rPr>
          <w:rFonts w:ascii="Arial" w:hAnsi="Arial" w:eastAsia="Arial"/>
        </w:rPr>
        <w:t>Проведённые движения не редактируются и не удаляются; исправление выполняется обратным или корректирующим движением.</w:t>
      </w:r>
    </w:p>
    <w:p>
      <w:pPr>
        <w:spacing w:after="80" w:line="280" w:lineRule="auto"/>
        <w:numPr>
          <w:ilvl w:val="0"/>
          <w:numId w:val="13"/>
        </w:numPr>
      </w:pPr>
      <w:r>
        <w:rPr>
          <w:rFonts w:ascii="Arial" w:hAnsi="Arial" w:eastAsia="Arial"/>
        </w:rPr>
        <w:t>Один физический запас учитывается только у одного физического держателя.</w:t>
      </w:r>
    </w:p>
    <w:p>
      <w:pPr>
        <w:spacing w:after="80" w:line="280" w:lineRule="auto"/>
        <w:numPr>
          <w:ilvl w:val="0"/>
          <w:numId w:val="13"/>
        </w:numPr>
      </w:pPr>
      <w:r>
        <w:rPr>
          <w:rFonts w:ascii="Arial" w:hAnsi="Arial" w:eastAsia="Arial"/>
        </w:rPr>
        <w:t>Родительская ЛЕ не дублирует количество вложенного содержимого.</w:t>
      </w:r>
    </w:p>
    <w:p>
      <w:pPr>
        <w:spacing w:after="80" w:line="280" w:lineRule="auto"/>
        <w:numPr>
          <w:ilvl w:val="0"/>
          <w:numId w:val="13"/>
        </w:numPr>
      </w:pPr>
      <w:r>
        <w:rPr>
          <w:rFonts w:ascii="Arial" w:hAnsi="Arial" w:eastAsia="Arial"/>
        </w:rPr>
        <w:t>Число ЛЕ, число товарных упаковок и количество номенклатуры являются разными величинами.</w:t>
      </w:r>
    </w:p>
    <w:p>
      <w:pPr>
        <w:spacing w:after="80" w:line="280" w:lineRule="auto"/>
        <w:numPr>
          <w:ilvl w:val="0"/>
          <w:numId w:val="13"/>
        </w:numPr>
      </w:pPr>
      <w:r>
        <w:rPr>
          <w:rFonts w:ascii="Arial" w:hAnsi="Arial" w:eastAsia="Arial"/>
        </w:rPr>
        <w:t>История сохраняет исходную единицу, количество и коэффициент пересчёта на момент операции.</w:t>
      </w:r>
    </w:p>
    <w:p>
      <w:pPr>
        <w:spacing w:after="80" w:line="280" w:lineRule="auto"/>
        <w:numPr>
          <w:ilvl w:val="0"/>
          <w:numId w:val="13"/>
        </w:numPr>
      </w:pPr>
      <w:r>
        <w:rPr>
          <w:rFonts w:ascii="Arial" w:hAnsi="Arial" w:eastAsia="Arial"/>
        </w:rPr>
        <w:t>Резерв, качество, блокировка, собственник и местонахождение являются разными измерениями.</w:t>
      </w:r>
    </w:p>
    <w:p>
      <w:pPr>
        <w:spacing w:after="80" w:line="280" w:lineRule="auto"/>
        <w:numPr>
          <w:ilvl w:val="0"/>
          <w:numId w:val="13"/>
        </w:numPr>
      </w:pPr>
      <w:r>
        <w:rPr>
          <w:rFonts w:ascii="Arial" w:hAnsi="Arial" w:eastAsia="Arial"/>
        </w:rPr>
        <w:t>Одновременные действия проверяют актуальность и не могут дважды списать или зарезервировать одно количество.</w:t>
      </w:r>
    </w:p>
    <w:p>
      <w:pPr>
        <w:spacing w:after="80" w:line="280" w:lineRule="auto"/>
        <w:numPr>
          <w:ilvl w:val="0"/>
          <w:numId w:val="13"/>
        </w:numPr>
      </w:pPr>
      <w:r>
        <w:rPr>
          <w:rFonts w:ascii="Arial" w:hAnsi="Arial" w:eastAsia="Arial"/>
        </w:rPr>
        <w:t>Корректировка, списание и исключительная смена состояния имеют пользователя, время, основание и причину.</w:t>
      </w:r>
    </w:p>
    <w:p>
      <w:pPr>
        <w:spacing w:after="80" w:line="280" w:lineRule="auto"/>
        <w:numPr>
          <w:ilvl w:val="0"/>
          <w:numId w:val="13"/>
        </w:numPr>
      </w:pPr>
      <w:r>
        <w:rPr>
          <w:rFonts w:ascii="Arial" w:hAnsi="Arial" w:eastAsia="Arial"/>
        </w:rPr>
        <w:t>Закрытый документ не переписывается; отмена является отдельным прослеживаемым сценарием.</w:t>
      </w:r>
    </w:p>
    <w:p>
      <w:pPr>
        <w:spacing w:after="80" w:line="280" w:lineRule="auto"/>
        <w:numPr>
          <w:ilvl w:val="0"/>
          <w:numId w:val="13"/>
        </w:numPr>
      </w:pPr>
      <w:r>
        <w:rPr>
          <w:rFonts w:ascii="Arial" w:hAnsi="Arial" w:eastAsia="Arial"/>
        </w:rPr>
        <w:t>Backend создаёт идентификаторы и является единственным владельцем бизнес-правил и допустимых переходов.</w:t>
      </w:r>
    </w:p>
    <w:p>
      <w:pPr>
        <w:spacing w:after="80" w:line="280" w:lineRule="auto"/>
        <w:numPr>
          <w:ilvl w:val="0"/>
          <w:numId w:val="13"/>
        </w:numPr>
      </w:pPr>
      <w:r>
        <w:rPr>
          <w:rFonts w:ascii="Arial" w:hAnsi="Arial" w:eastAsia="Arial"/>
        </w:rPr>
        <w:t>Реальный офлайн-клиент не проводит движения без специально утверждённой модели конфликтов.</w:t>
      </w:r>
    </w:p>
    <w:p>
      <w:pPr>
        <w:spacing w:after="80" w:line="280" w:lineRule="auto"/>
        <w:numPr>
          <w:ilvl w:val="0"/>
          <w:numId w:val="13"/>
        </w:numPr>
      </w:pPr>
      <w:r>
        <w:rPr>
          <w:rFonts w:ascii="Arial" w:hAnsi="Arial" w:eastAsia="Arial"/>
        </w:rPr>
        <w:t>Интеграции используют API и события; прямая запись во внутренние таблицы запрещена.</w:t>
      </w:r>
    </w:p>
    <w:p>
      <w:pPr>
        <w:spacing w:after="80" w:line="280" w:lineRule="auto"/>
        <w:numPr>
          <w:ilvl w:val="0"/>
          <w:numId w:val="13"/>
        </w:numPr>
      </w:pPr>
      <w:r>
        <w:rPr>
          <w:rFonts w:ascii="Arial" w:hAnsi="Arial" w:eastAsia="Arial"/>
        </w:rPr>
        <w:t>Ошибка оборудования не проводит скрытое движение и не меняет результат бизнес-операции без подтверждения.</w:t>
      </w:r>
    </w:p>
    <w:p>
      <w:pPr>
        <w:pStyle w:val="Heading1"/>
        <w:keepNext/>
      </w:pPr>
      <w:r>
        <w:t>10. Поиск и идентификация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SEARCH-01 Единая строка. </w:t>
      </w:r>
      <w:r>
        <w:rPr>
          <w:rFonts w:ascii="Arial" w:hAnsi="Arial" w:eastAsia="Arial"/>
        </w:rPr>
        <w:t>Поиск принимает часть названия, артикул, внутренний код, штрихкод, упаковку, партию, серию, адрес, ЛЕ и номер документа.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SEARCH-02 Результат. </w:t>
      </w:r>
      <w:r>
        <w:rPr>
          <w:rFonts w:ascii="Arial" w:hAnsi="Arial" w:eastAsia="Arial"/>
        </w:rPr>
        <w:t>Для номенклатуры показываются общее, доступное, зарезервированное, заблокированное и транзитное количество с расшифровкой по складам, адресам, ЛЕ, партиям и качеству.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SEARCH-03 Действия. </w:t>
      </w:r>
      <w:r>
        <w:rPr>
          <w:rFonts w:ascii="Arial" w:hAnsi="Arial" w:eastAsia="Arial"/>
        </w:rPr>
        <w:t>Результат показывает только допустимые действия пользователя: принять, разместить, переместить, зарезервировать, выдать, вернуть, пересчитать или списать.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SEARCH-04 Скорость оператора. </w:t>
      </w:r>
      <w:r>
        <w:rPr>
          <w:rFonts w:ascii="Arial" w:hAnsi="Arial" w:eastAsia="Arial"/>
        </w:rPr>
        <w:t>Из результата можно перейти к рабочему сценарию без повторного поиска и ручного переноса идентификаторов.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SCAN-01 Распознавание. </w:t>
      </w:r>
      <w:r>
        <w:rPr>
          <w:rFonts w:ascii="Arial" w:hAnsi="Arial" w:eastAsia="Arial"/>
        </w:rPr>
        <w:t>Единый сервис определяет тип отсканированного объекта и возвращает объект, контекст, допустимые действия и следующий ожидаемый ввод.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SCAN-02 Упаковка. </w:t>
      </w:r>
      <w:r>
        <w:rPr>
          <w:rFonts w:ascii="Arial" w:hAnsi="Arial" w:eastAsia="Arial"/>
        </w:rPr>
        <w:t>Штрихкод упаковки возвращает номенклатуру, единицу ввода и количество в упаковке.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SCAN-03 Неоднозначность. </w:t>
      </w:r>
      <w:r>
        <w:rPr>
          <w:rFonts w:ascii="Arial" w:hAnsi="Arial" w:eastAsia="Arial"/>
        </w:rPr>
        <w:t>Неоднозначный или дублированный код не выбирается автоматически в проводимой операции.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SCAN-04 Повтор. </w:t>
      </w:r>
      <w:r>
        <w:rPr>
          <w:rFonts w:ascii="Arial" w:hAnsi="Arial" w:eastAsia="Arial"/>
        </w:rPr>
        <w:t>Повторный скан обрабатывается согласно текущему шагу; уникальный серийный код не создаёт второй экземпляр.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SCAN-05 Код пользователя. </w:t>
      </w:r>
      <w:r>
        <w:rPr>
          <w:rFonts w:ascii="Arial" w:hAnsi="Arial" w:eastAsia="Arial"/>
        </w:rPr>
        <w:t>Персональный QR или штрихкод распознаётся как учётный пропуск только на экране входа или смены оператора и не выполняет складскую операцию сам по себе.</w:t>
      </w:r>
    </w:p>
    <w:p>
      <w:pPr>
        <w:pStyle w:val="Heading1"/>
        <w:keepNext/>
      </w:pPr>
      <w:r>
        <w:t>11. Функциональные складские процессы</w:t>
      </w:r>
    </w:p>
    <w:p>
      <w:pPr>
        <w:pStyle w:val="Heading2"/>
        <w:keepNext/>
      </w:pPr>
      <w:r>
        <w:t>11.1. Поступление и приёмка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RCV-01 Основание. </w:t>
      </w:r>
      <w:r>
        <w:rPr>
          <w:rFonts w:ascii="Arial" w:hAnsi="Arial" w:eastAsia="Arial"/>
        </w:rPr>
        <w:t>Приёмка создаётся по ожидаемому документу либо без него при наличии права на незапланированное поступление.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RCV-02 Идентификация. </w:t>
      </w:r>
      <w:r>
        <w:rPr>
          <w:rFonts w:ascii="Arial" w:hAnsi="Arial" w:eastAsia="Arial"/>
        </w:rPr>
        <w:t>Оператор сканирует или выбирает номенклатуру, упаковку, партию или серию и вводит количество в разрешённой единице.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RCV-03 Проверки. </w:t>
      </w:r>
      <w:r>
        <w:rPr>
          <w:rFonts w:ascii="Arial" w:hAnsi="Arial" w:eastAsia="Arial"/>
        </w:rPr>
        <w:t>До проведения проверяются дробность, совместимость единиц, обязательные партии, сроки, серии, качество и дубликаты кодов.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RCV-04 Расхождения. </w:t>
      </w:r>
      <w:r>
        <w:rPr>
          <w:rFonts w:ascii="Arial" w:hAnsi="Arial" w:eastAsia="Arial"/>
        </w:rPr>
        <w:t>Недостача, излишек, пересорт, неизвестный товар и повреждение фиксируются отдельно от принятого количества.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RCV-05 Результат. </w:t>
      </w:r>
      <w:r>
        <w:rPr>
          <w:rFonts w:ascii="Arial" w:hAnsi="Arial" w:eastAsia="Arial"/>
        </w:rPr>
        <w:t>Принятый запас оказывается в зоне приёмки, карантине, непосредственно по адресу либо внутри ЛЕ согласно сценарию.</w:t>
      </w:r>
    </w:p>
    <w:p>
      <w:pPr>
        <w:pStyle w:val="Heading2"/>
        <w:keepNext/>
      </w:pPr>
      <w:r>
        <w:t>11.2. Качество и блокировки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QLT-01 Карантин. </w:t>
      </w:r>
      <w:r>
        <w:rPr>
          <w:rFonts w:ascii="Arial" w:hAnsi="Arial" w:eastAsia="Arial"/>
        </w:rPr>
        <w:t>Запас может быть физически принят, но недоступен до решения по качеству.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QLT-02 Решение. </w:t>
      </w:r>
      <w:r>
        <w:rPr>
          <w:rFonts w:ascii="Arial" w:hAnsi="Arial" w:eastAsia="Arial"/>
        </w:rPr>
        <w:t>Допускаются полное и частичное разрешение, блокировка, брак, некондиция и возврат поставщику.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QLT-03 Область. </w:t>
      </w:r>
      <w:r>
        <w:rPr>
          <w:rFonts w:ascii="Arial" w:hAnsi="Arial" w:eastAsia="Arial"/>
        </w:rPr>
        <w:t>Решение может относиться к позиции, партии, серии, ЛЕ, адресу, зоне или складу в пределах полномочий.</w:t>
      </w:r>
    </w:p>
    <w:p>
      <w:pPr>
        <w:pStyle w:val="Heading2"/>
        <w:keepNext/>
      </w:pPr>
      <w:r>
        <w:t>11.3. Упаковка и логистические единицы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PACK-01 Формирование. </w:t>
      </w:r>
      <w:r>
        <w:rPr>
          <w:rFonts w:ascii="Arial" w:hAnsi="Arial" w:eastAsia="Arial"/>
        </w:rPr>
        <w:t>Количество переносится с адреса или из одной ЛЕ в другую без изменения общего физического остатка.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PACK-02 Частичность. </w:t>
      </w:r>
      <w:r>
        <w:rPr>
          <w:rFonts w:ascii="Arial" w:hAnsi="Arial" w:eastAsia="Arial"/>
        </w:rPr>
        <w:t>Допускается перенос части количества при сохранении точности и неделимости серийного экземпляра.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PACK-03 Переоткрытие. </w:t>
      </w:r>
      <w:r>
        <w:rPr>
          <w:rFonts w:ascii="Arial" w:hAnsi="Arial" w:eastAsia="Arial"/>
        </w:rPr>
        <w:t>Закрытая ЛЕ дополняется только через явное переоткрытие с правом и аудитом.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PACK-04 Объединение и разделение. </w:t>
      </w:r>
      <w:r>
        <w:rPr>
          <w:rFonts w:ascii="Arial" w:hAnsi="Arial" w:eastAsia="Arial"/>
        </w:rPr>
        <w:t>Объединение, разделение и перепаковка сохраняют происхождение содержимого и не создают повторный приход.</w:t>
      </w:r>
    </w:p>
    <w:p>
      <w:pPr>
        <w:pStyle w:val="Heading2"/>
        <w:keepNext/>
      </w:pPr>
      <w:r>
        <w:t>11.4. Размещение и перемещение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MOVE-01 Объект. </w:t>
      </w:r>
      <w:r>
        <w:rPr>
          <w:rFonts w:ascii="Arial" w:hAnsi="Arial" w:eastAsia="Arial"/>
        </w:rPr>
        <w:t>Перемещается целая ЛЕ либо выбранное количество номенклатуры между физическими держателями.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MOVE-02 Проверки. </w:t>
      </w:r>
      <w:r>
        <w:rPr>
          <w:rFonts w:ascii="Arial" w:hAnsi="Arial" w:eastAsia="Arial"/>
        </w:rPr>
        <w:t>Ядро проверяет склад, адрес, вместимость, совместимость, качество, блокировки, резерв и активное задание.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MOVE-03 Подтверждение. </w:t>
      </w:r>
      <w:r>
        <w:rPr>
          <w:rFonts w:ascii="Arial" w:hAnsi="Arial" w:eastAsia="Arial"/>
        </w:rPr>
        <w:t>Рабочий сценарий подтверждает источник и назначение сканированием либо разрешённым ручным вводом.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MOVE-04 Рекомендация. </w:t>
      </w:r>
      <w:r>
        <w:rPr>
          <w:rFonts w:ascii="Arial" w:hAnsi="Arial" w:eastAsia="Arial"/>
        </w:rPr>
        <w:t>Система может предложить адрес и объясняет причины: зона, вместимость, совместимость и стратегия.</w:t>
      </w:r>
    </w:p>
    <w:p>
      <w:pPr>
        <w:pStyle w:val="Heading2"/>
        <w:keepNext/>
      </w:pPr>
      <w:r>
        <w:t>11.5. Резервирование, отбор и пополнение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RES-01 Резерв. </w:t>
      </w:r>
      <w:r>
        <w:rPr>
          <w:rFonts w:ascii="Arial" w:hAnsi="Arial" w:eastAsia="Arial"/>
        </w:rPr>
        <w:t>Резерв закрепляет количество или целую ЛЕ за строкой документа и не меняет физический адрес.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RES-02 Частичность. </w:t>
      </w:r>
      <w:r>
        <w:rPr>
          <w:rFonts w:ascii="Arial" w:hAnsi="Arial" w:eastAsia="Arial"/>
        </w:rPr>
        <w:t>Документ может получить полный, частичный или отсутствующий резерв с явным результатом по каждой строке.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PICK-01 Отбор. </w:t>
      </w:r>
      <w:r>
        <w:rPr>
          <w:rFonts w:ascii="Arial" w:hAnsi="Arial" w:eastAsia="Arial"/>
        </w:rPr>
        <w:t>Отбирается целая ЛЕ, товарная упаковка либо количество из одной или нескольких позиций.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PICK-02 Стратегия. </w:t>
      </w:r>
      <w:r>
        <w:rPr>
          <w:rFonts w:ascii="Arial" w:hAnsi="Arial" w:eastAsia="Arial"/>
        </w:rPr>
        <w:t>Базовая рекомендация учитывает FIFO/FEFO, качество, срок, склад, доступность и ручные ограничения.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REPL-01 Пополнение. </w:t>
      </w:r>
      <w:r>
        <w:rPr>
          <w:rFonts w:ascii="Arial" w:hAnsi="Arial" w:eastAsia="Arial"/>
        </w:rPr>
        <w:t>Минимальный уровень зоны отбора либо потребность документа создаёт задание пополнения, подтверждаемое источником и назначением.</w:t>
      </w:r>
    </w:p>
    <w:p>
      <w:pPr>
        <w:pStyle w:val="Heading2"/>
        <w:keepNext/>
      </w:pPr>
      <w:r>
        <w:t>11.6. Внутренняя выдача и возврат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ISS-01 Быстрая выдача. </w:t>
      </w:r>
      <w:r>
        <w:rPr>
          <w:rFonts w:ascii="Arial" w:hAnsi="Arial" w:eastAsia="Arial"/>
        </w:rPr>
        <w:t>Скан номенклатуры или упаковки открывает сценарий выбора количества, получателя и назначения.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ISS-02 Документ. </w:t>
      </w:r>
      <w:r>
        <w:rPr>
          <w:rFonts w:ascii="Arial" w:hAnsi="Arial" w:eastAsia="Arial"/>
        </w:rPr>
        <w:t>Даже одностраничная выдача создаёт внутренний документ, строки и неизменяемые движения.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ISS-03 Потребление. </w:t>
      </w:r>
      <w:r>
        <w:rPr>
          <w:rFonts w:ascii="Arial" w:hAnsi="Arial" w:eastAsia="Arial"/>
        </w:rPr>
        <w:t>Окончательная выдача уменьшает физический остаток и сохраняет получателя, назначение, оператора и основание.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CUST-01 Под ответственность. </w:t>
      </w:r>
      <w:r>
        <w:rPr>
          <w:rFonts w:ascii="Arial" w:hAnsi="Arial" w:eastAsia="Arial"/>
        </w:rPr>
        <w:t>Временная выдача переводит запас к виртуальному держателю-получателю без окончательного списания.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CUST-02 Возврат. </w:t>
      </w:r>
      <w:r>
        <w:rPr>
          <w:rFonts w:ascii="Arial" w:hAnsi="Arial" w:eastAsia="Arial"/>
        </w:rPr>
        <w:t>Возврат проверяет состояние и направляет запас в доступное хранение, карантин, брак либо на списание.</w:t>
      </w:r>
    </w:p>
    <w:p>
      <w:pPr>
        <w:pStyle w:val="Heading2"/>
        <w:keepNext/>
      </w:pPr>
      <w:r>
        <w:t>11.7. Отгрузка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SHP-01 Состав. </w:t>
      </w:r>
      <w:r>
        <w:rPr>
          <w:rFonts w:ascii="Arial" w:hAnsi="Arial" w:eastAsia="Arial"/>
        </w:rPr>
        <w:t>Заявка содержит строки количества и/или конкретные ЛЕ.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SHP-02 Этапы. </w:t>
      </w:r>
      <w:r>
        <w:rPr>
          <w:rFonts w:ascii="Arial" w:hAnsi="Arial" w:eastAsia="Arial"/>
        </w:rPr>
        <w:t>Резерв → отбор → упаковка → экспедиция → контроль погрузки → завершение фактической складской погрузки.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SHP-03 Контроль. </w:t>
      </w:r>
      <w:r>
        <w:rPr>
          <w:rFonts w:ascii="Arial" w:hAnsi="Arial" w:eastAsia="Arial"/>
        </w:rPr>
        <w:t>Чужой, незарезервированный, заблокированный или уже погруженный объект не принимается повторно.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SHP-04 Завершение. </w:t>
      </w:r>
      <w:r>
        <w:rPr>
          <w:rFonts w:ascii="Arial" w:hAnsi="Arial" w:eastAsia="Arial"/>
        </w:rPr>
        <w:t>Остаток уменьшается, экспедиционные адреса освобождаются, связанные задания закрываются.</w:t>
      </w:r>
    </w:p>
    <w:p>
      <w:pPr>
        <w:pStyle w:val="Heading2"/>
        <w:keepNext/>
      </w:pPr>
      <w:r>
        <w:t>11.8. Межскладская передача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TRF-01 Локальная. </w:t>
      </w:r>
      <w:r>
        <w:rPr>
          <w:rFonts w:ascii="Arial" w:hAnsi="Arial" w:eastAsia="Arial"/>
        </w:rPr>
        <w:t>Для близких складов применяется передача без обязательного автомобиля и длительной транспортной стадии.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TRF-02 Транспортная. </w:t>
      </w:r>
      <w:r>
        <w:rPr>
          <w:rFonts w:ascii="Arial" w:hAnsi="Arial" w:eastAsia="Arial"/>
        </w:rPr>
        <w:t>Удалённая перевозка проходит отправку, транзит, приёмку назначения и размещение; транспортные реквизиты относятся к документу.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TRF-03 Расхождения. </w:t>
      </w:r>
      <w:r>
        <w:rPr>
          <w:rFonts w:ascii="Arial" w:hAnsi="Arial" w:eastAsia="Arial"/>
        </w:rPr>
        <w:t>Назначение принимает фактическое количество; потеря, повреждение и недостача в пути оформляются отдельными решениями.</w:t>
      </w:r>
    </w:p>
    <w:p>
      <w:pPr>
        <w:pStyle w:val="Heading2"/>
        <w:keepNext/>
      </w:pPr>
      <w:r>
        <w:t>11.9. Возвраты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RET-01 От получателя. </w:t>
      </w:r>
      <w:r>
        <w:rPr>
          <w:rFonts w:ascii="Arial" w:hAnsi="Arial" w:eastAsia="Arial"/>
        </w:rPr>
        <w:t>Возврат связывается с исходной выдачей или отгрузкой при наличии ссылки и проходит идентификацию и оценку качества.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RET-02 Поставщику. </w:t>
      </w:r>
      <w:r>
        <w:rPr>
          <w:rFonts w:ascii="Arial" w:hAnsi="Arial" w:eastAsia="Arial"/>
        </w:rPr>
        <w:t>Возврат поставщику использует резерв, отбор, упаковку, экспедицию и отгрузку с отдельной причиной.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RET-03 Результаты. </w:t>
      </w:r>
      <w:r>
        <w:rPr>
          <w:rFonts w:ascii="Arial" w:hAnsi="Arial" w:eastAsia="Arial"/>
        </w:rPr>
        <w:t>Возврат направляется в доступный запас, карантин, брак, ремонтный модуль будущего развития либо утилизацию.</w:t>
      </w:r>
    </w:p>
    <w:p>
      <w:pPr>
        <w:pStyle w:val="Heading2"/>
        <w:keepNext/>
      </w:pPr>
      <w:r>
        <w:t>11.10. Инвентаризация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INV-01 Область. </w:t>
      </w:r>
      <w:r>
        <w:rPr>
          <w:rFonts w:ascii="Arial" w:hAnsi="Arial" w:eastAsia="Arial"/>
        </w:rPr>
        <w:t>Инвентаризация создаётся по складу, зоне, адресам, номенклатуре, партии, собственнику или выборке.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INV-02 Снимок. </w:t>
      </w:r>
      <w:r>
        <w:rPr>
          <w:rFonts w:ascii="Arial" w:hAnsi="Arial" w:eastAsia="Arial"/>
        </w:rPr>
        <w:t>На момент запуска фиксируются ожидаемые позиции, адреса и ЛЕ без обязательной остановки склада.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INV-03 Подсчёт. </w:t>
      </w:r>
      <w:r>
        <w:rPr>
          <w:rFonts w:ascii="Arial" w:hAnsi="Arial" w:eastAsia="Arial"/>
        </w:rPr>
        <w:t>Поддерживаются открытый и слепой пересчёт, пустой адрес, скан ЛЕ и ввод количества.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INV-04 Прогресс. </w:t>
      </w:r>
      <w:r>
        <w:rPr>
          <w:rFonts w:ascii="Arial" w:hAnsi="Arial" w:eastAsia="Arial"/>
        </w:rPr>
        <w:t>Показываются проверенные, непроверенные и проблемные объекты; обязательный обход не закрывается досрочно.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INV-05 Решение. </w:t>
      </w:r>
      <w:r>
        <w:rPr>
          <w:rFonts w:ascii="Arial" w:hAnsi="Arial" w:eastAsia="Arial"/>
        </w:rPr>
        <w:t>Расхождение классифицируется, подтверждается полномочным пользователем и создаёт корректирующее движение.</w:t>
      </w:r>
    </w:p>
    <w:p>
      <w:pPr>
        <w:pStyle w:val="Heading2"/>
        <w:keepNext/>
      </w:pPr>
      <w:r>
        <w:t>11.11. Корректировки, списание и сроки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ADJ-01 Корректировка. </w:t>
      </w:r>
      <w:r>
        <w:rPr>
          <w:rFonts w:ascii="Arial" w:hAnsi="Arial" w:eastAsia="Arial"/>
        </w:rPr>
        <w:t>Количество не присваивается напрямую; проводится движение на разницу с причиной и ссылкой на основание.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ADJ-02 Измерения. </w:t>
      </w:r>
      <w:r>
        <w:rPr>
          <w:rFonts w:ascii="Arial" w:hAnsi="Arial" w:eastAsia="Arial"/>
        </w:rPr>
        <w:t>Исправление партии, серии, качества, собственника или держателя проводится между позициями с сохранением истории.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WO-01 Списание. </w:t>
      </w:r>
      <w:r>
        <w:rPr>
          <w:rFonts w:ascii="Arial" w:hAnsi="Arial" w:eastAsia="Arial"/>
        </w:rPr>
        <w:t>Порча, недостача, потребление, истечение срока и иная причина оформляются отдельным документом и правом.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EXP-01 Сроки. </w:t>
      </w:r>
      <w:r>
        <w:rPr>
          <w:rFonts w:ascii="Arial" w:hAnsi="Arial" w:eastAsia="Arial"/>
        </w:rPr>
        <w:t>Система предупреждает о приближении срока, блокирует просроченный запас по правилу и поддерживает FEFO-рекомендацию.</w:t>
      </w:r>
    </w:p>
    <w:p>
      <w:pPr>
        <w:pStyle w:val="Heading1"/>
        <w:keepNext/>
      </w:pPr>
      <w:r>
        <w:t>12. Автоматизация, задания и интерфейсы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AUTO-01 Серверный сценарий. </w:t>
      </w:r>
      <w:r>
        <w:rPr>
          <w:rFonts w:ascii="Arial" w:hAnsi="Arial" w:eastAsia="Arial"/>
        </w:rPr>
        <w:t>Backend возвращает состояние шага, допустимые действия и следующий ожидаемый ввод; третий шаг нельзя выполнить до второго.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AUTO-02 Автозадания. </w:t>
      </w:r>
      <w:r>
        <w:rPr>
          <w:rFonts w:ascii="Arial" w:hAnsi="Arial" w:eastAsia="Arial"/>
        </w:rPr>
        <w:t>Документы и правила создают задания на приёмку, размещение, перемещение, пополнение, отбор, передачу и инвентаризацию.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AUTO-03 Завершение. </w:t>
      </w:r>
      <w:r>
        <w:rPr>
          <w:rFonts w:ascii="Arial" w:hAnsi="Arial" w:eastAsia="Arial"/>
        </w:rPr>
        <w:t>Успешная бизнес-операция автоматически закрывает связанное задание и предлагает следующую доступную работу.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TASK-01 Очередь. </w:t>
      </w:r>
      <w:r>
        <w:rPr>
          <w:rFonts w:ascii="Arial" w:hAnsi="Arial" w:eastAsia="Arial"/>
        </w:rPr>
        <w:t>Задание содержит тип, приоритет, склад, объект, документ, исполнителя, срок и состояние.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TASK-02 Назначение. </w:t>
      </w:r>
      <w:r>
        <w:rPr>
          <w:rFonts w:ascii="Arial" w:hAnsi="Arial" w:eastAsia="Arial"/>
        </w:rPr>
        <w:t>Руководитель назначает работу вручную; базовая автоматизация учитывает склад, роль, доступность и приоритет.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UI-01 Рабочий режим. </w:t>
      </w:r>
      <w:r>
        <w:rPr>
          <w:rFonts w:ascii="Arial" w:hAnsi="Arial" w:eastAsia="Arial"/>
        </w:rPr>
        <w:t>Открывается по умолчанию и ведёт пользователя по текущей операции с минимумом полей.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UI-02 Компактный режим. </w:t>
      </w:r>
      <w:r>
        <w:rPr>
          <w:rFonts w:ascii="Arial" w:hAnsi="Arial" w:eastAsia="Arial"/>
        </w:rPr>
        <w:t>Экран ТСД или мобильного устройства поддерживает скан адреса, объекта, количества и подтверждение действия без горизонтальной прокрутки.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UI-03 Технический режим. </w:t>
      </w:r>
      <w:r>
        <w:rPr>
          <w:rFonts w:ascii="Arial" w:hAnsi="Arial" w:eastAsia="Arial"/>
        </w:rPr>
        <w:t>Диагностические и расширенные формы доступны отдельной роли и не смешиваются с ежедневным рабочим сценарием.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UI-04 Ошибки. </w:t>
      </w:r>
      <w:r>
        <w:rPr>
          <w:rFonts w:ascii="Arial" w:hAnsi="Arial" w:eastAsia="Arial"/>
        </w:rPr>
        <w:t>Интерфейс показывает причину отказа и возможное исправление без внутреннего traceback.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UI-05 Потеря связи. </w:t>
      </w:r>
      <w:r>
        <w:rPr>
          <w:rFonts w:ascii="Arial" w:hAnsi="Arial" w:eastAsia="Arial"/>
        </w:rPr>
        <w:t>Разрешены чтение кэша и явно обозначенная демонстрация; реальные выдачи, резервы и движения локально не проводятся.</w:t>
      </w:r>
    </w:p>
    <w:p>
      <w:pPr>
        <w:pStyle w:val="Heading1"/>
        <w:keepNext/>
      </w:pPr>
      <w:r>
        <w:t>13. Подключаемое оборудование и рабочие места</w:t>
      </w:r>
    </w:p>
    <w:tbl>
      <w:tblPr>
        <w:tblW w:type="dxa" w:w="924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C9D1D9"/>
          <w:left w:val="single" w:sz="6" w:space="0" w:color="C9D1D9"/>
          <w:bottom w:val="single" w:sz="6" w:space="0" w:color="C9D1D9"/>
          <w:right w:val="single" w:sz="6" w:space="0" w:color="C9D1D9"/>
          <w:insideH w:val="single" w:sz="6" w:space="0" w:color="C9D1D9"/>
          <w:insideV w:val="single" w:sz="6" w:space="0" w:color="C9D1D9"/>
        </w:tblBorders>
      </w:tblPr>
      <w:tblGrid>
        <w:gridCol w:w="1650"/>
        <w:gridCol w:w="3000"/>
        <w:gridCol w:w="4590"/>
      </w:tblGrid>
      <w:tr>
        <w:trPr>
          <w:tblHeader w:val="true"/>
        </w:trPr>
        <w:tc>
          <w:tcPr>
            <w:tcW w:type="dxa" w:w="1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  <w:jc w:val="left"/>
            </w:pPr>
            <w:r>
              <w:rPr>
                <w:rFonts w:ascii="Arial" w:hAnsi="Arial" w:eastAsia="Arial"/>
                <w:b/>
                <w:color w:val="0F2C46"/>
                <w:sz w:val="19"/>
              </w:rPr>
              <w:t>Класс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  <w:jc w:val="left"/>
            </w:pPr>
            <w:r>
              <w:rPr>
                <w:rFonts w:ascii="Arial" w:hAnsi="Arial" w:eastAsia="Arial"/>
                <w:b/>
                <w:color w:val="0F2C46"/>
                <w:sz w:val="19"/>
              </w:rPr>
              <w:t>Базовые способы</w:t>
            </w:r>
          </w:p>
        </w:tc>
        <w:tc>
          <w:tcPr>
            <w:tcW w:type="dxa" w:w="459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  <w:jc w:val="left"/>
            </w:pPr>
            <w:r>
              <w:rPr>
                <w:rFonts w:ascii="Arial" w:hAnsi="Arial" w:eastAsia="Arial"/>
                <w:b/>
                <w:color w:val="0F2C46"/>
                <w:sz w:val="19"/>
              </w:rPr>
              <w:t>Обязательный результат Alpha</w:t>
            </w:r>
          </w:p>
        </w:tc>
      </w:tr>
      <w:tr>
        <w:tc>
          <w:tcPr>
            <w:tcW w:type="dxa" w:w="1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Сканер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Клавиатура, камера, ТСД</w:t>
            </w:r>
          </w:p>
        </w:tc>
        <w:tc>
          <w:tcPr>
            <w:tcW w:type="dxa" w:w="459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Профиль, тест кода, привязка рабочего места и ручной ввод</w:t>
            </w:r>
          </w:p>
        </w:tc>
      </w:tr>
      <w:tr>
        <w:tc>
          <w:tcPr>
            <w:tcW w:type="dxa" w:w="1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Принтер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PDF, системная очередь, RAW TCP</w:t>
            </w:r>
          </w:p>
        </w:tc>
        <w:tc>
          <w:tcPr>
            <w:tcW w:type="dxa" w:w="459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Формат, шаблон, пробная печать, статус задания и диагностика</w:t>
            </w:r>
          </w:p>
        </w:tc>
      </w:tr>
      <w:tr>
        <w:tc>
          <w:tcPr>
            <w:tcW w:type="dxa" w:w="1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Весы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Ручной ввод, COM/USB, TCP</w:t>
            </w:r>
          </w:p>
        </w:tc>
        <w:tc>
          <w:tcPr>
            <w:tcW w:type="dxa" w:w="459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Профиль, единица, стабильное значение, тайм-аут и ручной резерв</w:t>
            </w:r>
          </w:p>
        </w:tc>
      </w:tr>
      <w:tr>
        <w:tc>
          <w:tcPr>
            <w:tcW w:type="dxa" w:w="1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Рабочее место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Web, мобильный, Windows, Android</w:t>
            </w:r>
          </w:p>
        </w:tc>
        <w:tc>
          <w:tcPr>
            <w:tcW w:type="dxa" w:w="459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Склад, зона, устройства, режим интерфейса и технический идентификатор</w:t>
            </w:r>
          </w:p>
        </w:tc>
      </w:tr>
    </w:tbl>
    <w:p>
      <w:pPr>
        <w:spacing w:after="40"/>
      </w:pP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DEV-01 Профиль. </w:t>
      </w:r>
      <w:r>
        <w:rPr>
          <w:rFonts w:ascii="Arial" w:hAnsi="Arial" w:eastAsia="Arial"/>
        </w:rPr>
        <w:t>Хранятся класс, производитель и модель, протокол, адрес или порт, параметры, тайм-ауты, активность и область применения.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DEV-02 Адаптер. </w:t>
      </w:r>
      <w:r>
        <w:rPr>
          <w:rFonts w:ascii="Arial" w:hAnsi="Arial" w:eastAsia="Arial"/>
        </w:rPr>
        <w:t>Ядро запрашивает распознавание, вес или печать через интерфейс адаптера и не содержит протокол конкретного производителя.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DEV-03 Диагностика. </w:t>
      </w:r>
      <w:r>
        <w:rPr>
          <w:rFonts w:ascii="Arial" w:hAnsi="Arial" w:eastAsia="Arial"/>
        </w:rPr>
        <w:t>Администратор видит доступность, последнюю ошибку, результат теста и время успешной операции.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DEV-04 Печать. </w:t>
      </w:r>
      <w:r>
        <w:rPr>
          <w:rFonts w:ascii="Arial" w:hAnsi="Arial" w:eastAsia="Arial"/>
        </w:rPr>
        <w:t>Печать выполняется через диспетчер с идентификатором задания; повтор запроса не создаёт неограниченные дубли.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DEV-05 Резервный путь. </w:t>
      </w:r>
      <w:r>
        <w:rPr>
          <w:rFonts w:ascii="Arial" w:hAnsi="Arial" w:eastAsia="Arial"/>
        </w:rPr>
        <w:t>Обязательный ввод допускает ручное подтверждение по правам, а этикетка — PDF, если устройство недоступно.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DEV-06 Граница поддержки. </w:t>
      </w:r>
      <w:r>
        <w:rPr>
          <w:rFonts w:ascii="Arial" w:hAnsi="Arial" w:eastAsia="Arial"/>
        </w:rPr>
        <w:t>Модель считается поддержанной только после испытания профиля; наличие общего протокола не является обещанием совместимости.</w:t>
      </w:r>
    </w:p>
    <w:p>
      <w:pPr>
        <w:pStyle w:val="Heading1"/>
        <w:keepNext/>
      </w:pPr>
      <w:r>
        <w:t>14. Карточки, отчёты и контроль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CARD-01 Номенклатура. </w:t>
      </w:r>
      <w:r>
        <w:rPr>
          <w:rFonts w:ascii="Arial" w:hAnsi="Arial" w:eastAsia="Arial"/>
        </w:rPr>
        <w:t>Карточка показывает остатки, упаковки, партии, сроки, адреса, ЛЕ, движения и доступные действия.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CARD-02 Физические объекты. </w:t>
      </w:r>
      <w:r>
        <w:rPr>
          <w:rFonts w:ascii="Arial" w:hAnsi="Arial" w:eastAsia="Arial"/>
        </w:rPr>
        <w:t>Карточки адреса, ЛЕ, партии и серии показывают содержимое, местонахождение, ограничения, задания и историю.</w:t>
      </w:r>
    </w:p>
    <w:tbl>
      <w:tblPr>
        <w:tblW w:type="dxa" w:w="924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C9D1D9"/>
          <w:left w:val="single" w:sz="6" w:space="0" w:color="C9D1D9"/>
          <w:bottom w:val="single" w:sz="6" w:space="0" w:color="C9D1D9"/>
          <w:right w:val="single" w:sz="6" w:space="0" w:color="C9D1D9"/>
          <w:insideH w:val="single" w:sz="6" w:space="0" w:color="C9D1D9"/>
          <w:insideV w:val="single" w:sz="6" w:space="0" w:color="C9D1D9"/>
        </w:tblBorders>
      </w:tblPr>
      <w:tblGrid>
        <w:gridCol w:w="2300"/>
        <w:gridCol w:w="6940"/>
      </w:tblGrid>
      <w:tr>
        <w:trPr>
          <w:tblHeader w:val="true"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  <w:jc w:val="left"/>
            </w:pPr>
            <w:r>
              <w:rPr>
                <w:rFonts w:ascii="Arial" w:hAnsi="Arial" w:eastAsia="Arial"/>
                <w:b/>
                <w:color w:val="0F2C46"/>
                <w:sz w:val="19"/>
              </w:rPr>
              <w:t>Отчёт</w:t>
            </w:r>
          </w:p>
        </w:tc>
        <w:tc>
          <w:tcPr>
            <w:tcW w:type="dxa" w:w="69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  <w:jc w:val="left"/>
            </w:pPr>
            <w:r>
              <w:rPr>
                <w:rFonts w:ascii="Arial" w:hAnsi="Arial" w:eastAsia="Arial"/>
                <w:b/>
                <w:color w:val="0F2C46"/>
                <w:sz w:val="19"/>
              </w:rPr>
              <w:t>Минимальные разрезы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Остатки</w:t>
            </w:r>
          </w:p>
        </w:tc>
        <w:tc>
          <w:tcPr>
            <w:tcW w:type="dxa" w:w="69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Склад, адрес, номенклатура, партия, серия, качество, ЛЕ, собственник и резерв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Движения</w:t>
            </w:r>
          </w:p>
        </w:tc>
        <w:tc>
          <w:tcPr>
            <w:tcW w:type="dxa" w:w="69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Период, операция, документ, пользователь, количество, источник и назначение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Внутренняя выдача</w:t>
            </w:r>
          </w:p>
        </w:tc>
        <w:tc>
          <w:tcPr>
            <w:tcW w:type="dxa" w:w="69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Получатель, подразделение, назначение, номенклатура, количество, дата и состояние возврата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Инвентаризация</w:t>
            </w:r>
          </w:p>
        </w:tc>
        <w:tc>
          <w:tcPr>
            <w:tcW w:type="dxa" w:w="69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Ожидание, факт, отклонение, решение и автор корректировки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Проблемные остатки</w:t>
            </w:r>
          </w:p>
        </w:tc>
        <w:tc>
          <w:tcPr>
            <w:tcW w:type="dxa" w:w="69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Карантин, блокировки, просрочка, зависший транзит, потерянное размещение и ошибки сверки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Работы</w:t>
            </w:r>
          </w:p>
        </w:tc>
        <w:tc>
          <w:tcPr>
            <w:tcW w:type="dxa" w:w="69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Задания, приоритеты, сроки, исполнители, длительность и незавершённые операции</w:t>
            </w:r>
          </w:p>
        </w:tc>
      </w:tr>
    </w:tbl>
    <w:p>
      <w:pPr>
        <w:spacing w:after="40"/>
      </w:pP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REP-01 Выгрузка. </w:t>
      </w:r>
      <w:r>
        <w:rPr>
          <w:rFonts w:ascii="Arial" w:hAnsi="Arial" w:eastAsia="Arial"/>
        </w:rPr>
        <w:t>Табличные отчёты выгружаются в CSV/XLSX с применёнными фильтрами.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REP-02 Контрольная сверка. </w:t>
      </w:r>
      <w:r>
        <w:rPr>
          <w:rFonts w:ascii="Arial" w:hAnsi="Arial" w:eastAsia="Arial"/>
        </w:rPr>
        <w:t>Отдельный отчёт показывает несогласованность регистра, содержимого ЛЕ, адресов, резервов и документов.</w:t>
      </w:r>
    </w:p>
    <w:p>
      <w:pPr>
        <w:pStyle w:val="Heading1"/>
        <w:keepNext/>
      </w:pPr>
      <w:r>
        <w:t>15. Интеграционный контур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INT-01 REST API. </w:t>
      </w:r>
      <w:r>
        <w:rPr>
          <w:rFonts w:ascii="Arial" w:hAnsi="Arial" w:eastAsia="Arial"/>
        </w:rPr>
        <w:t>Внешним клиентам предоставляется версионированный API и OpenAPI-описание фактически доступных операций.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INT-02 События. </w:t>
      </w:r>
      <w:r>
        <w:rPr>
          <w:rFonts w:ascii="Arial" w:hAnsi="Arial" w:eastAsia="Arial"/>
        </w:rPr>
        <w:t>Проведённые факты записываются в транзакционный outbox и передаются с повторной доставкой и идентификатором события.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INT-03 Идемпотентность входа. </w:t>
      </w:r>
      <w:r>
        <w:rPr>
          <w:rFonts w:ascii="Arial" w:hAnsi="Arial" w:eastAsia="Arial"/>
        </w:rPr>
        <w:t>Внешняя команда содержит ключ идемпотентности и не создаёт повторный документ или движение.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INT-04 Адаптер 1С. </w:t>
      </w:r>
      <w:r>
        <w:rPr>
          <w:rFonts w:ascii="Arial" w:hAnsi="Arial" w:eastAsia="Arial"/>
        </w:rPr>
        <w:t>Конкретная конфигурация сопоставляет свои справочники и документы через отдельный адаптер без изменения правил ядра.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INT-05 Граница данных. </w:t>
      </w:r>
      <w:r>
        <w:rPr>
          <w:rFonts w:ascii="Arial" w:hAnsi="Arial" w:eastAsia="Arial"/>
        </w:rPr>
        <w:t>WMS сообщает физическое количество и факт операции; стоимость и проводки формирует внешняя система.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INT-06 Запрет прямой записи. </w:t>
      </w:r>
      <w:r>
        <w:rPr>
          <w:rFonts w:ascii="Arial" w:hAnsi="Arial" w:eastAsia="Arial"/>
        </w:rPr>
        <w:t>Интеграция не изменяет рабочие таблицы WMS напрямую.</w:t>
      </w:r>
    </w:p>
    <w:p>
      <w:pPr>
        <w:pStyle w:val="Heading1"/>
        <w:keepNext/>
      </w:pPr>
      <w:r>
        <w:t>16. Безопасность и аудит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SEC-01 Пароли, пропуска и сессии. </w:t>
      </w:r>
      <w:r>
        <w:rPr>
          <w:rFonts w:ascii="Arial" w:hAnsi="Arial" w:eastAsia="Arial"/>
        </w:rPr>
        <w:t>Пароли и токены машиночитаемых пропусков хешируются современным алгоритмом; сессии ограничены сроком, привязаны к пользователю и могут быть отозваны.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SEC-02 Проверка прав. </w:t>
      </w:r>
      <w:r>
        <w:rPr>
          <w:rFonts w:ascii="Arial" w:hAnsi="Arial" w:eastAsia="Arial"/>
        </w:rPr>
        <w:t>Права и область складов проверяются сервером для каждой команды, а не только скрытием элементов UI.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SEC-03 Аудит. </w:t>
      </w:r>
      <w:r>
        <w:rPr>
          <w:rFonts w:ascii="Arial" w:hAnsi="Arial" w:eastAsia="Arial"/>
        </w:rPr>
        <w:t>Значимая команда фиксирует пользователя, время, клиент или рабочее место, документ, объект, результат и причину отказа.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SEC-04 Секреты. </w:t>
      </w:r>
      <w:r>
        <w:rPr>
          <w:rFonts w:ascii="Arial" w:hAnsi="Arial" w:eastAsia="Arial"/>
        </w:rPr>
        <w:t>Пароли, токены, клиентские адреса и производственные данные не хранятся в репозитории и демонстрационных наборах.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SEC-05 Ограничение API. </w:t>
      </w:r>
      <w:r>
        <w:rPr>
          <w:rFonts w:ascii="Arial" w:hAnsi="Arial" w:eastAsia="Arial"/>
        </w:rPr>
        <w:t>До внедрения аутентификации внешний доступ к API разрешается только из доверенной сети; Alpha должна устранить эту временную меру.</w:t>
      </w:r>
    </w:p>
    <w:p>
      <w:pPr>
        <w:pStyle w:val="Heading1"/>
        <w:keepNext/>
      </w:pPr>
      <w:r>
        <w:t>17. Развёртывание и эксплуатация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OPS-01 Платформа. </w:t>
      </w:r>
      <w:r>
        <w:rPr>
          <w:rFonts w:ascii="Arial" w:hAnsi="Arial" w:eastAsia="Arial"/>
        </w:rPr>
        <w:t>Поддерживаемая серверная платформа — Debian/Ubuntu, PostgreSQL, изолированное окружение Python и systemd.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OPS-02 Установка. </w:t>
      </w:r>
      <w:r>
        <w:rPr>
          <w:rFonts w:ascii="Arial" w:hAnsi="Arial" w:eastAsia="Arial"/>
        </w:rPr>
        <w:t>Один сценарий создаёт базу и пользователя, применяет миграции, создаёт администратора, конфигурацию и сервис.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OPS-03 Первый запуск. </w:t>
      </w:r>
      <w:r>
        <w:rPr>
          <w:rFonts w:ascii="Arial" w:hAnsi="Arial" w:eastAsia="Arial"/>
        </w:rPr>
        <w:t>Мастер настраивает организацию, склад, префиксы, единицы, роли, рабочие места и оборудование.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OPS-04 Обновление. </w:t>
      </w:r>
      <w:r>
        <w:rPr>
          <w:rFonts w:ascii="Arial" w:hAnsi="Arial" w:eastAsia="Arial"/>
        </w:rPr>
        <w:t>Обновление выполняет backup → migration → restart → health check → короткую функциональную проверку.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OPS-05 Резервное копирование. </w:t>
      </w:r>
      <w:r>
        <w:rPr>
          <w:rFonts w:ascii="Arial" w:hAnsi="Arial" w:eastAsia="Arial"/>
        </w:rPr>
        <w:t>Копируются база и необходимые настройки; восстановление документируется и проверяется на отдельной базе.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OPS-06 Наблюдаемость. </w:t>
      </w:r>
      <w:r>
        <w:rPr>
          <w:rFonts w:ascii="Arial" w:hAnsi="Arial" w:eastAsia="Arial"/>
        </w:rPr>
        <w:t>Сервис предоставляет health/readiness, структурированные журналы, версию приложения и состояние миграций.</w:t>
      </w:r>
    </w:p>
    <w:p>
      <w:pPr>
        <w:pStyle w:val="Heading1"/>
        <w:keepNext/>
      </w:pPr>
      <w:r>
        <w:t>18. Нефункциональные показатели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NFR-01 Целостность. </w:t>
      </w:r>
      <w:r>
        <w:rPr>
          <w:rFonts w:ascii="Arial" w:hAnsi="Arial" w:eastAsia="Arial"/>
        </w:rPr>
        <w:t>После подтверждённой операции документ, движения, резервы и текущие позиции согласованы.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NFR-02 Отклик. </w:t>
      </w:r>
      <w:r>
        <w:rPr>
          <w:rFonts w:ascii="Arial" w:hAnsi="Arial" w:eastAsia="Arial"/>
        </w:rPr>
        <w:t>Обычный скан и получение следующего шага в штатной локальной сети выполняются не более чем за 1 секунду без учёта физической печати.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NFR-03 Поиск. </w:t>
      </w:r>
      <w:r>
        <w:rPr>
          <w:rFonts w:ascii="Arial" w:hAnsi="Arial" w:eastAsia="Arial"/>
        </w:rPr>
        <w:t>Поиск номенклатуры и размещения на типовом складе Alpha возвращает первую страницу не более чем за 2 секунды.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NFR-04 Ошибки API. </w:t>
      </w:r>
      <w:r>
        <w:rPr>
          <w:rFonts w:ascii="Arial" w:hAnsi="Arial" w:eastAsia="Arial"/>
        </w:rPr>
        <w:t>Ошибка имеет стабильный код, понятное описание, контекст и данные для исправления; успешный ответ возвращает серверные идентификаторы.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NFR-05 Миграции. </w:t>
      </w:r>
      <w:r>
        <w:rPr>
          <w:rFonts w:ascii="Arial" w:hAnsi="Arial" w:eastAsia="Arial"/>
        </w:rPr>
        <w:t>Изменение схемы выполняется Alembic-миграцией и проверяется на чистой и существующей базе.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NFR-06 Совместимость. </w:t>
      </w:r>
      <w:r>
        <w:rPr>
          <w:rFonts w:ascii="Arial" w:hAnsi="Arial" w:eastAsia="Arial"/>
        </w:rPr>
        <w:t>Публичный API версионируется; несовместимое изменение имеет переходный период либо новую версию.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NFR-07 Тестирование. </w:t>
      </w:r>
      <w:r>
        <w:rPr>
          <w:rFonts w:ascii="Arial" w:hAnsi="Arial" w:eastAsia="Arial"/>
        </w:rPr>
        <w:t>Инварианты, ошибки, повторные команды, конкуренция и основные сценарии покрываются автоматическими тестами.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NFR-08 Локализация. </w:t>
      </w:r>
      <w:r>
        <w:rPr>
          <w:rFonts w:ascii="Arial" w:hAnsi="Arial" w:eastAsia="Arial"/>
        </w:rPr>
        <w:t>Рабочий интерфейс и пользовательская документация Alpha доступны на русском; технические идентификаторы API остаются стабильными.</w:t>
      </w:r>
    </w:p>
    <w:p>
      <w:pPr>
        <w:pStyle w:val="Heading1"/>
        <w:keepNext/>
      </w:pPr>
      <w:r>
        <w:t>19. Критерии приёмки Alpha</w:t>
      </w:r>
    </w:p>
    <w:tbl>
      <w:tblPr>
        <w:tblW w:type="dxa" w:w="924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C9D1D9"/>
          <w:left w:val="single" w:sz="6" w:space="0" w:color="C9D1D9"/>
          <w:bottom w:val="single" w:sz="6" w:space="0" w:color="C9D1D9"/>
          <w:right w:val="single" w:sz="6" w:space="0" w:color="C9D1D9"/>
          <w:insideH w:val="single" w:sz="6" w:space="0" w:color="C9D1D9"/>
          <w:insideV w:val="single" w:sz="6" w:space="0" w:color="C9D1D9"/>
        </w:tblBorders>
      </w:tblPr>
      <w:tblGrid>
        <w:gridCol w:w="2600"/>
        <w:gridCol w:w="6640"/>
      </w:tblGrid>
      <w:tr>
        <w:trPr>
          <w:tblHeader w:val="true"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  <w:jc w:val="left"/>
            </w:pPr>
            <w:r>
              <w:rPr>
                <w:rFonts w:ascii="Arial" w:hAnsi="Arial" w:eastAsia="Arial"/>
                <w:b/>
                <w:color w:val="0F2C46"/>
                <w:sz w:val="19"/>
              </w:rPr>
              <w:t>Проверка</w:t>
            </w:r>
          </w:p>
        </w:tc>
        <w:tc>
          <w:tcPr>
            <w:tcW w:type="dxa" w:w="66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  <w:jc w:val="left"/>
            </w:pPr>
            <w:r>
              <w:rPr>
                <w:rFonts w:ascii="Arial" w:hAnsi="Arial" w:eastAsia="Arial"/>
                <w:b/>
                <w:color w:val="0F2C46"/>
                <w:sz w:val="19"/>
              </w:rPr>
              <w:t>Ожидаемый результат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Номенклатура и упаковки</w:t>
            </w:r>
          </w:p>
        </w:tc>
        <w:tc>
          <w:tcPr>
            <w:tcW w:type="dxa" w:w="66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Созданы перчатки в штуках и коробка 12 шт.; штрихкод коробки однозначно возвращает товар и количество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Весовой приход</w:t>
            </w:r>
          </w:p>
        </w:tc>
        <w:tc>
          <w:tcPr>
            <w:tcW w:type="dxa" w:w="66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Приняты 5000 г и 2 кг одной позиции; остаток составляет 7 кг без потери точности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Поиск</w:t>
            </w:r>
          </w:p>
        </w:tc>
        <w:tc>
          <w:tcPr>
            <w:tcW w:type="dxa" w:w="66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Запрос «перчатки» показывает общий и доступный остаток, склады, адреса, короба, партии и допустимую выдачу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Смешанное хранение</w:t>
            </w:r>
          </w:p>
        </w:tc>
        <w:tc>
          <w:tcPr>
            <w:tcW w:type="dxa" w:w="66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Часть товара лежит непосредственно в ячейке, часть в коробе на палете; общий остаток не удвоен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Перемещение</w:t>
            </w:r>
          </w:p>
        </w:tc>
        <w:tc>
          <w:tcPr>
            <w:tcW w:type="dxa" w:w="66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Целая ЛЕ и часть количества сменили держателя с корректной историей и без изменения общего количества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Карантин</w:t>
            </w:r>
          </w:p>
        </w:tc>
        <w:tc>
          <w:tcPr>
            <w:tcW w:type="dxa" w:w="66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Физически принятый запас виден, но недоступен до разрешения; частичное решение создаёт отдельные позиции и движения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Внутренняя выдача</w:t>
            </w:r>
          </w:p>
        </w:tc>
        <w:tc>
          <w:tcPr>
            <w:tcW w:type="dxa" w:w="66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Скан упаковки, количество и получатель создают документ и уменьшают остаток ровно на проведённое количество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Выдача под ответственность</w:t>
            </w:r>
          </w:p>
        </w:tc>
        <w:tc>
          <w:tcPr>
            <w:tcW w:type="dxa" w:w="66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Запас числится за сотрудником и закрывается возвратом либо полномочным списанием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Отгрузка</w:t>
            </w:r>
          </w:p>
        </w:tc>
        <w:tc>
          <w:tcPr>
            <w:tcW w:type="dxa" w:w="66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Одна заявка содержит целую палету и количественную строку; повторная погрузка и двойное списание отклоняются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Передача</w:t>
            </w:r>
          </w:p>
        </w:tc>
        <w:tc>
          <w:tcPr>
            <w:tcW w:type="dxa" w:w="66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Локальный и транспортный варианты имеют разные этапы; транзит и приёмка назначения дают согласованный остаток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Инвентаризация</w:t>
            </w:r>
          </w:p>
        </w:tc>
        <w:tc>
          <w:tcPr>
            <w:tcW w:type="dxa" w:w="66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Проверены пустой адрес, ЛЕ и количество; незавершённый обязательный обход не закрывается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Корректировка</w:t>
            </w:r>
          </w:p>
        </w:tc>
        <w:tc>
          <w:tcPr>
            <w:tcW w:type="dxa" w:w="66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Излишек +2 оформлен движением с причиной; исходное ожидание и автор решения сохранены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Идемпотентность</w:t>
            </w:r>
          </w:p>
        </w:tc>
        <w:tc>
          <w:tcPr>
            <w:tcW w:type="dxa" w:w="66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Повтор POST с тем же ключом возвращает прежний документ без новой проводки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Конкуренция</w:t>
            </w:r>
          </w:p>
        </w:tc>
        <w:tc>
          <w:tcPr>
            <w:tcW w:type="dxa" w:w="66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Два одновременных расхода не могут вместе превысить доступное количество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Оборудование</w:t>
            </w:r>
          </w:p>
        </w:tc>
        <w:tc>
          <w:tcPr>
            <w:tcW w:type="dxa" w:w="66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Сканер, PDF/RAW-принтер и ручной либо тестовый профиль весов диагностируются с рабочего места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Права</w:t>
            </w:r>
          </w:p>
        </w:tc>
        <w:tc>
          <w:tcPr>
            <w:tcW w:type="dxa" w:w="66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Кладовщик не может выполнить административное списание или работать с чужим складом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Вход по паролю</w:t>
            </w:r>
          </w:p>
        </w:tc>
        <w:tc>
          <w:tcPr>
            <w:tcW w:type="dxa" w:w="66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Корректные логин и пароль создают сессию с назначенными ролью и складами; неверный пароль журналируется без входа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Вход по пропуску</w:t>
            </w:r>
          </w:p>
        </w:tc>
        <w:tc>
          <w:tcPr>
            <w:tcW w:type="dxa" w:w="66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Персональный QR или штрихкод создаёт сессию на разрешённом рабочем месте; отозванный код и заблокированный пользователь вход не выполняют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Перевыпуск пропуска</w:t>
            </w:r>
          </w:p>
        </w:tc>
        <w:tc>
          <w:tcPr>
            <w:tcW w:type="dxa" w:w="66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Новый выпуск доступен старшему, администратору или владельцу после входа паролем; прежний код немедленно отзывается и не может быть показан повторно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Эксплуатация</w:t>
            </w:r>
          </w:p>
        </w:tc>
        <w:tc>
          <w:tcPr>
            <w:tcW w:type="dxa" w:w="66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Чистая установка, обновление с backup и восстановление на отдельной базе проходят документированную проверку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20. Порядок реализации</w:t>
      </w:r>
    </w:p>
    <w:tbl>
      <w:tblPr>
        <w:tblW w:type="dxa" w:w="924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C9D1D9"/>
          <w:left w:val="single" w:sz="6" w:space="0" w:color="C9D1D9"/>
          <w:bottom w:val="single" w:sz="6" w:space="0" w:color="C9D1D9"/>
          <w:right w:val="single" w:sz="6" w:space="0" w:color="C9D1D9"/>
          <w:insideH w:val="single" w:sz="6" w:space="0" w:color="C9D1D9"/>
          <w:insideV w:val="single" w:sz="6" w:space="0" w:color="C9D1D9"/>
        </w:tblBorders>
      </w:tblPr>
      <w:tblGrid>
        <w:gridCol w:w="1500"/>
        <w:gridCol w:w="4100"/>
        <w:gridCol w:w="3640"/>
      </w:tblGrid>
      <w:tr>
        <w:trPr>
          <w:tblHeader w:val="true"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  <w:jc w:val="left"/>
            </w:pPr>
            <w:r>
              <w:rPr>
                <w:rFonts w:ascii="Arial" w:hAnsi="Arial" w:eastAsia="Arial"/>
                <w:b/>
                <w:color w:val="0F2C46"/>
                <w:sz w:val="19"/>
              </w:rPr>
              <w:t>Этап</w:t>
            </w:r>
          </w:p>
        </w:tc>
        <w:tc>
          <w:tcPr>
            <w:tcW w:type="dxa" w:w="4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  <w:jc w:val="left"/>
            </w:pPr>
            <w:r>
              <w:rPr>
                <w:rFonts w:ascii="Arial" w:hAnsi="Arial" w:eastAsia="Arial"/>
                <w:b/>
                <w:color w:val="0F2C46"/>
                <w:sz w:val="19"/>
              </w:rPr>
              <w:t>Содержание</w:t>
            </w:r>
          </w:p>
        </w:tc>
        <w:tc>
          <w:tcPr>
            <w:tcW w:type="dxa" w:w="36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  <w:jc w:val="left"/>
            </w:pPr>
            <w:r>
              <w:rPr>
                <w:rFonts w:ascii="Arial" w:hAnsi="Arial" w:eastAsia="Arial"/>
                <w:b/>
                <w:color w:val="0F2C46"/>
                <w:sz w:val="19"/>
              </w:rPr>
              <w:t>Результат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A. Фиксация</w:t>
            </w:r>
          </w:p>
        </w:tc>
        <w:tc>
          <w:tcPr>
            <w:tcW w:type="dxa" w:w="4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Концепция, ТЗ, сценарии и дорожная карта</w:t>
            </w:r>
          </w:p>
        </w:tc>
        <w:tc>
          <w:tcPr>
            <w:tcW w:type="dxa" w:w="36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Согласованная граница Alpha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B. Количества</w:t>
            </w:r>
          </w:p>
        </w:tc>
        <w:tc>
          <w:tcPr>
            <w:tcW w:type="dxa" w:w="4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Завершение единиц, упаковок, UI и распознавания</w:t>
            </w:r>
          </w:p>
        </w:tc>
        <w:tc>
          <w:tcPr>
            <w:tcW w:type="dxa" w:w="36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Единый точный ввод количества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C. Регистр</w:t>
            </w:r>
          </w:p>
        </w:tc>
        <w:tc>
          <w:tcPr>
            <w:tcW w:type="dxa" w:w="4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Позиции, движения, резервы, документы, идемпотентность и сверка</w:t>
            </w:r>
          </w:p>
        </w:tc>
        <w:tc>
          <w:tcPr>
            <w:tcW w:type="dxa" w:w="36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Единственный источник складского остатка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D. Операции</w:t>
            </w:r>
          </w:p>
        </w:tc>
        <w:tc>
          <w:tcPr>
            <w:tcW w:type="dxa" w:w="4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Перевод существующего цикла и миграция содержимого ЛЕ</w:t>
            </w:r>
          </w:p>
        </w:tc>
        <w:tc>
          <w:tcPr>
            <w:tcW w:type="dxa" w:w="36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Все процессы проводят единый регистр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E. Номенклатурный склад</w:t>
            </w:r>
          </w:p>
        </w:tc>
        <w:tc>
          <w:tcPr>
            <w:tcW w:type="dxa" w:w="4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Поиск, внутренняя выдача, возврат, качество и количественная инвентаризация</w:t>
            </w:r>
          </w:p>
        </w:tc>
        <w:tc>
          <w:tcPr>
            <w:tcW w:type="dxa" w:w="36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Основной пользовательский сценарий Alpha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F. Автоматизация</w:t>
            </w:r>
          </w:p>
        </w:tc>
        <w:tc>
          <w:tcPr>
            <w:tcW w:type="dxa" w:w="4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Роли, задания, рекомендации, оборудование и рабочие места</w:t>
            </w:r>
          </w:p>
        </w:tc>
        <w:tc>
          <w:tcPr>
            <w:tcW w:type="dxa" w:w="36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Управляемая работа оператора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G. Эксплуатация</w:t>
            </w:r>
          </w:p>
        </w:tc>
        <w:tc>
          <w:tcPr>
            <w:tcW w:type="dxa" w:w="4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Отчёты, установщик, мастер, backup/restore, безопасность и документация</w:t>
            </w:r>
          </w:p>
        </w:tc>
        <w:tc>
          <w:tcPr>
            <w:tcW w:type="dxa" w:w="36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Готовность к самостоятельной установке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H. Выпуск</w:t>
            </w:r>
          </w:p>
        </w:tc>
        <w:tc>
          <w:tcPr>
            <w:tcW w:type="dxa" w:w="4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Аудит, нагрузочная проверка, секреты, версия и контрольный прогон</w:t>
            </w:r>
          </w:p>
        </w:tc>
        <w:tc>
          <w:tcPr>
            <w:tcW w:type="dxa" w:w="36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Simple WMS Alpha</w:t>
            </w:r>
          </w:p>
        </w:tc>
      </w:tr>
    </w:tbl>
    <w:p>
      <w:pPr>
        <w:spacing w:after="40"/>
      </w:pPr>
    </w:p>
    <w:p>
      <w:r>
        <w:rPr>
          <w:rFonts w:ascii="Arial" w:hAnsi="Arial" w:eastAsia="Arial"/>
        </w:rPr>
        <w:t>Переход выполняется миграциями и последовательным переводом операций. Старый пилот остаётся только в legacy-копии и теге; рабочее приложение не поддерживает вторую модель палет и коробок параллельно универсальному ядру.</w:t>
      </w:r>
    </w:p>
    <w:p>
      <w:pPr>
        <w:pStyle w:val="Heading1"/>
        <w:keepNext/>
      </w:pPr>
      <w:r>
        <w:t>21. Решения, закрепляемые ТЗ</w:t>
      </w:r>
    </w:p>
    <w:p>
      <w:pPr>
        <w:spacing w:after="80" w:line="280" w:lineRule="auto"/>
        <w:numPr>
          <w:ilvl w:val="0"/>
          <w:numId w:val="14"/>
        </w:numPr>
      </w:pPr>
      <w:r>
        <w:rPr>
          <w:rFonts w:ascii="Arial" w:hAnsi="Arial" w:eastAsia="Arial"/>
        </w:rPr>
        <w:t>Главная цель Alpha — порядок физического склада через адресный и номенклатурный учёт.</w:t>
      </w:r>
    </w:p>
    <w:p>
      <w:pPr>
        <w:spacing w:after="80" w:line="280" w:lineRule="auto"/>
        <w:numPr>
          <w:ilvl w:val="0"/>
          <w:numId w:val="14"/>
        </w:numPr>
      </w:pPr>
      <w:r>
        <w:rPr>
          <w:rFonts w:ascii="Arial" w:hAnsi="Arial" w:eastAsia="Arial"/>
        </w:rPr>
        <w:t>Существующее универсальное ядро является базой дальнейшей разработки.</w:t>
      </w:r>
    </w:p>
    <w:p>
      <w:pPr>
        <w:spacing w:after="80" w:line="280" w:lineRule="auto"/>
        <w:numPr>
          <w:ilvl w:val="0"/>
          <w:numId w:val="14"/>
        </w:numPr>
      </w:pPr>
      <w:r>
        <w:rPr>
          <w:rFonts w:ascii="Arial" w:hAnsi="Arial" w:eastAsia="Arial"/>
        </w:rPr>
        <w:t>Поиск по номенклатуре и размещению становится основным рабочим инструментом.</w:t>
      </w:r>
    </w:p>
    <w:p>
      <w:pPr>
        <w:spacing w:after="80" w:line="280" w:lineRule="auto"/>
        <w:numPr>
          <w:ilvl w:val="0"/>
          <w:numId w:val="14"/>
        </w:numPr>
      </w:pPr>
      <w:r>
        <w:rPr>
          <w:rFonts w:ascii="Arial" w:hAnsi="Arial" w:eastAsia="Arial"/>
        </w:rPr>
        <w:t>Палетные и количественные операции используют один регистр и одни бизнес-правила.</w:t>
      </w:r>
    </w:p>
    <w:p>
      <w:pPr>
        <w:spacing w:after="80" w:line="280" w:lineRule="auto"/>
        <w:numPr>
          <w:ilvl w:val="0"/>
          <w:numId w:val="14"/>
        </w:numPr>
      </w:pPr>
      <w:r>
        <w:rPr>
          <w:rFonts w:ascii="Arial" w:hAnsi="Arial" w:eastAsia="Arial"/>
        </w:rPr>
        <w:t>Резерв, качество, блокировка, собственник и местонахождение моделируются раздельно.</w:t>
      </w:r>
    </w:p>
    <w:p>
      <w:pPr>
        <w:spacing w:after="80" w:line="280" w:lineRule="auto"/>
        <w:numPr>
          <w:ilvl w:val="0"/>
          <w:numId w:val="14"/>
        </w:numPr>
      </w:pPr>
      <w:r>
        <w:rPr>
          <w:rFonts w:ascii="Arial" w:hAnsi="Arial" w:eastAsia="Arial"/>
        </w:rPr>
        <w:t>Внутренняя выдача поддерживает окончательное потребление и временную ответственность.</w:t>
      </w:r>
    </w:p>
    <w:p>
      <w:pPr>
        <w:spacing w:after="80" w:line="280" w:lineRule="auto"/>
        <w:numPr>
          <w:ilvl w:val="0"/>
          <w:numId w:val="14"/>
        </w:numPr>
      </w:pPr>
      <w:r>
        <w:rPr>
          <w:rFonts w:ascii="Arial" w:hAnsi="Arial" w:eastAsia="Arial"/>
        </w:rPr>
        <w:t>Автоматизация действий оператора и подключаемое оборудование входят в Alpha.</w:t>
      </w:r>
    </w:p>
    <w:p>
      <w:pPr>
        <w:spacing w:after="80" w:line="280" w:lineRule="auto"/>
        <w:numPr>
          <w:ilvl w:val="0"/>
          <w:numId w:val="14"/>
        </w:numPr>
      </w:pPr>
      <w:r>
        <w:rPr>
          <w:rFonts w:ascii="Arial" w:hAnsi="Arial" w:eastAsia="Arial"/>
        </w:rPr>
        <w:t>Архитектурные инварианты раздела 9 обязательны для реализации и приёмки.</w:t>
      </w:r>
    </w:p>
    <w:p>
      <w:pPr>
        <w:spacing w:after="80" w:line="280" w:lineRule="auto"/>
        <w:numPr>
          <w:ilvl w:val="0"/>
          <w:numId w:val="14"/>
        </w:numPr>
      </w:pPr>
      <w:r>
        <w:rPr>
          <w:rFonts w:ascii="Arial" w:hAnsi="Arial" w:eastAsia="Arial"/>
        </w:rPr>
        <w:t>Финансовые, производственные, транспортные и регуляторные контуры остаются развитием.</w:t>
      </w:r>
    </w:p>
    <w:p>
      <w:pPr>
        <w:spacing w:after="80" w:line="280" w:lineRule="auto"/>
        <w:numPr>
          <w:ilvl w:val="0"/>
          <w:numId w:val="14"/>
        </w:numPr>
      </w:pPr>
      <w:r>
        <w:rPr>
          <w:rFonts w:ascii="Arial" w:hAnsi="Arial" w:eastAsia="Arial"/>
        </w:rPr>
        <w:t>После согласования ТЗ функциональный объём ядра изменяется только отдельным решением с обновлением дорожной карты.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09" w:footer="709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Arial" w:hAnsi="Arial" w:eastAsia="Arial"/>
        <w:color w:val="5A6470"/>
        <w:sz w:val="17"/>
      </w:rPr>
      <w:t xml:space="preserve">Страница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Arial" w:hAnsi="Arial" w:eastAsia="Arial"/>
        <w:color w:val="5A6470"/>
        <w:sz w:val="17"/>
      </w:rPr>
      <w:t>Simple WMS | Техническое задание Alpha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after="80" w:line="280" w:lineRule="auto"/>
      </w:pPr>
      <w:rPr>
        <w:rFonts w:ascii="Arial" w:hAnsi="Arial" w:eastAsia="Arial"/>
        <w:sz w:val="21"/>
      </w:rPr>
    </w:lvl>
  </w:abstractNum>
  <w:num w:numId="10">
    <w:abstractNumId w:val="9"/>
  </w:num>
  <w:abstractNum w:abstractNumId="10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after="80" w:line="280" w:lineRule="auto"/>
      </w:pPr>
      <w:rPr>
        <w:rFonts w:ascii="Arial" w:hAnsi="Arial" w:eastAsia="Arial"/>
        <w:sz w:val="21"/>
      </w:rPr>
    </w:lvl>
  </w:abstractNum>
  <w:num w:numId="11">
    <w:abstractNumId w:val="10"/>
  </w:num>
  <w:abstractNum w:abstractNumId="11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after="80" w:line="280" w:lineRule="auto"/>
      </w:pPr>
      <w:rPr>
        <w:rFonts w:ascii="Arial" w:hAnsi="Arial" w:eastAsia="Arial"/>
        <w:sz w:val="21"/>
      </w:rPr>
    </w:lvl>
  </w:abstractNum>
  <w:num w:numId="12">
    <w:abstractNumId w:val="11"/>
  </w:num>
  <w:abstractNum w:abstractNumId="12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after="80" w:line="280" w:lineRule="auto"/>
      </w:pPr>
      <w:rPr>
        <w:rFonts w:ascii="Arial" w:hAnsi="Arial" w:eastAsia="Arial"/>
        <w:sz w:val="21"/>
      </w:rPr>
    </w:lvl>
  </w:abstractNum>
  <w:num w:numId="13">
    <w:abstractNumId w:val="12"/>
  </w:num>
  <w:abstractNum w:abstractNumId="13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after="80" w:line="280" w:lineRule="auto"/>
      </w:pPr>
      <w:rPr>
        <w:rFonts w:ascii="Arial" w:hAnsi="Arial" w:eastAsia="Arial"/>
        <w:sz w:val="21"/>
      </w:rPr>
    </w:lvl>
  </w:abstractNum>
  <w:num w:numId="1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Arial" w:hAnsi="Arial" w:eastAsia="Arial"/>
      <w:color w:val="14181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0F2C46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80" w:line="280" w:lineRule="auto"/>
      <w:ind w:left="720" w:hanging="360"/>
      <w:contextualSpacing/>
    </w:pPr>
    <w:rPr>
      <w:rFonts w:ascii="Arial" w:hAnsi="Arial" w:eastAsia="Arial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80" w:line="280" w:lineRule="auto"/>
      <w:ind w:left="720" w:hanging="360"/>
      <w:contextualSpacing/>
    </w:pPr>
    <w:rPr>
      <w:rFonts w:ascii="Arial" w:hAnsi="Arial" w:eastAsia="Arial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LeadCallout">
    <w:name w:val="Lead Callout"/>
    <w:pPr>
      <w:spacing w:before="120" w:after="200" w:line="276" w:lineRule="auto"/>
      <w:ind w:left="227" w:right="227"/>
    </w:pPr>
    <w:rPr>
      <w:rFonts w:ascii="Arial" w:hAnsi="Arial" w:eastAsia="Arial"/>
      <w:b/>
      <w:color w:val="0F2C46"/>
      <w:sz w:val="22"/>
    </w:rPr>
  </w:style>
  <w:style w:type="paragraph" w:customStyle="1" w:styleId="TableText">
    <w:name w:val="Table Text"/>
    <w:pPr>
      <w:spacing w:before="0" w:after="0" w:line="259" w:lineRule="auto"/>
    </w:pPr>
    <w:rPr>
      <w:rFonts w:ascii="Arial" w:hAnsi="Arial" w:eastAsia="Arial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Техническое задание Simple WMS Alpha</dc:title>
  <dc:subject>Адресный и номенклатурный складской учёт</dc:subject>
  <dc:creator>Simple WMS</dc:creator>
  <cp:keywords>Simple WMS, Alpha, техническое задание, склад, номенклатура, остатки</cp:keywords>
  <dc:description>Утверждённая основа разработки Simple WMS 0.1 Alpha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