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термины-определения-и-сокращения"/>
    <w:p>
      <w:pPr>
        <w:pStyle w:val="Heading1"/>
      </w:pPr>
      <w:r>
        <w:t xml:space="preserve">Термины, определения и сокращения</w:t>
      </w:r>
    </w:p>
    <w:p>
      <w:pPr>
        <w:pStyle w:val="FirstParagraph"/>
      </w:pPr>
      <w:r>
        <w:t xml:space="preserve">В настоящем документе используются приведённые ниже термины и сокращения.</w:t>
      </w:r>
    </w:p>
    <w:p>
      <w:pPr>
        <w:pStyle w:val="BodyText"/>
      </w:pPr>
      <w:r>
        <w:t xml:space="preserve">Если термин в действующей документации SAP или во внутренних документах предприятия имеет другое значение, соответствие терминов должно быть отдельно согласовано на этапе детального проектирования.</w:t>
      </w:r>
    </w:p>
    <w:p>
      <w:r>
        <w:pict>
          <v:rect style="width:0;height:1.5pt" o:hralign="center" o:hrstd="t" o:hr="t"/>
        </w:pict>
      </w:r>
    </w:p>
    <w:bookmarkStart w:id="20" w:name="X0d792b7d71032a30b761c031748dfbc6a92186d"/>
    <w:p>
      <w:pPr>
        <w:pStyle w:val="Heading2"/>
      </w:pPr>
      <w:r>
        <w:t xml:space="preserve">1. Информационные системы и технические сокращения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 или сокращение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Используемая предприятием корпоративная информационная система. В рамках проекта SAP является основной системой производственного, документального, бухгалтерского и финансового учёта.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ERP</w:t>
            </w:r>
          </w:p>
        </w:tc>
        <w:tc>
          <w:tcPr/>
          <w:p>
            <w:pPr>
              <w:pStyle w:val="Compact"/>
            </w:pPr>
            <w:r>
              <w:t xml:space="preserve">Enterprise Resource Planning — система управления ресурсами предприятия. Объединяет производство, закупки, продажи, запасы, финансы и другие процессы.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ERP</w:t>
            </w:r>
          </w:p>
        </w:tc>
        <w:tc>
          <w:tcPr/>
          <w:p>
            <w:pPr>
              <w:pStyle w:val="Compact"/>
            </w:pPr>
            <w:r>
              <w:t xml:space="preserve">Корпоративная ERP-система семейства SAP, используемая предприятием. Точная версия и состав используемых модулей должны быть уточнены у SAP-команды.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WMS</w:t>
            </w:r>
          </w:p>
        </w:tc>
        <w:tc>
          <w:tcPr/>
          <w:p>
            <w:pPr>
              <w:pStyle w:val="Compact"/>
            </w:pPr>
            <w:r>
              <w:t xml:space="preserve">Warehouse Management System — система управления складом. В рамках проекта WMS отвечает за коробки, палеты, складские ячейки, задания кладовщикам и фактические движения продукции.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ТСД</w:t>
            </w:r>
          </w:p>
        </w:tc>
        <w:tc>
          <w:tcPr/>
          <w:p>
            <w:pPr>
              <w:pStyle w:val="Compact"/>
            </w:pPr>
            <w:r>
              <w:t xml:space="preserve">Терминал сбора данных — переносное промышленное устройство со сканером, экраном и программой для выполнения складских операций.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Identifier — уникальный идентификатор объекта. Например, номер коробки, палеты, сообщения или складского задания.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BOX ID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 конкретной физической коробки. Не должен повторно использоваться для другой коробки.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Pallet ID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 конкретной физической палеты. Сохраняется за палетой при внутренних и межскладских перемещениях.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Stock Keeping Unit — отдельная товарная позиция складского учёта. Например, «Эскимо ванильное 80 г» и «Эскимо шоколадное 100 г» являются разными SKU. В системе основным идентификатором SKU может использоваться код номенклатуры SAP.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Текстовый структурированный формат обмена данными между информационными системами. Может использоваться для передачи документов между SAP и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HTTP/HTTPS</w:t>
            </w:r>
          </w:p>
        </w:tc>
        <w:tc>
          <w:tcPr/>
          <w:p>
            <w:pPr>
              <w:pStyle w:val="Compact"/>
            </w:pPr>
            <w:r>
              <w:t xml:space="preserve">Протокол передачи данных по сети. HTTPS является защищённым вариантом HTTP с шифрованием соединения.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Защищённый протокол передачи файлов. Может использоваться для обмена XML-файлами между SAP и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Универсальный уникальный идентификатор. Представляет собой длинный номер, вероятность случайного повторения которого практически исключена. Может использоваться для идентификации сообщений и документов обмена.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WAN</w:t>
            </w:r>
          </w:p>
        </w:tc>
        <w:tc>
          <w:tcPr/>
          <w:p>
            <w:pPr>
              <w:pStyle w:val="Compact"/>
            </w:pPr>
            <w:r>
              <w:t xml:space="preserve">Wide Area Network — канал связи между территориально разнесёнными площадками, например между центральной системой и складом в другом городе.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ИБП</w:t>
            </w:r>
          </w:p>
        </w:tc>
        <w:tc>
          <w:tcPr/>
          <w:p>
            <w:pPr>
              <w:pStyle w:val="Compact"/>
            </w:pPr>
            <w:r>
              <w:t xml:space="preserve">Источник бесперебойного питания. Обеспечивает временную работу оборудования при отключении электроснабжения.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способы-выбора-товара-по-сроку-хранения"/>
    <w:p>
      <w:pPr>
        <w:pStyle w:val="Heading2"/>
      </w:pPr>
      <w:r>
        <w:t xml:space="preserve">2. Способы выбора товара по сроку хранения</w:t>
      </w:r>
    </w:p>
    <w:bookmarkStart w:id="21" w:name="fifo"/>
    <w:p>
      <w:pPr>
        <w:pStyle w:val="Heading3"/>
      </w:pPr>
      <w:r>
        <w:t xml:space="preserve">FIFO</w:t>
      </w:r>
    </w:p>
    <w:p>
      <w:pPr>
        <w:pStyle w:val="FirstParagraph"/>
      </w:pPr>
      <w:r>
        <w:rPr>
          <w:b/>
          <w:bCs/>
        </w:rPr>
        <w:t xml:space="preserve">FIFO — First In, First Out</w:t>
      </w:r>
      <w:r>
        <w:t xml:space="preserve">, дословно:</w:t>
      </w:r>
    </w:p>
    <w:p>
      <w:pPr>
        <w:pStyle w:val="BlockText"/>
      </w:pPr>
      <w:r>
        <w:t xml:space="preserve">первым поступил — первым выбыл.</w:t>
      </w:r>
    </w:p>
    <w:p>
      <w:pPr>
        <w:pStyle w:val="FirstParagraph"/>
      </w:pPr>
      <w:r>
        <w:t xml:space="preserve">При FIFO система в первую очередь предлагает отгрузить товар, который раньше остальных поступил на склад.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Палета №1 поступила 10 июля.</w:t>
      </w:r>
      <w:r>
        <w:br/>
      </w:r>
      <w:r>
        <w:rPr>
          <w:rStyle w:val="VerbatimChar"/>
        </w:rPr>
        <w:t xml:space="preserve">Палета №2 поступила 12 июля.</w:t>
      </w:r>
      <w:r>
        <w:br/>
      </w:r>
      <w:r>
        <w:br/>
      </w:r>
      <w:r>
        <w:rPr>
          <w:rStyle w:val="VerbatimChar"/>
        </w:rPr>
        <w:t xml:space="preserve">При использовании FIFO первой отбирается палета №1.</w:t>
      </w:r>
    </w:p>
    <w:p>
      <w:pPr>
        <w:pStyle w:val="FirstParagraph"/>
      </w:pPr>
      <w:r>
        <w:t xml:space="preserve">FIFO подходит для товаров, у которых срок годности отсутствует либо не является основным критерием выбора.</w:t>
      </w:r>
    </w:p>
    <w:p>
      <w:r>
        <w:pict>
          <v:rect style="width:0;height:1.5pt" o:hralign="center" o:hrstd="t" o:hr="t"/>
        </w:pict>
      </w:r>
    </w:p>
    <w:bookmarkEnd w:id="21"/>
    <w:bookmarkStart w:id="22" w:name="fefo"/>
    <w:p>
      <w:pPr>
        <w:pStyle w:val="Heading3"/>
      </w:pPr>
      <w:r>
        <w:t xml:space="preserve">FEFO</w:t>
      </w:r>
    </w:p>
    <w:p>
      <w:pPr>
        <w:pStyle w:val="FirstParagraph"/>
      </w:pPr>
      <w:r>
        <w:rPr>
          <w:b/>
          <w:bCs/>
        </w:rPr>
        <w:t xml:space="preserve">FEFO — First Expired, First Out</w:t>
      </w:r>
      <w:r>
        <w:t xml:space="preserve">, дословно:</w:t>
      </w:r>
    </w:p>
    <w:p>
      <w:pPr>
        <w:pStyle w:val="BlockText"/>
      </w:pPr>
      <w:r>
        <w:t xml:space="preserve">первым истекает срок годности — первым выбывает.</w:t>
      </w:r>
    </w:p>
    <w:p>
      <w:pPr>
        <w:pStyle w:val="FirstParagraph"/>
      </w:pPr>
      <w:r>
        <w:t xml:space="preserve">При FEFO система в первую очередь предлагает отгрузить товар с наиболее ранней датой окончания срока годности.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Палета №1 поступила 10 июля, годна до 30 декабря.</w:t>
      </w:r>
      <w:r>
        <w:br/>
      </w:r>
      <w:r>
        <w:rPr>
          <w:rStyle w:val="VerbatimChar"/>
        </w:rPr>
        <w:t xml:space="preserve">Палета №2 поступила 12 июля, годна до 15 декабря.</w:t>
      </w:r>
      <w:r>
        <w:br/>
      </w:r>
      <w:r>
        <w:br/>
      </w:r>
      <w:r>
        <w:rPr>
          <w:rStyle w:val="VerbatimChar"/>
        </w:rPr>
        <w:t xml:space="preserve">При использовании FEFO первой отбирается палета №2,</w:t>
      </w:r>
      <w:r>
        <w:br/>
      </w:r>
      <w:r>
        <w:rPr>
          <w:rStyle w:val="VerbatimChar"/>
        </w:rPr>
        <w:t xml:space="preserve">несмотря на то что она поступила позже.</w:t>
      </w:r>
    </w:p>
    <w:p>
      <w:pPr>
        <w:pStyle w:val="FirstParagraph"/>
      </w:pPr>
      <w:r>
        <w:t xml:space="preserve">Для мороженого основным принципом отбора должен являться</w:t>
      </w:r>
      <w:r>
        <w:t xml:space="preserve"> </w:t>
      </w:r>
      <w:r>
        <w:rPr>
          <w:b/>
          <w:bCs/>
        </w:rPr>
        <w:t xml:space="preserve">FEFO</w:t>
      </w:r>
      <w:r>
        <w:t xml:space="preserve">.</w:t>
      </w:r>
    </w:p>
    <w:p>
      <w:pPr>
        <w:pStyle w:val="BodyText"/>
      </w:pPr>
      <w:r>
        <w:t xml:space="preserve">FIFO может использоваться как дополнительное правило, если несколько палет имеют одинаковый срок годности:</w:t>
      </w:r>
    </w:p>
    <w:p>
      <w:pPr>
        <w:pStyle w:val="SourceCode"/>
      </w:pPr>
      <w:r>
        <w:rPr>
          <w:rStyle w:val="VerbatimChar"/>
        </w:rPr>
        <w:t xml:space="preserve">1. Сначала выбирается ближайший срок годности — FEFO.</w:t>
      </w:r>
      <w:r>
        <w:br/>
      </w:r>
      <w:r>
        <w:rPr>
          <w:rStyle w:val="VerbatimChar"/>
        </w:rPr>
        <w:t xml:space="preserve">2. Из палет с одинаковым сроком выбирается поступившая раньше — FIFO.</w:t>
      </w:r>
    </w:p>
    <w:p>
      <w:r>
        <w:pict>
          <v:rect style="width:0;height:1.5pt" o:hralign="center" o:hrstd="t" o:hr="t"/>
        </w:pict>
      </w:r>
    </w:p>
    <w:bookmarkEnd w:id="22"/>
    <w:bookmarkStart w:id="23" w:name="остаточный-срок-годности"/>
    <w:p>
      <w:pPr>
        <w:pStyle w:val="Heading3"/>
      </w:pPr>
      <w:r>
        <w:t xml:space="preserve">Остаточный срок годности</w:t>
      </w:r>
    </w:p>
    <w:p>
      <w:pPr>
        <w:pStyle w:val="FirstParagraph"/>
      </w:pPr>
      <w:r>
        <w:t xml:space="preserve">Период от даты предполагаемой поставки до окончания срока годности товара.</w:t>
      </w:r>
    </w:p>
    <w:p>
      <w:pPr>
        <w:pStyle w:val="BodyText"/>
      </w:pPr>
      <w:r>
        <w:t xml:space="preserve">Торговая сеть может отказаться принимать товар, который формально ещё годен, но имеет недостаточный остаточный срок годности.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Товар годен ещё 30 дней.</w:t>
      </w:r>
      <w:r>
        <w:br/>
      </w:r>
      <w:r>
        <w:rPr>
          <w:rStyle w:val="VerbatimChar"/>
        </w:rPr>
        <w:t xml:space="preserve">Торговая сеть требует не менее 60 дней.</w:t>
      </w:r>
      <w:r>
        <w:br/>
      </w:r>
      <w:r>
        <w:br/>
      </w:r>
      <w:r>
        <w:rPr>
          <w:rStyle w:val="VerbatimChar"/>
        </w:rPr>
        <w:t xml:space="preserve">Результат: товар годен вообще, но не подходит для этого получателя.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объекты-складского-учёта"/>
    <w:p>
      <w:pPr>
        <w:pStyle w:val="Heading2"/>
      </w:pPr>
      <w:r>
        <w:t xml:space="preserve">3. Объекты складского учёта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Номенклатура</w:t>
            </w:r>
          </w:p>
        </w:tc>
        <w:tc>
          <w:tcPr/>
          <w:p>
            <w:pPr>
              <w:pStyle w:val="Compact"/>
            </w:pPr>
            <w:r>
              <w:t xml:space="preserve">Вид продукции, имеющий отдельный код SAP, наименование, единицу измерения и параметры упаковки.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Код номенклатуры SAP</w:t>
            </w:r>
          </w:p>
        </w:tc>
        <w:tc>
          <w:tcPr/>
          <w:p>
            <w:pPr>
              <w:pStyle w:val="Compact"/>
            </w:pPr>
            <w:r>
              <w:t xml:space="preserve">Постоянный уникальный код товарной позиции в SAP. Используется для однозначного определения продукции независимо от текстового наименования.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Производственная партия</w:t>
            </w:r>
          </w:p>
        </w:tc>
        <w:tc>
          <w:tcPr/>
          <w:p>
            <w:pPr>
              <w:pStyle w:val="Compact"/>
            </w:pPr>
            <w:r>
              <w:t xml:space="preserve">Группа продукции, изготовленная в определённых производственных условиях. В действующей схеме предприятия партия соответствует рабочей смене, если иное не будет определено при обследовании.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Номер партии</w:t>
            </w:r>
          </w:p>
        </w:tc>
        <w:tc>
          <w:tcPr/>
          <w:p>
            <w:pPr>
              <w:pStyle w:val="Compact"/>
            </w:pPr>
            <w:r>
              <w:t xml:space="preserve">Уникальное обозначение производственной партии. Может включать дату, смену, линию, площадку, производственный заказ и порядковый номер.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Коробка</w:t>
            </w:r>
          </w:p>
        </w:tc>
        <w:tc>
          <w:tcPr/>
          <w:p>
            <w:pPr>
              <w:pStyle w:val="Compact"/>
            </w:pPr>
            <w:r>
              <w:t xml:space="preserve">Минимальная физическая единица продукции, передаваемая производством складскому подразделению и принимаемая кладовщиком.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Палета</w:t>
            </w:r>
          </w:p>
        </w:tc>
        <w:tc>
          <w:tcPr/>
          <w:p>
            <w:pPr>
              <w:pStyle w:val="Compact"/>
            </w:pPr>
            <w:r>
              <w:t xml:space="preserve">Логистическая единица, состоящая из одной или нескольких коробок и предназначенная для хранения и перемещения погрузочной техникой.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Однородная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содержащая коробки одной номенклатуры и одной производственной партии. Является стандартным вариантом складской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Смешанная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содержащая разные номенклатуры или партии. Допускается только в отдельно предусмотренном процессе, например при формировании клиентской отгрузки.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содержащая нормативное количество коробок для данной номенклатуры и схемы упаковки.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Неполная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содержащая меньше нормативного количества коробок. Причина формирования неполной палеты должна фиксироваться в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Состав палеты</w:t>
            </w:r>
          </w:p>
        </w:tc>
        <w:tc>
          <w:tcPr/>
          <w:p>
            <w:pPr>
              <w:pStyle w:val="Compact"/>
            </w:pPr>
            <w:r>
              <w:t xml:space="preserve">Перечень всех коробок, включённых в конкретную палету.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Логистическая единица</w:t>
            </w:r>
          </w:p>
        </w:tc>
        <w:tc>
          <w:tcPr/>
          <w:p>
            <w:pPr>
              <w:pStyle w:val="Compact"/>
            </w:pPr>
            <w:r>
              <w:t xml:space="preserve">Физически перемещаемый объект, имеющий собственный идентификатор. В рамках проекта основной логистической единицей является палета.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Единица измерения</w:t>
            </w:r>
          </w:p>
        </w:tc>
        <w:tc>
          <w:tcPr/>
          <w:p>
            <w:pPr>
              <w:pStyle w:val="Compact"/>
            </w:pPr>
            <w:r>
              <w:t xml:space="preserve">Способ количественного учёта продукции: штука, коробка, килограмм, палета и другие варианты.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Коэффициент пересчёта</w:t>
            </w:r>
          </w:p>
        </w:tc>
        <w:tc>
          <w:tcPr/>
          <w:p>
            <w:pPr>
              <w:pStyle w:val="Compact"/>
            </w:pPr>
            <w:r>
              <w:t xml:space="preserve">Правило перевода одной единицы измерения в другую. Например: 20 штук в коробке и 120 коробок на палете.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структура-склада"/>
    <w:p>
      <w:pPr>
        <w:pStyle w:val="Heading2"/>
      </w:pPr>
      <w:r>
        <w:t xml:space="preserve">4. Структура склада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Площадка</w:t>
            </w:r>
          </w:p>
        </w:tc>
        <w:tc>
          <w:tcPr/>
          <w:p>
            <w:pPr>
              <w:pStyle w:val="Compact"/>
            </w:pPr>
            <w:r>
              <w:t xml:space="preserve">Территориально обособленный объект предприятия, на котором может располагаться один или несколько складов.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</w:t>
            </w:r>
          </w:p>
        </w:tc>
        <w:tc>
          <w:tcPr/>
          <w:p>
            <w:pPr>
              <w:pStyle w:val="Compact"/>
            </w:pPr>
            <w:r>
              <w:t xml:space="preserve">Отдельное помещение, комплекс помещений или логически выделенный объект хранения продукции.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Часть склада с определённым назначением или правилами работы. Например, зона приёмки, карантина, хранения или отгрузки.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Ряд</w:t>
            </w:r>
          </w:p>
        </w:tc>
        <w:tc>
          <w:tcPr/>
          <w:p>
            <w:pPr>
              <w:pStyle w:val="Compact"/>
            </w:pPr>
            <w:r>
              <w:t xml:space="preserve">Последовательность стеллажей или складских мест, объединённая общим номером.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Стеллаж</w:t>
            </w:r>
          </w:p>
        </w:tc>
        <w:tc>
          <w:tcPr/>
          <w:p>
            <w:pPr>
              <w:pStyle w:val="Compact"/>
            </w:pPr>
            <w:r>
              <w:t xml:space="preserve">Конструкция для размещения продукции на нескольких уровнях.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Секция стеллажа</w:t>
            </w:r>
          </w:p>
        </w:tc>
        <w:tc>
          <w:tcPr/>
          <w:p>
            <w:pPr>
              <w:pStyle w:val="Compact"/>
            </w:pPr>
            <w:r>
              <w:t xml:space="preserve">Часть стеллажа между вертикальными стойками.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Ярус</w:t>
            </w:r>
          </w:p>
        </w:tc>
        <w:tc>
          <w:tcPr/>
          <w:p>
            <w:pPr>
              <w:pStyle w:val="Compact"/>
            </w:pPr>
            <w:r>
              <w:t xml:space="preserve">Уровень хранения по высоте стеллажа.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Ячейка</w:t>
            </w:r>
          </w:p>
        </w:tc>
        <w:tc>
          <w:tcPr/>
          <w:p>
            <w:pPr>
              <w:pStyle w:val="Compact"/>
            </w:pPr>
            <w:r>
              <w:t xml:space="preserve">Минимальный адресуемый участок склада, в котором система учитывает местонахождение товара.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Палетоместо</w:t>
            </w:r>
          </w:p>
        </w:tc>
        <w:tc>
          <w:tcPr/>
          <w:p>
            <w:pPr>
              <w:pStyle w:val="Compact"/>
            </w:pPr>
            <w:r>
              <w:t xml:space="preserve">Ячейка, рассчитанная на размещение одной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Напольное палетоместо</w:t>
            </w:r>
          </w:p>
        </w:tc>
        <w:tc>
          <w:tcPr/>
          <w:p>
            <w:pPr>
              <w:pStyle w:val="Compact"/>
            </w:pPr>
            <w:r>
              <w:t xml:space="preserve">Обозначенное место для палеты на полу без использования стеллажа.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Складской адрес</w:t>
            </w:r>
          </w:p>
        </w:tc>
        <w:tc>
          <w:tcPr/>
          <w:p>
            <w:pPr>
              <w:pStyle w:val="Compact"/>
            </w:pPr>
            <w:r>
              <w:t xml:space="preserve">Уникальное обозначение местоположения палеты. Может включать склад, зону, ряд, секцию, ярус и палетоместо.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Топология склада</w:t>
            </w:r>
          </w:p>
        </w:tc>
        <w:tc>
          <w:tcPr/>
          <w:p>
            <w:pPr>
              <w:pStyle w:val="Compact"/>
            </w:pPr>
            <w:r>
              <w:t xml:space="preserve">Описание структуры склада и взаимного расположения зон, рядов, стеллажей, ячеек, ворот и других объектов.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Адресное хранение</w:t>
            </w:r>
          </w:p>
        </w:tc>
        <w:tc>
          <w:tcPr/>
          <w:p>
            <w:pPr>
              <w:pStyle w:val="Compact"/>
            </w:pPr>
            <w:r>
              <w:t xml:space="preserve">Способ организации склада, при котором каждая палета закреплена в системе за конкретной ячейкой.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Свободная ячейка</w:t>
            </w:r>
          </w:p>
        </w:tc>
        <w:tc>
          <w:tcPr/>
          <w:p>
            <w:pPr>
              <w:pStyle w:val="Compact"/>
            </w:pPr>
            <w:r>
              <w:t xml:space="preserve">Ячейка, в которой в данный момент отсутствует палета и размещение не запрещено.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Занятая ячейка</w:t>
            </w:r>
          </w:p>
        </w:tc>
        <w:tc>
          <w:tcPr/>
          <w:p>
            <w:pPr>
              <w:pStyle w:val="Compact"/>
            </w:pPr>
            <w:r>
              <w:t xml:space="preserve">Ячейка, в которой уже находится палета либо место зарезервировано под размещение.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складские-зоны"/>
    <w:p>
      <w:pPr>
        <w:pStyle w:val="Heading2"/>
      </w:pPr>
      <w:r>
        <w:t xml:space="preserve">5. Складские зоны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передачи от производства</w:t>
            </w:r>
          </w:p>
        </w:tc>
        <w:tc>
          <w:tcPr/>
          <w:p>
            <w:pPr>
              <w:pStyle w:val="Compact"/>
            </w:pPr>
            <w:r>
              <w:t xml:space="preserve">Место, где упакованные коробки физически передаются кладовщику и принимаются в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формирования палет</w:t>
            </w:r>
          </w:p>
        </w:tc>
        <w:tc>
          <w:tcPr/>
          <w:p>
            <w:pPr>
              <w:pStyle w:val="Compact"/>
            </w:pPr>
            <w:r>
              <w:t xml:space="preserve">Место, где принятые коробки укладываются на палеты и связываются с ними в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приёмки</w:t>
            </w:r>
          </w:p>
        </w:tc>
        <w:tc>
          <w:tcPr/>
          <w:p>
            <w:pPr>
              <w:pStyle w:val="Compact"/>
            </w:pPr>
            <w:r>
              <w:t xml:space="preserve">Временное место для продукции, принятой складом, но ещё не размещённой на постоянное хранение.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основного хранения</w:t>
            </w:r>
          </w:p>
        </w:tc>
        <w:tc>
          <w:tcPr/>
          <w:p>
            <w:pPr>
              <w:pStyle w:val="Compact"/>
            </w:pPr>
            <w:r>
              <w:t xml:space="preserve">Часть склада, предназначенная для хранения доступной продукции.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Карантинная зона</w:t>
            </w:r>
          </w:p>
        </w:tc>
        <w:tc>
          <w:tcPr/>
          <w:p>
            <w:pPr>
              <w:pStyle w:val="Compact"/>
            </w:pPr>
            <w:r>
              <w:t xml:space="preserve">Место для продукции, использование которой временно запрещено до принятия решения.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расхождений</w:t>
            </w:r>
          </w:p>
        </w:tc>
        <w:tc>
          <w:tcPr/>
          <w:p>
            <w:pPr>
              <w:pStyle w:val="Compact"/>
            </w:pPr>
            <w:r>
              <w:t xml:space="preserve">Место для продукции с ошибочной, отсутствующей или противоречивой информацией.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неопознанной продукции</w:t>
            </w:r>
          </w:p>
        </w:tc>
        <w:tc>
          <w:tcPr/>
          <w:p>
            <w:pPr>
              <w:pStyle w:val="Compact"/>
            </w:pPr>
            <w:r>
              <w:t xml:space="preserve">Место для коробок и палет, которые невозможно однозначно определить по этикетке или данным системы.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отгрузочной экспедиции</w:t>
            </w:r>
          </w:p>
        </w:tc>
        <w:tc>
          <w:tcPr/>
          <w:p>
            <w:pPr>
              <w:pStyle w:val="Compact"/>
            </w:pPr>
            <w:r>
              <w:t xml:space="preserve">Место временного хранения палет, уже отобранных под конкретную клиентскую отгрузку.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межскладской отправки</w:t>
            </w:r>
          </w:p>
        </w:tc>
        <w:tc>
          <w:tcPr/>
          <w:p>
            <w:pPr>
              <w:pStyle w:val="Compact"/>
            </w:pPr>
            <w:r>
              <w:t xml:space="preserve">Место, где палеты ожидают загрузки для перевозки на другой склад.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межскладской приёмки</w:t>
            </w:r>
          </w:p>
        </w:tc>
        <w:tc>
          <w:tcPr/>
          <w:p>
            <w:pPr>
              <w:pStyle w:val="Compact"/>
            </w:pPr>
            <w:r>
              <w:t xml:space="preserve">Место, куда поступают палеты с другого склада до проверки и размещения.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Зона брака</w:t>
            </w:r>
          </w:p>
        </w:tc>
        <w:tc>
          <w:tcPr/>
          <w:p>
            <w:pPr>
              <w:pStyle w:val="Compact"/>
            </w:pPr>
            <w:r>
              <w:t xml:space="preserve">Изолированное место для продукции, признанной непригодной к использованию или реализации.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основные-складские-операции"/>
    <w:p>
      <w:pPr>
        <w:pStyle w:val="Heading2"/>
      </w:pPr>
      <w:r>
        <w:t xml:space="preserve">6. Основные складские операции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Приёмка от производства</w:t>
            </w:r>
          </w:p>
        </w:tc>
        <w:tc>
          <w:tcPr/>
          <w:p>
            <w:pPr>
              <w:pStyle w:val="Compact"/>
            </w:pPr>
            <w:r>
              <w:t xml:space="preserve">Подтверждённая сканированием передача коробки из ответственности производства в ответственность склада.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Формирование палеты</w:t>
            </w:r>
          </w:p>
        </w:tc>
        <w:tc>
          <w:tcPr/>
          <w:p>
            <w:pPr>
              <w:pStyle w:val="Compact"/>
            </w:pPr>
            <w:r>
              <w:t xml:space="preserve">Последовательное добавление отсканированных коробок в состав конкретной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Открытая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в которую ещё разрешено добавлять или из которой разрешено убирать коробки.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Закрытие палеты</w:t>
            </w:r>
          </w:p>
        </w:tc>
        <w:tc>
          <w:tcPr/>
          <w:p>
            <w:pPr>
              <w:pStyle w:val="Compact"/>
            </w:pPr>
            <w:r>
              <w:t xml:space="preserve">Завершение формирования палеты с фиксацией её окончательного состава и количества.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Закрытая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 с зафиксированным составом. Изменение её содержимого допускается только через специальную операцию.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Размещение</w:t>
            </w:r>
          </w:p>
        </w:tc>
        <w:tc>
          <w:tcPr/>
          <w:p>
            <w:pPr>
              <w:pStyle w:val="Compact"/>
            </w:pPr>
            <w:r>
              <w:t xml:space="preserve">Перемещение принятой палеты из зоны приёмки в назначенную складскую ячейку.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Внутрискладское перемещение</w:t>
            </w:r>
          </w:p>
        </w:tc>
        <w:tc>
          <w:tcPr/>
          <w:p>
            <w:pPr>
              <w:pStyle w:val="Compact"/>
            </w:pPr>
            <w:r>
              <w:t xml:space="preserve">Перенос палеты между ячейками или зонами одного склада.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Межскладское перемещение</w:t>
            </w:r>
          </w:p>
        </w:tc>
        <w:tc>
          <w:tcPr/>
          <w:p>
            <w:pPr>
              <w:pStyle w:val="Compact"/>
            </w:pPr>
            <w:r>
              <w:t xml:space="preserve">Перевозка продукции с одного склада на другой с отдельной фиксацией отправки, нахождения в пути и приёмки.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Отбор</w:t>
            </w:r>
          </w:p>
        </w:tc>
        <w:tc>
          <w:tcPr/>
          <w:p>
            <w:pPr>
              <w:pStyle w:val="Compact"/>
            </w:pPr>
            <w:r>
              <w:t xml:space="preserve">Изъятие конкретных палет или коробок из мест хранения для выполнения заказа или перемещения.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Комплектация</w:t>
            </w:r>
          </w:p>
        </w:tc>
        <w:tc>
          <w:tcPr/>
          <w:p>
            <w:pPr>
              <w:pStyle w:val="Compact"/>
            </w:pPr>
            <w:r>
              <w:t xml:space="preserve">Формирование полного набора продукции, необходимого для конкретного заказа или отгрузки.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Резервирование</w:t>
            </w:r>
          </w:p>
        </w:tc>
        <w:tc>
          <w:tcPr/>
          <w:p>
            <w:pPr>
              <w:pStyle w:val="Compact"/>
            </w:pPr>
            <w:r>
              <w:t xml:space="preserve">Закрепление конкретной продукции за заказом или перемещением. Зарезервированный товар нельзя использовать для другого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Экспедиция</w:t>
            </w:r>
          </w:p>
        </w:tc>
        <w:tc>
          <w:tcPr/>
          <w:p>
            <w:pPr>
              <w:pStyle w:val="Compact"/>
            </w:pPr>
            <w:r>
              <w:t xml:space="preserve">Этап, на котором отобранная продукция ожидает проверки и погрузки. Также экспедицией может называться соответствующая складская зона.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Погрузка</w:t>
            </w:r>
          </w:p>
        </w:tc>
        <w:tc>
          <w:tcPr/>
          <w:p>
            <w:pPr>
              <w:pStyle w:val="Compact"/>
            </w:pPr>
            <w:r>
              <w:t xml:space="preserve">Физическое помещение палет в транспортное средство с обязательным контролем сканированием.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Отгрузка</w:t>
            </w:r>
          </w:p>
        </w:tc>
        <w:tc>
          <w:tcPr/>
          <w:p>
            <w:pPr>
              <w:pStyle w:val="Compact"/>
            </w:pPr>
            <w:r>
              <w:t xml:space="preserve">Завершённая операция передачи продукции получателю или перевозчику на основании документа.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Товар в пути</w:t>
            </w:r>
          </w:p>
        </w:tc>
        <w:tc>
          <w:tcPr/>
          <w:p>
            <w:pPr>
              <w:pStyle w:val="Compact"/>
            </w:pPr>
            <w:r>
              <w:t xml:space="preserve">Продукция, уже отправленная со склада-источника, но ещё не принятая складом назначения.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Разукомплектация палеты</w:t>
            </w:r>
          </w:p>
        </w:tc>
        <w:tc>
          <w:tcPr/>
          <w:p>
            <w:pPr>
              <w:pStyle w:val="Compact"/>
            </w:pPr>
            <w:r>
              <w:t xml:space="preserve">Контролируемое изменение состава ранее закрытой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Разделение палеты</w:t>
            </w:r>
          </w:p>
        </w:tc>
        <w:tc>
          <w:tcPr/>
          <w:p>
            <w:pPr>
              <w:pStyle w:val="Compact"/>
            </w:pPr>
            <w:r>
              <w:t xml:space="preserve">Создание из одной палеты двух или нескольких палет с сохранением происхождения всех коробок.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Объединение палет</w:t>
            </w:r>
          </w:p>
        </w:tc>
        <w:tc>
          <w:tcPr/>
          <w:p>
            <w:pPr>
              <w:pStyle w:val="Compact"/>
            </w:pPr>
            <w:r>
              <w:t xml:space="preserve">Перенос коробок с нескольких неполных палет на одну палету при соблюдении правил номенклатуры и партии.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Переупаковка</w:t>
            </w:r>
          </w:p>
        </w:tc>
        <w:tc>
          <w:tcPr/>
          <w:p>
            <w:pPr>
              <w:pStyle w:val="Compact"/>
            </w:pPr>
            <w:r>
              <w:t xml:space="preserve">Замена повреждённой или непригодной упаковки с сохранением связи между исходной и новой коробкой.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Списание</w:t>
            </w:r>
          </w:p>
        </w:tc>
        <w:tc>
          <w:tcPr/>
          <w:p>
            <w:pPr>
              <w:pStyle w:val="Compact"/>
            </w:pPr>
            <w:r>
              <w:t xml:space="preserve">Вывод продукции из доступного остатка как непригодной, утраченной или использованной по другому основанию.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складские-задания-и-статусы"/>
    <w:p>
      <w:pPr>
        <w:pStyle w:val="Heading2"/>
      </w:pPr>
      <w:r>
        <w:t xml:space="preserve">7. Складские задания и статусы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Складское задание</w:t>
            </w:r>
          </w:p>
        </w:tc>
        <w:tc>
          <w:tcPr/>
          <w:p>
            <w:pPr>
              <w:pStyle w:val="Compact"/>
            </w:pPr>
            <w:r>
              <w:t xml:space="preserve">Поручение сотруднику выполнить конкретную операцию: принять, разместить, переместить, отобрать или погрузить продукцию.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Исполнитель задания</w:t>
            </w:r>
          </w:p>
        </w:tc>
        <w:tc>
          <w:tcPr/>
          <w:p>
            <w:pPr>
              <w:pStyle w:val="Compact"/>
            </w:pPr>
            <w:r>
              <w:t xml:space="preserve">Сотрудник, которому назначено выполнение складской операции.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Источник перемещения</w:t>
            </w:r>
          </w:p>
        </w:tc>
        <w:tc>
          <w:tcPr/>
          <w:p>
            <w:pPr>
              <w:pStyle w:val="Compact"/>
            </w:pPr>
            <w:r>
              <w:t xml:space="preserve">Ячейка или зона, из которой необходимо забрать палету.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Место назначения</w:t>
            </w:r>
          </w:p>
        </w:tc>
        <w:tc>
          <w:tcPr/>
          <w:p>
            <w:pPr>
              <w:pStyle w:val="Compact"/>
            </w:pPr>
            <w:r>
              <w:t xml:space="preserve">Ячейка или зона, куда необходимо доставить палету.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Статус объекта</w:t>
            </w:r>
          </w:p>
        </w:tc>
        <w:tc>
          <w:tcPr/>
          <w:p>
            <w:pPr>
              <w:pStyle w:val="Compact"/>
            </w:pPr>
            <w:r>
              <w:t xml:space="preserve">Текущее состояние коробки, палеты, задания или документа. Например: доступна, зарезервирована, в пути или заблокирована.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Доступный остаток</w:t>
            </w:r>
          </w:p>
        </w:tc>
        <w:tc>
          <w:tcPr/>
          <w:p>
            <w:pPr>
              <w:pStyle w:val="Compact"/>
            </w:pPr>
            <w:r>
              <w:t xml:space="preserve">Продукция, которая физически находится на складе и может быть зарезервирована или отгружена.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Физический остаток</w:t>
            </w:r>
          </w:p>
        </w:tc>
        <w:tc>
          <w:tcPr/>
          <w:p>
            <w:pPr>
              <w:pStyle w:val="Compact"/>
            </w:pPr>
            <w:r>
              <w:t xml:space="preserve">Вся фактически находящаяся на складе продукция, включая доступную, зарезервированную, заблокированную и находящуюся в карантине.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Зарезервированный остаток</w:t>
            </w:r>
          </w:p>
        </w:tc>
        <w:tc>
          <w:tcPr/>
          <w:p>
            <w:pPr>
              <w:pStyle w:val="Compact"/>
            </w:pPr>
            <w:r>
              <w:t xml:space="preserve">Продукция, уже закреплённая за конкретным заказом или перемещением.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Заблокированный товар</w:t>
            </w:r>
          </w:p>
        </w:tc>
        <w:tc>
          <w:tcPr/>
          <w:p>
            <w:pPr>
              <w:pStyle w:val="Compact"/>
            </w:pPr>
            <w:r>
              <w:t xml:space="preserve">Продукция, любые обычные операции с которой временно запрещены системой.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Карантин</w:t>
            </w:r>
          </w:p>
        </w:tc>
        <w:tc>
          <w:tcPr/>
          <w:p>
            <w:pPr>
              <w:pStyle w:val="Compact"/>
            </w:pPr>
            <w:r>
              <w:t xml:space="preserve">Временный статус продукции, требующей проверки или решения ответственного сотрудника.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Приостановленное задание</w:t>
            </w:r>
          </w:p>
        </w:tc>
        <w:tc>
          <w:tcPr/>
          <w:p>
            <w:pPr>
              <w:pStyle w:val="Compact"/>
            </w:pPr>
            <w:r>
              <w:t xml:space="preserve">Задание, выполнение которого временно невозможно из-за ошибки, блокировки или отсутствия необходимых данных.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Исключительная операция</w:t>
            </w:r>
          </w:p>
        </w:tc>
        <w:tc>
          <w:tcPr/>
          <w:p>
            <w:pPr>
              <w:pStyle w:val="Compact"/>
            </w:pPr>
            <w:r>
              <w:t xml:space="preserve">Действие, которое выходит за обычный процесс и требует специальных полномочий или указания причины.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инвентаризация-и-расхождения"/>
    <w:p>
      <w:pPr>
        <w:pStyle w:val="Heading2"/>
      </w:pPr>
      <w:r>
        <w:t xml:space="preserve">8. Инвентаризация и расхождения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Инвентаризация</w:t>
            </w:r>
          </w:p>
        </w:tc>
        <w:tc>
          <w:tcPr/>
          <w:p>
            <w:pPr>
              <w:pStyle w:val="Compact"/>
            </w:pPr>
            <w:r>
              <w:t xml:space="preserve">Проверка соответствия фактически находящейся на складе продукции данным WMS и SAP.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Инвентаризация ячейки</w:t>
            </w:r>
          </w:p>
        </w:tc>
        <w:tc>
          <w:tcPr/>
          <w:p>
            <w:pPr>
              <w:pStyle w:val="Compact"/>
            </w:pPr>
            <w:r>
              <w:t xml:space="preserve">Проверка всех палет, фактически находящихся в конкретной ячейке.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Инвентаризация зоны</w:t>
            </w:r>
          </w:p>
        </w:tc>
        <w:tc>
          <w:tcPr/>
          <w:p>
            <w:pPr>
              <w:pStyle w:val="Compact"/>
            </w:pPr>
            <w:r>
              <w:t xml:space="preserve">Проверка продукции в выбранной складской зоне.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Полная инвентаризация</w:t>
            </w:r>
          </w:p>
        </w:tc>
        <w:tc>
          <w:tcPr/>
          <w:p>
            <w:pPr>
              <w:pStyle w:val="Compact"/>
            </w:pPr>
            <w:r>
              <w:t xml:space="preserve">Проверка всего склада или предприятия.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Циклическая инвентаризация</w:t>
            </w:r>
          </w:p>
        </w:tc>
        <w:tc>
          <w:tcPr/>
          <w:p>
            <w:pPr>
              <w:pStyle w:val="Compact"/>
            </w:pPr>
            <w:r>
              <w:t xml:space="preserve">Регулярная проверка отдельных ячеек, партий или товаров без полной остановки склада.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Расхождение</w:t>
            </w:r>
          </w:p>
        </w:tc>
        <w:tc>
          <w:tcPr/>
          <w:p>
            <w:pPr>
              <w:pStyle w:val="Compact"/>
            </w:pPr>
            <w:r>
              <w:t xml:space="preserve">Несоответствие ожидаемых и фактических данных. Например, отсутствие палеты в назначенной ячейке или обнаружение лишней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Недостача</w:t>
            </w:r>
          </w:p>
        </w:tc>
        <w:tc>
          <w:tcPr/>
          <w:p>
            <w:pPr>
              <w:pStyle w:val="Compact"/>
            </w:pPr>
            <w:r>
              <w:t xml:space="preserve">Фактическое количество продукции меньше количества, указанного в системе или документе.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Излишек</w:t>
            </w:r>
          </w:p>
        </w:tc>
        <w:tc>
          <w:tcPr/>
          <w:p>
            <w:pPr>
              <w:pStyle w:val="Compact"/>
            </w:pPr>
            <w:r>
              <w:t xml:space="preserve">Фактическое количество продукции больше количества, указанного в системе или документе.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Пересорт</w:t>
            </w:r>
          </w:p>
        </w:tc>
        <w:tc>
          <w:tcPr/>
          <w:p>
            <w:pPr>
              <w:pStyle w:val="Compact"/>
            </w:pPr>
            <w:r>
              <w:t xml:space="preserve">Обнаружение вместо ожидаемого товара другой номенклатуры, партии или варианта упаковки.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Корректирующая операция</w:t>
            </w:r>
          </w:p>
        </w:tc>
        <w:tc>
          <w:tcPr/>
          <w:p>
            <w:pPr>
              <w:pStyle w:val="Compact"/>
            </w:pPr>
            <w:r>
              <w:t xml:space="preserve">Оформленное изменение учётных данных, выполняемое после проверки и подтверждения расхождения.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Автоматическое или ручное сравнение данных двух систем, например остатков SAP и WMS.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слеживаемость-и-контроль"/>
    <w:p>
      <w:pPr>
        <w:pStyle w:val="Heading2"/>
      </w:pPr>
      <w:r>
        <w:t xml:space="preserve">9. Прослеживаемость и контроль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Прослеживаемость</w:t>
            </w:r>
          </w:p>
        </w:tc>
        <w:tc>
          <w:tcPr/>
          <w:p>
            <w:pPr>
              <w:pStyle w:val="Compact"/>
            </w:pPr>
            <w:r>
              <w:t xml:space="preserve">Возможность восстановить происхождение, состав, местонахождение и историю движения конкретной коробки или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Трассировка</w:t>
            </w:r>
          </w:p>
        </w:tc>
        <w:tc>
          <w:tcPr/>
          <w:p>
            <w:pPr>
              <w:pStyle w:val="Compact"/>
            </w:pPr>
            <w:r>
              <w:t xml:space="preserve">Поиск связанных объектов и операций по цепочке: партия → коробка → палета → ячейка → документ → отгрузка.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 операций</w:t>
            </w:r>
          </w:p>
        </w:tc>
        <w:tc>
          <w:tcPr/>
          <w:p>
            <w:pPr>
              <w:pStyle w:val="Compact"/>
            </w:pPr>
            <w:r>
              <w:t xml:space="preserve">Неизменяемый перечень выполненных действий с указанием пользователя, времени, устройства и результата.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Аудит</w:t>
            </w:r>
          </w:p>
        </w:tc>
        <w:tc>
          <w:tcPr/>
          <w:p>
            <w:pPr>
              <w:pStyle w:val="Compact"/>
            </w:pPr>
            <w:r>
              <w:t xml:space="preserve">Проверка действий пользователей и изменений данных на основании журнала операций.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История объекта</w:t>
            </w:r>
          </w:p>
        </w:tc>
        <w:tc>
          <w:tcPr/>
          <w:p>
            <w:pPr>
              <w:pStyle w:val="Compact"/>
            </w:pPr>
            <w:r>
              <w:t xml:space="preserve">Полный перечень событий, связанных с определённой коробкой, палетой, ячейкой или документом.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сканированием</w:t>
            </w:r>
          </w:p>
        </w:tc>
        <w:tc>
          <w:tcPr/>
          <w:p>
            <w:pPr>
              <w:pStyle w:val="Compact"/>
            </w:pPr>
            <w:r>
              <w:t xml:space="preserve">Проверка правильности операции путём считывания кодов физического объекта, ячейки, документа или транспортного средства.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Двойное сканирование</w:t>
            </w:r>
          </w:p>
        </w:tc>
        <w:tc>
          <w:tcPr/>
          <w:p>
            <w:pPr>
              <w:pStyle w:val="Compact"/>
            </w:pPr>
            <w:r>
              <w:t xml:space="preserve">Ошибочная повторная обработка одной и той же коробки или палеты. WMS должна обнаруживать и блокировать такую операцию.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Чужая палета</w:t>
            </w:r>
          </w:p>
        </w:tc>
        <w:tc>
          <w:tcPr/>
          <w:p>
            <w:pPr>
              <w:pStyle w:val="Compact"/>
            </w:pPr>
            <w:r>
              <w:t xml:space="preserve">Палета, которая не относится к выполняемому заданию, перемещению или отгрузке.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Ручная корректировка</w:t>
            </w:r>
          </w:p>
        </w:tc>
        <w:tc>
          <w:tcPr/>
          <w:p>
            <w:pPr>
              <w:pStyle w:val="Compact"/>
            </w:pPr>
            <w:r>
              <w:t xml:space="preserve">Изменение учётных данных сотрудником без обычного физического процесса. Должна быть ограничена правами и обязательно журналироваться.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этикетки-и-машиночитаемые-коды"/>
    <w:p>
      <w:pPr>
        <w:pStyle w:val="Heading2"/>
      </w:pPr>
      <w:r>
        <w:t xml:space="preserve">10. Этикетки и машиночитаемые коды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Этикетка</w:t>
            </w:r>
          </w:p>
        </w:tc>
        <w:tc>
          <w:tcPr/>
          <w:p>
            <w:pPr>
              <w:pStyle w:val="Compact"/>
            </w:pPr>
            <w:r>
              <w:t xml:space="preserve">Наклейка с визуальной и машиночитаемой информацией о коробке, палете, ячейке или другом объекте.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Машиночитаемый код</w:t>
            </w:r>
          </w:p>
        </w:tc>
        <w:tc>
          <w:tcPr/>
          <w:p>
            <w:pPr>
              <w:pStyle w:val="Compact"/>
            </w:pPr>
            <w:r>
              <w:t xml:space="preserve">Графическое обозначение, которое считывается сканером и позволяет определить объект в системе.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Одномерный код, 1D-код</w:t>
            </w:r>
          </w:p>
        </w:tc>
        <w:tc>
          <w:tcPr/>
          <w:p>
            <w:pPr>
              <w:pStyle w:val="Compact"/>
            </w:pPr>
            <w:r>
              <w:t xml:space="preserve">Обычный линейный штрихкод, информация в котором записана последовательностью полос.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Двумерный код, 2D-код</w:t>
            </w:r>
          </w:p>
        </w:tc>
        <w:tc>
          <w:tcPr/>
          <w:p>
            <w:pPr>
              <w:pStyle w:val="Compact"/>
            </w:pPr>
            <w:r>
              <w:t xml:space="preserve">Код, информация в котором записана по горизонтали и вертикали. Обычно способен вместить больше данных на меньшей площади.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128</w:t>
            </w:r>
          </w:p>
        </w:tc>
        <w:tc>
          <w:tcPr/>
          <w:p>
            <w:pPr>
              <w:pStyle w:val="Compact"/>
            </w:pPr>
            <w:r>
              <w:t xml:space="preserve">Распространённый линейный штрихкод. Подходит для хранения уникального идентификатора коробки или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QR-код</w:t>
            </w:r>
          </w:p>
        </w:tc>
        <w:tc>
          <w:tcPr/>
          <w:p>
            <w:pPr>
              <w:pStyle w:val="Compact"/>
            </w:pPr>
            <w:r>
              <w:t xml:space="preserve">Двумерный код, способный хранить идентификатор либо расширенный набор данных.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DataMatrix</w:t>
            </w:r>
          </w:p>
        </w:tc>
        <w:tc>
          <w:tcPr/>
          <w:p>
            <w:pPr>
              <w:pStyle w:val="Compact"/>
            </w:pPr>
            <w:r>
              <w:t xml:space="preserve">Компактный двумерный код, хорошо подходящий для небольших этикеток и промышленного применения.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PDF417</w:t>
            </w:r>
          </w:p>
        </w:tc>
        <w:tc>
          <w:tcPr/>
          <w:p>
            <w:pPr>
              <w:pStyle w:val="Compact"/>
            </w:pPr>
            <w:r>
              <w:t xml:space="preserve">Многострочный двумерный код, способный хранить сравнительно большой объём данных.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Человекочитаемая информация</w:t>
            </w:r>
          </w:p>
        </w:tc>
        <w:tc>
          <w:tcPr/>
          <w:p>
            <w:pPr>
              <w:pStyle w:val="Compact"/>
            </w:pPr>
            <w:r>
              <w:t xml:space="preserve">Текст на этикетке, который можно прочитать без сканера: наименование, партия, дата производства и срок годности.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Повторная печать</w:t>
            </w:r>
          </w:p>
        </w:tc>
        <w:tc>
          <w:tcPr/>
          <w:p>
            <w:pPr>
              <w:pStyle w:val="Compact"/>
            </w:pPr>
            <w:r>
              <w:t xml:space="preserve">Печать новой копии существующей этикетки без создания новой коробки или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Пакетная печать</w:t>
            </w:r>
          </w:p>
        </w:tc>
        <w:tc>
          <w:tcPr/>
          <w:p>
            <w:pPr>
              <w:pStyle w:val="Compact"/>
            </w:pPr>
            <w:r>
              <w:t xml:space="preserve">Формирование серии этикеток одним заданием. При этом каждая этикетка коробки должна иметь собственный уникальный идентификатор.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Версия этикетки</w:t>
            </w:r>
          </w:p>
        </w:tc>
        <w:tc>
          <w:tcPr/>
          <w:p>
            <w:pPr>
              <w:pStyle w:val="Compact"/>
            </w:pPr>
            <w:r>
              <w:t xml:space="preserve">Обозначение утверждённого формата и состава данных этикетки. Позволяет отличать старые формы от новых.</w:t>
            </w:r>
          </w:p>
        </w:tc>
      </w:tr>
    </w:tbl>
    <w:p>
      <w:pPr>
        <w:pStyle w:val="BodyText"/>
      </w:pPr>
      <w:r>
        <w:t xml:space="preserve">Машиночитаемый код необязательно должен содержать все данные о товаре.</w:t>
      </w:r>
    </w:p>
    <w:p>
      <w:pPr>
        <w:pStyle w:val="BodyText"/>
      </w:pPr>
      <w:r>
        <w:t xml:space="preserve">Рекомендуемый основной вариант:</w:t>
      </w:r>
    </w:p>
    <w:p>
      <w:pPr>
        <w:pStyle w:val="SourceCode"/>
      </w:pPr>
      <w:r>
        <w:rPr>
          <w:rStyle w:val="VerbatimChar"/>
        </w:rPr>
        <w:t xml:space="preserve">Код содержит только уникальный BOX ID или Pallet ID.</w:t>
      </w:r>
      <w:r>
        <w:br/>
      </w:r>
      <w:r>
        <w:rPr>
          <w:rStyle w:val="VerbatimChar"/>
        </w:rPr>
        <w:t xml:space="preserve">Остальные сведения WMS получает из базы данных.</w:t>
      </w:r>
    </w:p>
    <w:p>
      <w:pPr>
        <w:pStyle w:val="FirstParagraph"/>
      </w:pPr>
      <w:r>
        <w:t xml:space="preserve">Расширенные сведения в двумерном коде могут использоваться как резерв для ограниченного автономного режима, но не должны становиться отдельным независимым источником данных.</w:t>
      </w:r>
    </w:p>
    <w:p>
      <w:r>
        <w:pict>
          <v:rect style="width:0;height:1.5pt" o:hralign="center" o:hrstd="t" o:hr="t"/>
        </w:pict>
      </w:r>
    </w:p>
    <w:bookmarkEnd w:id="32"/>
    <w:bookmarkStart w:id="33" w:name="интеграция-sap-и-wms"/>
    <w:p>
      <w:pPr>
        <w:pStyle w:val="Heading2"/>
      </w:pPr>
      <w:r>
        <w:t xml:space="preserve">11. Интеграция SAP и WMS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Организованный автоматический обмен данными между SAP и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Интерфейс обмена</w:t>
            </w:r>
          </w:p>
        </w:tc>
        <w:tc>
          <w:tcPr/>
          <w:p>
            <w:pPr>
              <w:pStyle w:val="Compact"/>
            </w:pPr>
            <w:r>
              <w:t xml:space="preserve">Согласованный способ передачи данных, включающий формат, состав полей, транспорт, подтверждения и обработку ошибок.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Сообщение</w:t>
            </w:r>
          </w:p>
        </w:tc>
        <w:tc>
          <w:tcPr/>
          <w:p>
            <w:pPr>
              <w:pStyle w:val="Compact"/>
            </w:pPr>
            <w:r>
              <w:t xml:space="preserve">Отдельный пакет данных, передаваемый между системами. Например, создание отгрузки или подтверждение приёмки.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 сообщения</w:t>
            </w:r>
          </w:p>
        </w:tc>
        <w:tc>
          <w:tcPr/>
          <w:p>
            <w:pPr>
              <w:pStyle w:val="Compact"/>
            </w:pPr>
            <w:r>
              <w:t xml:space="preserve">Обозначение бизнес-события, которое передаётся в сообщении.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Источник сообщения</w:t>
            </w:r>
          </w:p>
        </w:tc>
        <w:tc>
          <w:tcPr/>
          <w:p>
            <w:pPr>
              <w:pStyle w:val="Compact"/>
            </w:pPr>
            <w:r>
              <w:t xml:space="preserve">Система, сформировавшая сообщение: SAP или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Версия документа</w:t>
            </w:r>
          </w:p>
        </w:tc>
        <w:tc>
          <w:tcPr/>
          <w:p>
            <w:pPr>
              <w:pStyle w:val="Compact"/>
            </w:pPr>
            <w:r>
              <w:t xml:space="preserve">Номер изменения документа. Позволяет определить, какие сведения являются более новыми.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Подтверждение получения</w:t>
            </w:r>
          </w:p>
        </w:tc>
        <w:tc>
          <w:tcPr/>
          <w:p>
            <w:pPr>
              <w:pStyle w:val="Compact"/>
            </w:pPr>
            <w:r>
              <w:t xml:space="preserve">Ответ принимающей системы о том, что сообщение технически доставлено.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Подтверждение обработки</w:t>
            </w:r>
          </w:p>
        </w:tc>
        <w:tc>
          <w:tcPr/>
          <w:p>
            <w:pPr>
              <w:pStyle w:val="Compact"/>
            </w:pPr>
            <w:r>
              <w:t xml:space="preserve">Ответ о том, что сообщение не только получено, но и успешно применено к данным.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Ошибка обработки</w:t>
            </w:r>
          </w:p>
        </w:tc>
        <w:tc>
          <w:tcPr/>
          <w:p>
            <w:pPr>
              <w:pStyle w:val="Compact"/>
            </w:pPr>
            <w:r>
              <w:t xml:space="preserve">Ситуация, при которой сообщение доставлено, но не может быть выполнено из-за неверных или противоречивых данных.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Повторная отправка</w:t>
            </w:r>
          </w:p>
        </w:tc>
        <w:tc>
          <w:tcPr/>
          <w:p>
            <w:pPr>
              <w:pStyle w:val="Compact"/>
            </w:pPr>
            <w:r>
              <w:t xml:space="preserve">Повторная передача ранее не доставленного или ошибочно обработанного сообщения.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Дубликат сообщения</w:t>
            </w:r>
          </w:p>
        </w:tc>
        <w:tc>
          <w:tcPr/>
          <w:p>
            <w:pPr>
              <w:pStyle w:val="Compact"/>
            </w:pPr>
            <w:r>
              <w:t xml:space="preserve">Повторно полученная копия уже обработанного сообщения. Не должна приводить к повторному созданию документа или движения.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Идемпотентность</w:t>
            </w:r>
          </w:p>
        </w:tc>
        <w:tc>
          <w:tcPr/>
          <w:p>
            <w:pPr>
              <w:pStyle w:val="Compact"/>
            </w:pPr>
            <w:r>
              <w:t xml:space="preserve">Свойство обработки, при котором повторное получение одного сообщения не создаёт повторную операцию.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Очередь сообщений</w:t>
            </w:r>
          </w:p>
        </w:tc>
        <w:tc>
          <w:tcPr/>
          <w:p>
            <w:pPr>
              <w:pStyle w:val="Compact"/>
            </w:pPr>
            <w:r>
              <w:t xml:space="preserve">Список сообщений, ожидающих отправки или обработки.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 интеграции</w:t>
            </w:r>
          </w:p>
        </w:tc>
        <w:tc>
          <w:tcPr/>
          <w:p>
            <w:pPr>
              <w:pStyle w:val="Compact"/>
            </w:pPr>
            <w:r>
              <w:t xml:space="preserve">История обмена между SAP и WMS с результатами и текстами ошибок.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Интеграционный шлюз</w:t>
            </w:r>
          </w:p>
        </w:tc>
        <w:tc>
          <w:tcPr/>
          <w:p>
            <w:pPr>
              <w:pStyle w:val="Compact"/>
            </w:pPr>
            <w:r>
              <w:t xml:space="preserve">Программный компонент, который принимает, проверяет, преобразует и передаёт сообщения между системами.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Сопоставление данных</w:t>
            </w:r>
          </w:p>
        </w:tc>
        <w:tc>
          <w:tcPr/>
          <w:p>
            <w:pPr>
              <w:pStyle w:val="Compact"/>
            </w:pPr>
            <w:r>
              <w:t xml:space="preserve">Правила соответствия кодов и полей SAP объектам и полям WMS.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Основная система данных</w:t>
            </w:r>
          </w:p>
        </w:tc>
        <w:tc>
          <w:tcPr/>
          <w:p>
            <w:pPr>
              <w:pStyle w:val="Compact"/>
            </w:pPr>
            <w:r>
              <w:t xml:space="preserve">Система, данные которой считаются первичными для конкретного объекта. Например, SAP является основной системой для номенклатуры, а WMS — для местонахождения палеты.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Мастер-система</w:t>
            </w:r>
          </w:p>
        </w:tc>
        <w:tc>
          <w:tcPr/>
          <w:p>
            <w:pPr>
              <w:pStyle w:val="Compact"/>
            </w:pPr>
            <w:r>
              <w:t xml:space="preserve">Другое распространённое название основной системы данных.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Тестовый контур</w:t>
            </w:r>
          </w:p>
        </w:tc>
        <w:tc>
          <w:tcPr/>
          <w:p>
            <w:pPr>
              <w:pStyle w:val="Compact"/>
            </w:pPr>
            <w:r>
              <w:t xml:space="preserve">Отдельная копия системы для разработки и проверки обмена без воздействия на реальные складские операции.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Продуктивный контур</w:t>
            </w:r>
          </w:p>
        </w:tc>
        <w:tc>
          <w:tcPr/>
          <w:p>
            <w:pPr>
              <w:pStyle w:val="Compact"/>
            </w:pPr>
            <w:r>
              <w:t xml:space="preserve">Рабочая система, в которой выполняются реальные операции предприятия.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работа-удалённых-складов"/>
    <w:p>
      <w:pPr>
        <w:pStyle w:val="Heading2"/>
      </w:pPr>
      <w:r>
        <w:t xml:space="preserve">12. Работа удалённых складов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Местный склад</w:t>
            </w:r>
          </w:p>
        </w:tc>
        <w:tc>
          <w:tcPr/>
          <w:p>
            <w:pPr>
              <w:pStyle w:val="Compact"/>
            </w:pPr>
            <w:r>
              <w:t xml:space="preserve">Склад, находящийся на основной производственной площадке.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Удалённый склад</w:t>
            </w:r>
          </w:p>
        </w:tc>
        <w:tc>
          <w:tcPr/>
          <w:p>
            <w:pPr>
              <w:pStyle w:val="Compact"/>
            </w:pPr>
            <w:r>
              <w:t xml:space="preserve">Склад, находящийся в другом городе или на другой территориально отделённой площадке.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сервер</w:t>
            </w:r>
          </w:p>
        </w:tc>
        <w:tc>
          <w:tcPr/>
          <w:p>
            <w:pPr>
              <w:pStyle w:val="Compact"/>
            </w:pPr>
            <w:r>
              <w:t xml:space="preserve">Основной сервер WMS, обслуживающий местные и удалённые склады.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Локальный шлюз</w:t>
            </w:r>
          </w:p>
        </w:tc>
        <w:tc>
          <w:tcPr/>
          <w:p>
            <w:pPr>
              <w:pStyle w:val="Compact"/>
            </w:pPr>
            <w:r>
              <w:t xml:space="preserve">Сервер или устройство на удалённом складе, выполняющее локальные функции, например печать и временное хранение заданий.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Онлайн-режим</w:t>
            </w:r>
          </w:p>
        </w:tc>
        <w:tc>
          <w:tcPr/>
          <w:p>
            <w:pPr>
              <w:pStyle w:val="Compact"/>
            </w:pPr>
            <w:r>
              <w:t xml:space="preserve">Режим, при котором устройство постоянно обращается к центральной WMS и сразу получает результат проверки.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Автономный режим</w:t>
            </w:r>
          </w:p>
        </w:tc>
        <w:tc>
          <w:tcPr/>
          <w:p>
            <w:pPr>
              <w:pStyle w:val="Compact"/>
            </w:pPr>
            <w:r>
              <w:t xml:space="preserve">Ограниченная работа при отсутствии связи с центральной WMS с последующей передачей накопленных операций.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Синхронизация</w:t>
            </w:r>
          </w:p>
        </w:tc>
        <w:tc>
          <w:tcPr/>
          <w:p>
            <w:pPr>
              <w:pStyle w:val="Compact"/>
            </w:pPr>
            <w:r>
              <w:t xml:space="preserve">Передача накопленных локальных данных на центральный сервер и получение актуальных данных обратно.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Конфликт синхронизации</w:t>
            </w:r>
          </w:p>
        </w:tc>
        <w:tc>
          <w:tcPr/>
          <w:p>
            <w:pPr>
              <w:pStyle w:val="Compact"/>
            </w:pPr>
            <w:r>
              <w:t xml:space="preserve">Ситуация, при которой локальная и центральная системы независимо изменили одни и те же данные.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Часовой пояс</w:t>
            </w:r>
          </w:p>
        </w:tc>
        <w:tc>
          <w:tcPr/>
          <w:p>
            <w:pPr>
              <w:pStyle w:val="Compact"/>
            </w:pPr>
            <w:r>
              <w:t xml:space="preserve">Региональное правило отображения даты и времени. Должен учитываться для удалённых складов в разных городах.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складская-связь-и-оборудование"/>
    <w:p>
      <w:pPr>
        <w:pStyle w:val="Heading2"/>
      </w:pPr>
      <w:r>
        <w:t xml:space="preserve">13. Складская связь и оборудование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Точка доступа</w:t>
            </w:r>
          </w:p>
        </w:tc>
        <w:tc>
          <w:tcPr/>
          <w:p>
            <w:pPr>
              <w:pStyle w:val="Compact"/>
            </w:pPr>
            <w:r>
              <w:t xml:space="preserve">Сетевое устройство, обеспечивающее беспроводное подключение ТСД и других устройств.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Радиообследование</w:t>
            </w:r>
          </w:p>
        </w:tc>
        <w:tc>
          <w:tcPr/>
          <w:p>
            <w:pPr>
              <w:pStyle w:val="Compact"/>
            </w:pPr>
            <w:r>
              <w:t xml:space="preserve">Проверка распространения беспроводного сигнала внутри склада до проектирования и установки точек доступа.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Радиопокрытие</w:t>
            </w:r>
          </w:p>
        </w:tc>
        <w:tc>
          <w:tcPr/>
          <w:p>
            <w:pPr>
              <w:pStyle w:val="Compact"/>
            </w:pPr>
            <w:r>
              <w:t xml:space="preserve">Территория, на которой беспроводная сеть обеспечивает устойчивое соединение.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Мёртвая зона</w:t>
            </w:r>
          </w:p>
        </w:tc>
        <w:tc>
          <w:tcPr/>
          <w:p>
            <w:pPr>
              <w:pStyle w:val="Compact"/>
            </w:pPr>
            <w:r>
              <w:t xml:space="preserve">Участок склада, в котором соединение отсутствует или работает нестабильно.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Роуминг ТСД</w:t>
            </w:r>
          </w:p>
        </w:tc>
        <w:tc>
          <w:tcPr/>
          <w:p>
            <w:pPr>
              <w:pStyle w:val="Compact"/>
            </w:pPr>
            <w:r>
              <w:t xml:space="preserve">Автоматическое переключение ТСД между точками доступа при перемещении сотрудника по складу.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Стационарный сканер</w:t>
            </w:r>
          </w:p>
        </w:tc>
        <w:tc>
          <w:tcPr/>
          <w:p>
            <w:pPr>
              <w:pStyle w:val="Compact"/>
            </w:pPr>
            <w:r>
              <w:t xml:space="preserve">Неподвижно установленное устройство считывания кодов, например у ворот или на производственной линии.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Термопринтер</w:t>
            </w:r>
          </w:p>
        </w:tc>
        <w:tc>
          <w:tcPr/>
          <w:p>
            <w:pPr>
              <w:pStyle w:val="Compact"/>
            </w:pPr>
            <w:r>
              <w:t xml:space="preserve">Принтер, печатающий этикетки нагревом специального материала либо через термотрансферную ленту.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Термопечать</w:t>
            </w:r>
          </w:p>
        </w:tc>
        <w:tc>
          <w:tcPr/>
          <w:p>
            <w:pPr>
              <w:pStyle w:val="Compact"/>
            </w:pPr>
            <w:r>
              <w:t xml:space="preserve">Печать непосредственно на термочувствительном материале.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Термотрансферная печать</w:t>
            </w:r>
          </w:p>
        </w:tc>
        <w:tc>
          <w:tcPr/>
          <w:p>
            <w:pPr>
              <w:pStyle w:val="Compact"/>
            </w:pPr>
            <w:r>
              <w:t xml:space="preserve">Печать с использованием красящей ленты. Обычно обеспечивает более стойкое изображение.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Служба печати</w:t>
            </w:r>
          </w:p>
        </w:tc>
        <w:tc>
          <w:tcPr/>
          <w:p>
            <w:pPr>
              <w:pStyle w:val="Compact"/>
            </w:pPr>
            <w:r>
              <w:t xml:space="preserve">Программный компонент, принимающий задания WMS и отправляющий этикетки на нужный принтер.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Расходные материалы</w:t>
            </w:r>
          </w:p>
        </w:tc>
        <w:tc>
          <w:tcPr/>
          <w:p>
            <w:pPr>
              <w:pStyle w:val="Compact"/>
            </w:pPr>
            <w:r>
              <w:t xml:space="preserve">Этикетки, красящие ленты и другие материалы, необходимые для работы принтеров.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Морозостойкая этикетка</w:t>
            </w:r>
          </w:p>
        </w:tc>
        <w:tc>
          <w:tcPr/>
          <w:p>
            <w:pPr>
              <w:pStyle w:val="Compact"/>
            </w:pPr>
            <w:r>
              <w:t xml:space="preserve">Этикетка и клеевой слой, рассчитанные на низкую температуру, влажность и конденсат.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краткое-различие-sap-и-wms"/>
    <w:p>
      <w:pPr>
        <w:pStyle w:val="Heading2"/>
      </w:pPr>
      <w:r>
        <w:t xml:space="preserve">14. Краткое различие SAP и WMS</w:t>
      </w:r>
    </w:p>
    <w:p>
      <w:pPr>
        <w:pStyle w:val="FirstParagraph"/>
      </w:pPr>
      <w:r>
        <w:t xml:space="preserve">Для упрощённого объяснения участникам проекта используется следующее разделение:</w:t>
      </w:r>
    </w:p>
    <w:p>
      <w:pPr>
        <w:pStyle w:val="SourceCode"/>
      </w:pPr>
      <w:r>
        <w:rPr>
          <w:rStyle w:val="VerbatimChar"/>
        </w:rPr>
        <w:t xml:space="preserve">SAP отвечает на вопросы:</w:t>
      </w:r>
      <w:r>
        <w:br/>
      </w:r>
      <w:r>
        <w:br/>
      </w:r>
      <w:r>
        <w:rPr>
          <w:rStyle w:val="VerbatimChar"/>
        </w:rPr>
        <w:t xml:space="preserve">Что должно быть произведено?</w:t>
      </w:r>
      <w:r>
        <w:br/>
      </w:r>
      <w:r>
        <w:rPr>
          <w:rStyle w:val="VerbatimChar"/>
        </w:rPr>
        <w:t xml:space="preserve">Что было оформлено документально?</w:t>
      </w:r>
      <w:r>
        <w:br/>
      </w:r>
      <w:r>
        <w:rPr>
          <w:rStyle w:val="VerbatimChar"/>
        </w:rPr>
        <w:t xml:space="preserve">Что заказал клиент?</w:t>
      </w:r>
      <w:r>
        <w:br/>
      </w:r>
      <w:r>
        <w:rPr>
          <w:rStyle w:val="VerbatimChar"/>
        </w:rPr>
        <w:t xml:space="preserve">Сколько товара должно числиться на складе?</w:t>
      </w:r>
      <w:r>
        <w:br/>
      </w:r>
      <w:r>
        <w:rPr>
          <w:rStyle w:val="VerbatimChar"/>
        </w:rPr>
        <w:t xml:space="preserve">Какие бухгалтерские операции выполнены?</w:t>
      </w:r>
    </w:p>
    <w:p>
      <w:pPr>
        <w:pStyle w:val="SourceCode"/>
      </w:pPr>
      <w:r>
        <w:rPr>
          <w:rStyle w:val="VerbatimChar"/>
        </w:rPr>
        <w:t xml:space="preserve">WMS отвечает на вопросы:</w:t>
      </w:r>
      <w:r>
        <w:br/>
      </w:r>
      <w:r>
        <w:br/>
      </w:r>
      <w:r>
        <w:rPr>
          <w:rStyle w:val="VerbatimChar"/>
        </w:rPr>
        <w:t xml:space="preserve">Какие именно коробки были переданы складу?</w:t>
      </w:r>
      <w:r>
        <w:br/>
      </w:r>
      <w:r>
        <w:rPr>
          <w:rStyle w:val="VerbatimChar"/>
        </w:rPr>
        <w:t xml:space="preserve">Из каких коробок состоит конкретная палета?</w:t>
      </w:r>
      <w:r>
        <w:br/>
      </w:r>
      <w:r>
        <w:rPr>
          <w:rStyle w:val="VerbatimChar"/>
        </w:rPr>
        <w:t xml:space="preserve">Где физически находится каждая палета?</w:t>
      </w:r>
      <w:r>
        <w:br/>
      </w:r>
      <w:r>
        <w:rPr>
          <w:rStyle w:val="VerbatimChar"/>
        </w:rPr>
        <w:t xml:space="preserve">Кто и когда её перемещал?</w:t>
      </w:r>
      <w:r>
        <w:br/>
      </w:r>
      <w:r>
        <w:rPr>
          <w:rStyle w:val="VerbatimChar"/>
        </w:rPr>
        <w:t xml:space="preserve">Под какой заказ она зарезервирована?</w:t>
      </w:r>
      <w:r>
        <w:br/>
      </w:r>
      <w:r>
        <w:rPr>
          <w:rStyle w:val="VerbatimChar"/>
        </w:rPr>
        <w:t xml:space="preserve">Что фактически погружено в конкретную машину?</w:t>
      </w:r>
    </w:p>
    <w:p>
      <w:r>
        <w:pict>
          <v:rect style="width:0;height:1.5pt" o:hralign="center" o:hrstd="t" o:hr="t"/>
        </w:pict>
      </w:r>
    </w:p>
    <w:bookmarkEnd w:id="36"/>
    <w:bookmarkStart w:id="37" w:name="краткое-различие-партии-коробки-и-палеты"/>
    <w:p>
      <w:pPr>
        <w:pStyle w:val="Heading2"/>
      </w:pPr>
      <w:r>
        <w:t xml:space="preserve">15. Краткое различие партии, коробки и палеты</w:t>
      </w:r>
    </w:p>
    <w:p>
      <w:pPr>
        <w:pStyle w:val="SourceCode"/>
      </w:pPr>
      <w:r>
        <w:rPr>
          <w:rStyle w:val="VerbatimChar"/>
        </w:rPr>
        <w:t xml:space="preserve">Партия — общая производственная группа.</w:t>
      </w:r>
      <w:r>
        <w:br/>
      </w:r>
      <w:r>
        <w:br/>
      </w:r>
      <w:r>
        <w:rPr>
          <w:rStyle w:val="VerbatimChar"/>
        </w:rPr>
        <w:t xml:space="preserve">Коробка — конкретная физическая упаковка продукции.</w:t>
      </w:r>
      <w:r>
        <w:br/>
      </w:r>
      <w:r>
        <w:br/>
      </w:r>
      <w:r>
        <w:rPr>
          <w:rStyle w:val="VerbatimChar"/>
        </w:rPr>
        <w:t xml:space="preserve">Палета — конкретная группа коробок,</w:t>
      </w:r>
      <w:r>
        <w:br/>
      </w:r>
      <w:r>
        <w:rPr>
          <w:rStyle w:val="VerbatimChar"/>
        </w:rPr>
        <w:t xml:space="preserve">сформированная для хранения и перемещения.</w:t>
      </w:r>
    </w:p>
    <w:p>
      <w:pPr>
        <w:pStyle w:val="FirstParagraph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Партия 20260714-2:</w:t>
      </w:r>
      <w:r>
        <w:br/>
      </w:r>
      <w:r>
        <w:rPr>
          <w:rStyle w:val="VerbatimChar"/>
        </w:rPr>
        <w:t xml:space="preserve">    12 000 коробок.</w:t>
      </w:r>
      <w:r>
        <w:br/>
      </w:r>
      <w:r>
        <w:br/>
      </w:r>
      <w:r>
        <w:rPr>
          <w:rStyle w:val="VerbatimChar"/>
        </w:rPr>
        <w:t xml:space="preserve">Коробка BOX-000001234:</w:t>
      </w:r>
      <w:r>
        <w:br/>
      </w:r>
      <w:r>
        <w:rPr>
          <w:rStyle w:val="VerbatimChar"/>
        </w:rPr>
        <w:t xml:space="preserve">    одна конкретная коробка из этой партии.</w:t>
      </w:r>
      <w:r>
        <w:br/>
      </w:r>
      <w:r>
        <w:br/>
      </w:r>
      <w:r>
        <w:rPr>
          <w:rStyle w:val="VerbatimChar"/>
        </w:rPr>
        <w:t xml:space="preserve">Палета PLT-00000567:</w:t>
      </w:r>
      <w:r>
        <w:br/>
      </w:r>
      <w:r>
        <w:rPr>
          <w:rStyle w:val="VerbatimChar"/>
        </w:rPr>
        <w:t xml:space="preserve">    содержит 120 конкретных коробок этой партии.</w:t>
      </w:r>
    </w:p>
    <w:p>
      <w:pPr>
        <w:pStyle w:val="FirstParagraph"/>
      </w:pPr>
      <w:r>
        <w:t xml:space="preserve">Наличие номера партии само по себе не позволяет определить:</w:t>
      </w:r>
    </w:p>
    <w:p>
      <w:pPr>
        <w:pStyle w:val="Compact"/>
        <w:numPr>
          <w:ilvl w:val="0"/>
          <w:numId w:val="1001"/>
        </w:numPr>
      </w:pPr>
      <w:r>
        <w:t xml:space="preserve">на какой палете находится коробка;</w:t>
      </w:r>
    </w:p>
    <w:p>
      <w:pPr>
        <w:pStyle w:val="Compact"/>
        <w:numPr>
          <w:ilvl w:val="0"/>
          <w:numId w:val="1001"/>
        </w:numPr>
      </w:pPr>
      <w:r>
        <w:t xml:space="preserve">где стоит палета;</w:t>
      </w:r>
    </w:p>
    <w:p>
      <w:pPr>
        <w:pStyle w:val="Compact"/>
        <w:numPr>
          <w:ilvl w:val="0"/>
          <w:numId w:val="1001"/>
        </w:numPr>
      </w:pPr>
      <w:r>
        <w:t xml:space="preserve">не попала ли в палету коробка другой номенклатуры;</w:t>
      </w:r>
    </w:p>
    <w:p>
      <w:pPr>
        <w:pStyle w:val="Compact"/>
        <w:numPr>
          <w:ilvl w:val="0"/>
          <w:numId w:val="1001"/>
        </w:numPr>
      </w:pPr>
      <w:r>
        <w:t xml:space="preserve">была ли палета отправлена не тому получателю.</w:t>
      </w:r>
    </w:p>
    <w:p>
      <w:pPr>
        <w:pStyle w:val="FirstParagraph"/>
      </w:pPr>
      <w:r>
        <w:t xml:space="preserve">Именно поэтому WMS должна вести отдельную идентификацию коробок и палет.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2026-07-14T17:48:45Z</dcterms:created>
  <dcterms:modified xsi:type="dcterms:W3CDTF">2026-07-14T17:48:45Z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