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Формулы DST-алгоритма JAcademicSupport</w:t>
      </w:r>
    </w:p>
    <w:p>
      <w:r>
        <w:t>Данный документ содержит все математические формулы из файла DST_ALGORITHM_FULL.md. Формулы сгруппированы по разделам.</w:t>
      </w:r>
    </w:p>
    <w:p>
      <w:pPr>
        <w:pStyle w:val="Heading2"/>
        <w:jc w:val="left"/>
      </w:pPr>
      <w:r>
        <w:t>2. Таблица обозначений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18"/>
              </w:rPr>
              <w:t>Символ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3230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--------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----------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Θ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Фрейм различения: {T, F, Θ} = {«важно», «не важно», «неизвестно»}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гипотеза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Технология/домен/семейство **важны** для профессии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гипотеза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Технология/домен/семейство **не важны**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Θ (U)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гипотеза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Полная неопределённость (Uncertainty)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m(A)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Масса базового распределения вероятностей (BPA) для гипотезы A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κ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Коэффициент уверенности источника по объёму данных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λ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&gt; 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Константа сглаживания («полудоверие»): при n = λ → κ = 1 − e⁻¹ ≈ 0.63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Количество релевантных записей источника (relevant count)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Общий объём источника (total count)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σ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Средняя оценка важности технологии по данному источнику (average score)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Вес надёжности источника (reliability weight)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m′(A)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Дисконтированная масса после применения w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Коэффициент конфликта между двумя источниками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m*(A)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Итоговая масса после комбинирования всех источников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BetP(T)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Пигнистическая вероятность (Pignistic Probability): P(T) после равном. распр. Θ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s_c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Доля охвата технологии/домена в РПД учебного плана (supply curriculum)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Δ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[−1,1]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Показатель дефицита: Δ = BetP(T) − s_c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τ_Δ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Порог дефицита (= 0.15)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τ_K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Порог конфликта (= 0.40)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τ_Θ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Порог неопределённости (= 0.15)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N_CL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ℕ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Число кластеров в знаменателе BetP (= 25)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код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Код профессии (profession code)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Домен: BACKEND, FRONTEND, DATABASE, DEVOPS, AI_ML, 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Технологическое семейство (tech_family): Java, Python, PostgreSQL, …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Канонический навык (canonical skill, skill_canonical.id)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pw_i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Нормированный вес профессии i в учебном плане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ω(P, 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Вес профессии P для кластера C (доля вакансий)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s_raw(v, 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≥ 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Сырой score вакансии v по кластеру C (до нормировки)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s̃(v, 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Нормированный score вакансии v по кластеру C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𝒦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кортеж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Учебный план: 𝒦 = ⟨id, 𝒫_w, 𝒬⟩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𝒫_w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Профессии с нормированными весами: {(Pᵢ, pw_i) \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𝒬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Дисциплины учебного плана с объёмом часов и покрытием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𝒮(v)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Канонические навыки вакансии v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𝒮_C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Канонические навыки кластера C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𝒮_F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Канонические навыки семейства F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d(v)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Домен вакансии v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f(s)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Технологическое семейство навыка s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𝒱_{P,D}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Вакансии профессии P в домене D: { v ∈ 𝒱_P : d(v) = D }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μ(s, v)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Максимальный вес расположения навыка s в вакансии v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δ(u, s)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Вес дуги зависимости навыка u от навыка s в графе 𝒢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ρ_dep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Мультипликатор implied-веса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ρ(e)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&gt; 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Числовая оценка эксперта e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ρ_max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&gt; 0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Максимальное значение шкалы оценивания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ℰ_{P,D}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Экспертные оценки по профессии P и домену D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ℰ_{P,F}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Экспертные оценки по профессии P и семейству F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ℰ_{P,U}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Экспертные оценки по профессии P и навыку U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𝒞_{X,P}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множество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Форсайт-прогнозы по объекту X и профессии P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γ(c)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Прогнозируемый прирост спроса по прогнозу c</w:t>
            </w:r>
          </w:p>
        </w:tc>
      </w:tr>
      <w:tr>
        <w:tc>
          <w:tcPr>
            <w:tcW w:type="dxa" w:w="3230"/>
          </w:tcPr>
          <w:p>
            <w:r>
              <w:rPr>
                <w:sz w:val="18"/>
              </w:rPr>
              <w:t>π(c)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ℝ ∈ [0,1]</w:t>
            </w:r>
          </w:p>
        </w:tc>
        <w:tc>
          <w:tcPr>
            <w:tcW w:type="dxa" w:w="3230"/>
          </w:tcPr>
          <w:p>
            <w:r>
              <w:rPr>
                <w:sz w:val="18"/>
              </w:rPr>
              <w:t>Коэффициент уверенности прогноза c</w:t>
            </w:r>
          </w:p>
        </w:tc>
      </w:tr>
    </w:tbl>
    <w:p/>
    <w:p>
      <w:pPr>
        <w:pStyle w:val="Heading3"/>
        <w:jc w:val="left"/>
      </w:pPr>
      <w:r>
        <w:t>5.1. Вес профессия–кластер (ProfessionClusterService)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ω(P, C) = \frac{|\{v \in \mathcal{V}_P : \mathcal{S}(v) \cap C \neq \emptyset\}|}{|\mathcal{V}_P|}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ω(P, C) = |{ v ∈ 𝒱_P : 𝒮(v) ∩ C ≠ ∅ }| / |𝒱_P|</w:t>
      </w:r>
    </w:p>
    <w:p/>
    <w:p>
      <w:pPr>
        <w:pStyle w:val="Heading3"/>
        <w:jc w:val="left"/>
      </w:pPr>
      <w:r>
        <w:t>5.2. Оценка вакансия–кластер (VacancyClusterScoreService)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s_raw(v, C) = ∑_{s ∈ 𝒮_C} μ(s, v) · w_loc(s, v)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s_raw(v, s) += min(δ(u, s) · ρ_dep,  1.0)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s̃(v, C) = s_raw(v, C) / max_{C' ∈ 𝒞_all} s_raw(v, C')</w:t>
      </w:r>
    </w:p>
    <w:p/>
    <w:p>
      <w:pPr>
        <w:pStyle w:val="Heading3"/>
        <w:jc w:val="left"/>
      </w:pPr>
      <w:r>
        <w:t>6.1. VAC — Вакансии (Vacancy Market)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|𝒱_P|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n(D, P) = |{ v ∈ 𝒱_P : d(v) = D 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 = 1.0  (частота как мера важности; отдельный score не используется)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λ_vac_domain = 2.0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|𝒱_{P,D}|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n(F, D, P) = |{ v ∈ 𝒱_{P,D} : 𝒮(v) ∩ 𝒮_F ≠ ∅ 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 = 1.0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λ_vac = 15.0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|𝒱_{P,D}|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n(U, P) = |{ v ∈ 𝒱_{P,D} : U ∈ 𝒮(v) 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 = 1.0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λ_vac = 15.0</w:t>
      </w:r>
    </w:p>
    <w:p/>
    <w:p>
      <w:pPr>
        <w:pStyle w:val="Heading3"/>
        <w:jc w:val="left"/>
      </w:pPr>
      <w:r>
        <w:t>6.2. EXP — Экспертные оценки (Expert Opinions)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12  (TOTAL_EXPERTS — фиксированная константа)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n(D, P) = |{ e ∈ ℰ_{P,D} : ρ(e) &gt; 0 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σ(D, P) = (1 / |ℰ_{P,D}|) · ∑_{e ∈ ℰ_{P,D}} ρ(e) / ρ_max  ∈ [0, 1]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λ_exp_domain = 1.0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12  (TOTAL_EXPERTS)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n(F, D, P) = |ℰ_{P,F}|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σ(F, D, P) = (1 / |ℰ_{P,F}|) · ∑_{e ∈ ℰ_{P,F}} ρ(e) / ρ_max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λ_exp = 5.0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12  (TOTAL_EXPERTS)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n(U, P) = |ℰ_{P,U}|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σ(U, P) = (1 / |ℰ_{P,U}|) · ∑_{e ∈ ℰ_{P,U}} ρ(e) / ρ_max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λ_exp = 5.0</w:t>
      </w:r>
    </w:p>
    <w:p/>
    <w:p>
      <w:pPr>
        <w:pStyle w:val="Heading3"/>
        <w:jc w:val="left"/>
      </w:pPr>
      <w:r>
        <w:t>6.3. FC — Форсайт (Foresight)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 = 4  (TOTAL_SOURCES — число форсайт-источников, фиксированная константа)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n(X, P) = |{ c ∈ 𝒞_{X,P} : γ(c) &gt; 0 }|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σ(X, P) = (1 / |𝒞_{X,P}|) · ∑_{c ∈ 𝒞_{X,P}} π(c)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λ = λ_fc (L1/L2) или λ_fc_domain (L0) — в зависимости от уровня</w:t>
      </w:r>
    </w:p>
    <w:p/>
    <w:p>
      <w:pPr>
        <w:pStyle w:val="Heading3"/>
        <w:jc w:val="left"/>
      </w:pPr>
      <w:r>
        <w:t>8.1. Формула вычисления BPA из сырых данных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κ = 1 − exp(−λ · n / N)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m(T) = κ · σ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m(Θ) = 1 − m(T)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m(T) = m(T)  (из этапа A, без изменений)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m(F) = 0.0   (источники VAC/EXP/FC не заявляют «технология не важна»)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m(U) = 1 − m(T)  (вся остаточная масса — неопределённость)</w:t>
      </w:r>
    </w:p>
    <w:p/>
    <w:p>
      <w:pPr>
        <w:pStyle w:val="Heading3"/>
        <w:jc w:val="left"/>
      </w:pPr>
      <w:r>
        <w:t>8.2. Тройки BPA для каждого источника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BPA_s = { m_s(T),  m_s(U),  m_s(F) },    m_s(T) + m_s(U) + m_s(F) = 1</w:t>
      </w:r>
    </w:p>
    <w:p/>
    <w:p>
      <w:pPr>
        <w:pStyle w:val="Heading3"/>
        <w:jc w:val="left"/>
      </w:pPr>
      <w:r>
        <w:t>9.1. Формулы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m′(T) = w · m(T)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m′(F) = w · m(F)   (= 0.0 для VAC/EXP/FC)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m′(U) = w · m(U) + (1 − w)   = 1 − m′(T) − m′(F)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m′(X) := m′(X) / ( m′(T) + m′(U) + m′(F) )   для X ∈ {T, U, F}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m′(U) = (1 − w) · 1 + w · m(U)</w:t>
      </w:r>
    </w:p>
    <w:p/>
    <w:p>
      <w:pPr>
        <w:pStyle w:val="Heading3"/>
        <w:jc w:val="left"/>
      </w:pPr>
      <w:r>
        <w:t>9.3. Пример влияния дисконтирования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m′(T) = 0.80 · 0.70 = 0.560   (−14.1% от исходного)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m′(U) = 0.80 · 0.30 + 0.20 = 0.440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m′(F) = 0.0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m′(T) = 0.90 · 0.70 = 0.630   (−5.7% от исходного)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m′(U) = 0.90 · 0.30 + 0.10 = 0.370</w:t>
      </w:r>
    </w:p>
    <w:p/>
    <w:p>
      <w:pPr>
        <w:pStyle w:val="Heading3"/>
        <w:jc w:val="left"/>
      </w:pPr>
      <w:r>
        <w:t>10.2. Правило Демпстера (K &lt; τ_K = 0.40)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num(T) = m₁(T)·m₂(T) + m₁(T)·m₂(U) + m₁(U)·m₂(T)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num(U) = m₁(U)·m₂(U)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num(F) = m₁(F)·m₂(F) + m₁(F)·m₂(U) + m₁(U)·m₂(F)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norm = max(1 − K,  0.0001)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m_out(T) = num(T) / norm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m_out(U) = num(U) / norm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m_out(F) = num(F) / norm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m_out(X) := m_out(X) / ( m_out(T) + m_out(U) + m_out(F) )   для X ∈ {T, U, F}</w:t>
      </w:r>
    </w:p>
    <w:p/>
    <w:p>
      <w:pPr>
        <w:pStyle w:val="Heading3"/>
        <w:jc w:val="left"/>
      </w:pPr>
      <w:r>
        <w:t>10.3. Правило Ягера (K ≥ τ_K = 0.40)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m_out(T) = m₁(T)·m₂(T) + m₁(T)·m₂(U) + m₁(U)·m₂(T)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m_out(U) = m₁(U)·m₂(U) + K     ← конфликтная масса K переносится в неопределённость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m_out(F) = m₁(F)·m₂(F) + m₁(F)·m₂(U) + m₁(U)·m₂(F)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m_out(X) := m_out(X) / ( m_out(T) + m_out(U) + m_out(F) )   для X ∈ {T, U, F}</w:t>
      </w:r>
    </w:p>
    <w:p/>
    <w:p>
      <w:pPr>
        <w:pStyle w:val="Heading3"/>
        <w:jc w:val="left"/>
      </w:pPr>
      <w:r>
        <w:t>10.5. Последовательное комбинирование нескольких источников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m⁽¹⁾ = BPA(источник₁)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m⁽ⁱ⁾ = combineAdaptive( m⁽ⁱ⁻¹⁾, BPA(источникᵢ) )   для i = 2, …, N_enabled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K_итоговый = max( K₁, K₂, …, K_{N_enabled − 1} )</w:t>
      </w:r>
    </w:p>
    <w:p/>
    <w:p>
      <w:pPr>
        <w:pStyle w:val="Heading3"/>
        <w:jc w:val="left"/>
      </w:pPr>
      <w:r>
        <w:t>11.1. Нормировка весов профессий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pw_i = raw_wᵢ / ∑ⱼ raw_wⱼ,   ∑ᵢ pw_i = 1</w:t>
      </w:r>
    </w:p>
    <w:p/>
    <w:p>
      <w:pPr>
        <w:pStyle w:val="Heading3"/>
        <w:jc w:val="left"/>
      </w:pPr>
      <w:r>
        <w:t>11.2. Взвешенное усреднение BPA результатов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m_avg(T) = ( ∑ᵢ pw_i · m_i(T) ) / ( ∑_{i : m_i(T) &gt; 0} pw_i )</w:t>
      </w:r>
    </w:p>
    <w:p/>
    <w:p>
      <w:pPr>
        <w:pStyle w:val="Heading3"/>
        <w:jc w:val="left"/>
      </w:pPr>
      <w:r>
        <w:t>13.1. Алгоритм (DstCombinationService.decide())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&amp;nbsp;&amp;nbsp;&amp;nbsp;&amp;nbsp;clearSignal = ( m*(U) ≤ τ_Θ ) ∨ ( Δ &gt; 0.35 )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&amp;nbsp;&amp;nbsp;&amp;nbsp;&amp;nbsp;&amp;nbsp;&amp;nbsp;&amp;nbsp;&amp;nbsp;Если Δ &gt; 0.5  →  "strong"</w:t>
      </w:r>
    </w:p>
    <w:p/>
    <w:p>
      <w:pPr>
        <w:pStyle w:val="Heading3"/>
        <w:jc w:val="left"/>
      </w:pPr>
      <w:r>
        <w:t>18.3. Формулы (плановые, из ALGORITHM_IDEAL_V2.md)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v_med = медиана( { версии по вакансиям, взвешенная по absoluteCount } 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v_max = максимальная версия рынка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gap = v_med − v_rpd   (со знаком; целое число для мажорных версий)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s_c_eff(U) = s_c(U) · vc(gap)</w:t>
      </w:r>
    </w:p>
    <w:p/>
    <w:p>
      <w:pPr>
        <w:pStyle w:val="Heading2"/>
        <w:jc w:val="left"/>
      </w:pPr>
      <w:r>
        <w:t>21. Сквозной пример вычисления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BetP(T) = 0.809 + 0.191 / 25 = 0.809 + 0.008 = 0.817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s_c = 0.45  (45% учебных часов выделено на BACKEND)</w:t>
      </w:r>
    </w:p>
    <w:p>
      <w:pPr>
        <w:jc w:val="left"/>
        <w:shd w:val="clear" w:color="auto" w:fill="F0F0F0"/>
        <w:pBdr>
          <w:top w:val="single" w:sz="4" w:space="2" w:color="AAAAAA"/>
          <w:left w:val="single" w:sz="4" w:space="4" w:color="AAAAAA"/>
          <w:bottom w:val="single" w:sz="4" w:space="2" w:color="AAAAAA"/>
          <w:right w:val="single" w:sz="4" w:space="4" w:color="AAAAAA"/>
        </w:pBdr>
      </w:pPr>
      <w:r>
        <w:rPr>
          <w:rFonts w:ascii="Courier New" w:hAnsi="Courier New"/>
          <w:sz w:val="20"/>
        </w:rPr>
        <w:t>Δ = 0.817 − 0.45 = +0.367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