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Паспорт источника и формирование BPA</w:t>
      </w:r>
    </w:p>
    <w:p>
      <w:pPr>
        <w:pStyle w:val="BodyText"/>
      </w:pPr>
      <w:r>
        <w:t xml:space="preserve">0.50</w:t>
      </w:r>
    </w:p>
    <w:p>
      <w:pPr>
        <w:pStyle w:val="BodyText"/>
      </w:pPr>
      <w:r>
        <w:rPr>
          <w:b/>
          <w:bCs/>
        </w:rPr>
        <w:t xml:space="preserve">Параметры источника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</w:p>
    <w:p>
      <w:pPr>
        <w:numPr>
          <w:ilvl w:val="0"/>
          <w:numId w:val="1001"/>
        </w:numPr>
      </w:pPr>
      <w:r>
        <w:t xml:space="preserve">Входной кортеж: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,</m:t>
        </m:r>
        <m:r>
          <m:t> 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</w:p>
    <w:p>
      <w:pPr>
        <w:numPr>
          <w:ilvl w:val="0"/>
          <w:numId w:val="1001"/>
        </w:numPr>
      </w:pPr>
      <w:r>
        <w:t xml:space="preserve">Эффективный объём:</w:t>
      </w:r>
      <w:r>
        <w:t xml:space="preserve"> </w:t>
      </w: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⋅</m:t>
        </m:r>
        <m:sSub>
          <m:e>
            <m:r>
              <m:t>α</m:t>
            </m:r>
          </m:e>
          <m:sub>
            <m:r>
              <m:t>s</m:t>
            </m:r>
          </m:sub>
        </m:sSub>
      </m:oMath>
    </w:p>
    <w:p>
      <w:pPr>
        <w:numPr>
          <w:ilvl w:val="0"/>
          <w:numId w:val="1001"/>
        </w:numPr>
      </w:pPr>
      <w:r>
        <w:t xml:space="preserve">Коэффициент уверенности: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</m:num>
            <m:den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 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t xml:space="preserve">BPA для vac, exp: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κ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p>
              </m:sSubSup>
            </m:num>
            <m:den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1"/>
        </w:numPr>
      </w:pPr>
      <w:r>
        <w:t xml:space="preserve">BPA для смешанных прогнозов fc: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κ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sSubSup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den>
          </m:f>
        </m:oMath>
      </m:oMathPara>
    </w:p>
    <w:p>
      <w:pPr>
        <w:numPr>
          <w:ilvl w:val="0"/>
          <w:numId w:val="1001"/>
        </w:numPr>
      </w:pP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0.48</w:t>
      </w:r>
      <w:r>
        <w:t xml:space="preserve"> </w:t>
      </w:r>
      <w:r>
        <w:rPr>
          <w:b/>
          <w:bCs/>
        </w:rPr>
        <w:t xml:space="preserve">Дисконтирование по надёжности</w:t>
      </w:r>
      <w:r>
        <w:rPr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≠</m:t>
          </m:r>
          <m:r>
            <m:rPr>
              <m:sty m:val="p"/>
            </m:rP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Эксперты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Вакансии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Рамка рассуждений: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,</m:t>
          </m:r>
          <m:r>
            <m:t> 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Θ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Θ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Выход: дисконтированные тройки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Sup>
          <m:e>
            <m:r>
              <m:t>m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,</m:t>
        </m:r>
        <m:sSubSup>
          <m:e>
            <m:r>
              <m:t>m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Θ</m:t>
        </m:r>
        <m:r>
          <m:rPr>
            <m:sty m:val="p"/>
          </m:rPr>
          <m:t>)</m:t>
        </m:r>
        <m:r>
          <m:rPr>
            <m:sty m:val="p"/>
          </m:rPr>
          <m:t>,</m:t>
        </m:r>
        <m:sSubSup>
          <m:e>
            <m:r>
              <m:t>m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для каждого источника. Передаются на комбинирование по правилу Демпстера.</w:t>
      </w:r>
    </w:p>
    <w:p>
      <w:pPr>
        <w:pStyle w:val="BodyText"/>
      </w:pPr>
      <w:r>
        <w:t xml:space="preserve">Комбинирование и принятие решения</w:t>
      </w:r>
    </w:p>
    <w:p>
      <w:pPr>
        <w:pStyle w:val="BodyText"/>
      </w:pPr>
      <w:r>
        <w:t xml:space="preserve">0.38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rPr>
          <w:b/>
          <w:bCs/>
        </w:rPr>
        <w:t xml:space="preserve">Конфликт и правило Демпстера: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r>
                <m:t>K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</m:e>
            <m:e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⊕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⊕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Пигнистическая вероятность и дефицит: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u</m:t>
          </m:r>
          <m:r>
            <m:rPr>
              <m:sty m:val="p"/>
            </m:rPr>
            <m:t>p</m:t>
          </m:r>
          <m:r>
            <m:rPr>
              <m:sty m:val="p"/>
            </m:rPr>
            <m:t>p</m:t>
          </m:r>
          <m:r>
            <m:rPr>
              <m:sty m:val="p"/>
            </m:rPr>
            <m:t>l</m:t>
          </m:r>
          <m:r>
            <m:rPr>
              <m:sty m:val="p"/>
            </m:rPr>
            <m:t>y</m:t>
          </m:r>
        </m:oMath>
      </m:oMathPara>
    </w:p>
    <w:p>
      <w:pPr>
        <w:pStyle w:val="FirstParagraph"/>
      </w:pPr>
      <w:r>
        <w:rPr>
          <w:b/>
          <w:bCs/>
        </w:rPr>
        <w:t xml:space="preserve">Правила принятия решений: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∧</m:t>
              </m:r>
              <m:r>
                <m:t>K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∧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nor/>
                  <m:sty m:val="b"/>
                </m:rPr>
                <m:t>УСИЛИТЬ</m:t>
              </m:r>
            </m:e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∧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∨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m:t>Θ</m:t>
                      </m:r>
                    </m:sub>
                  </m:sSub>
                </m:e>
              </m:d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nor/>
                  <m:sty m:val="b"/>
                </m:rPr>
                <m:t>ВАРИАТИВНОСТЬ</m:t>
              </m:r>
            </m:e>
            <m:e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nor/>
                  <m:sty m:val="b"/>
                </m:rPr>
                <m:t>СТАБИЛИЗИРОВАТЬ</m:t>
              </m:r>
            </m:e>
          </m:eqArr>
        </m:oMath>
      </m:oMathPara>
    </w:p>
    <w:p>
      <w:pPr>
        <w:pStyle w:val="FirstParagraph"/>
      </w:pP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;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40</m:t>
        </m:r>
      </m:oMath>
      <w:r>
        <w:t xml:space="preserve">;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(число кластеров программы).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2026-06-22T23:10:38Z</dcterms:created>
  <dcterms:modified xsi:type="dcterms:W3CDTF">2026-06-22T23:10:38Z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