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t xml:space="preserve">Алгоритм DST-агрегации для анализа компетентностных дефицитов:</w:t>
      </w:r>
      <w:r>
        <w:br/>
      </w:r>
      <w:r>
        <w:t xml:space="preserve">Формальное описание в предикатной логике и теории множеств</w:t>
      </w:r>
      <w:r>
        <w:t xml:space="preserve"> </w:t>
      </w:r>
    </w:p>
    <w:bookmarkStart w:id="9" w:name="базовые-множества-и-рамка-рассуждений"/>
    <w:p>
      <w:pPr>
        <w:pStyle w:val="Heading1"/>
      </w:pPr>
      <w:r>
        <w:t xml:space="preserve">Базовые множества и рамка рассуждений</w:t>
      </w:r>
    </w:p>
    <w:p>
      <w:pPr>
        <w:pStyle w:val="FirstParagraph"/>
      </w:pPr>
      <w:r>
        <w:rPr>
          <w:b/>
          <w:bCs/>
        </w:rPr>
        <w:t xml:space="preserve">Определение 1</w:t>
      </w:r>
      <w:r>
        <w:t xml:space="preserve"> </w:t>
      </w:r>
      <w:r>
        <w:t xml:space="preserve">(Рамка рассуждений).</w:t>
      </w:r>
      <w:r>
        <w:t xml:space="preserve"> </w:t>
      </w:r>
      <w:r>
        <w:t xml:space="preserve"> </w:t>
      </w:r>
      <w:r>
        <w:rPr>
          <w:i/>
          <w:iCs/>
        </w:rPr>
        <w:t xml:space="preserve">Для одного кластера компетенций рамка рассуждений определяется как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,</m:t>
          </m:r>
          <m:r>
            <m:t> </m:t>
          </m:r>
          <m:r>
            <m:t>F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означает «кластер важен» (True),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«кластер не важен» (False).</w:t>
      </w:r>
      <w:r>
        <w:rPr>
          <w:i/>
          <w:iCs/>
        </w:rPr>
        <w:t xml:space="preserve"> </w:t>
      </w:r>
      <w:r>
        <w:rPr>
          <w:i/>
          <w:iCs/>
        </w:rPr>
        <w:t xml:space="preserve">Степенное множество</w:t>
      </w:r>
      <w:r>
        <w:rPr>
          <w:i/>
          <w:iCs/>
        </w:rP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Θ</m:t>
        </m:r>
        <m:r>
          <m:rPr>
            <m:sty m:val="p"/>
          </m:rPr>
          <m:t>}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Определение 2</w:t>
      </w:r>
      <w:r>
        <w:t xml:space="preserve"> </w:t>
      </w:r>
      <w:r>
        <w:t xml:space="preserve">(Множество источников).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cr m:val="script"/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vac</m:t>
          </m:r>
          <m:r>
            <m:rPr>
              <m:sty m:val="p"/>
            </m:rPr>
            <m:t>,</m:t>
          </m:r>
          <m:r>
            <m:t> </m:t>
          </m:r>
          <m:r>
            <m:rPr>
              <m:nor/>
              <m:sty m:val="p"/>
            </m:rPr>
            <m:t>exp</m:t>
          </m:r>
          <m:r>
            <m:rPr>
              <m:sty m:val="p"/>
            </m:rPr>
            <m:t>,</m:t>
          </m:r>
          <m:r>
            <m:t> </m:t>
          </m:r>
          <m:r>
            <m:rPr>
              <m:nor/>
              <m:sty m:val="p"/>
            </m:rPr>
            <m:t>fc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vac</w:t>
      </w:r>
      <w:r>
        <w:rPr>
          <w:i/>
          <w:iCs/>
        </w:rPr>
        <w:t xml:space="preserve"> </w:t>
      </w:r>
      <w:r>
        <w:rPr>
          <w:i/>
          <w:iCs/>
        </w:rPr>
        <w:t xml:space="preserve">— данные вакансий,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exp</w:t>
      </w:r>
      <w:r>
        <w:rPr>
          <w:i/>
          <w:iCs/>
        </w:rPr>
        <w:t xml:space="preserve"> </w:t>
      </w:r>
      <w:r>
        <w:rPr>
          <w:i/>
          <w:iCs/>
        </w:rPr>
        <w:t xml:space="preserve">— экспертные оценки,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fc</w:t>
      </w:r>
      <w:r>
        <w:rPr>
          <w:i/>
          <w:iCs/>
        </w:rPr>
        <w:t xml:space="preserve"> </w:t>
      </w:r>
      <w:r>
        <w:rPr>
          <w:i/>
          <w:iCs/>
        </w:rPr>
        <w:t xml:space="preserve">— прогнозы (forecasts).</w:t>
      </w:r>
    </w:p>
    <w:p>
      <w:pPr>
        <w:pStyle w:val="FirstParagraph"/>
      </w:pPr>
      <w:r>
        <w:rPr>
          <w:b/>
          <w:bCs/>
        </w:rPr>
        <w:t xml:space="preserve">Определение 3</w:t>
      </w:r>
      <w:r>
        <w:t xml:space="preserve"> </w:t>
      </w:r>
      <w:r>
        <w:t xml:space="preserve">(Входной кортеж источника).</w:t>
      </w:r>
      <w:r>
        <w:t xml:space="preserve"> </w:t>
      </w:r>
      <w:r>
        <w:t xml:space="preserve"> </w:t>
      </w:r>
      <w:r>
        <w:rPr>
          <w:i/>
          <w:iCs/>
        </w:rPr>
        <w:t xml:space="preserve">Каждый источник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задаётся кортежем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где:</w:t>
      </w:r>
    </w:p>
    <w:p>
      <w:pPr>
        <w:numPr>
          <w:ilvl w:val="0"/>
          <w:numId w:val="1001"/>
        </w:numPr>
      </w:pPr>
      <m:oMath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общее число записей источника,</w:t>
      </w:r>
    </w:p>
    <w:p>
      <w:pPr>
        <w:numPr>
          <w:ilvl w:val="0"/>
          <w:numId w:val="1001"/>
        </w:numPr>
      </w:pPr>
      <m:oMath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r>
          <m:t> 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≤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— записей, относящихся к кластеру,</w:t>
      </w:r>
    </w:p>
    <w:p>
      <w:pPr>
        <w:numPr>
          <w:ilvl w:val="0"/>
          <w:numId w:val="1001"/>
        </w:numPr>
      </w:pP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средняя оценка важности кластера,</w:t>
      </w:r>
    </w:p>
    <w:p>
      <w:pPr>
        <w:numPr>
          <w:ilvl w:val="0"/>
          <w:numId w:val="1001"/>
        </w:numPr>
      </w:pP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уровень согласованности источника,</w:t>
      </w:r>
    </w:p>
    <w:p>
      <w:pPr>
        <w:numPr>
          <w:ilvl w:val="0"/>
          <w:numId w:val="1001"/>
        </w:numPr>
      </w:pPr>
      <m:oMath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вес надёжности источника,</w:t>
      </w:r>
    </w:p>
    <w:p>
      <w:pPr>
        <w:numPr>
          <w:ilvl w:val="0"/>
          <w:numId w:val="1001"/>
        </w:numPr>
      </w:pPr>
      <m:oMath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константа сглаживания.</w:t>
      </w:r>
    </w:p>
    <w:p>
      <w:pPr>
        <w:pStyle w:val="FirstParagraph"/>
      </w:pPr>
      <w:r>
        <w:rPr>
          <w:i/>
          <w:iCs/>
        </w:rPr>
        <w:t xml:space="preserve">Для прогнозов со смешанным направлением вводится расширенный кортеж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i/>
          <w:iCs/>
        </w:rPr>
        <w:t xml:space="preserve">) — количество прогнозов роста (спада),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rPr>
                <m:sty m:val="p"/>
              </m:rPr>
              <m:t>+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rPr>
                <m:sty m:val="p"/>
              </m:rPr>
              <m:t>−</m:t>
            </m:r>
          </m:sub>
        </m:sSub>
      </m:oMath>
      <w:r>
        <w:rPr>
          <w:i/>
          <w:iCs/>
        </w:rPr>
        <w:t xml:space="preserve">) — средние оценки соответственно,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p>
        </m:sSubSup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Определение 4</w:t>
      </w:r>
      <w:r>
        <w:t xml:space="preserve"> </w:t>
      </w:r>
      <w:r>
        <w:t xml:space="preserve">(Обеспечённость кластера).</w:t>
      </w:r>
      <w:r>
        <w:t xml:space="preserve"> 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текущая доля кластера в учебной программе</w:t>
      </w:r>
      <w:r>
        <w:rPr>
          <w:i/>
          <w:iCs/>
        </w:rPr>
        <w:t xml:space="preserve"> </w:t>
      </w:r>
      <w:r>
        <w:rPr>
          <w:i/>
          <w:iCs/>
        </w:rPr>
        <w:t xml:space="preserve">(РПД / учебный план).</w:t>
      </w:r>
    </w:p>
    <w:bookmarkEnd w:id="9"/>
    <w:bookmarkStart w:id="14" w:name="шаг-1.-коэффициент-уверенности-kappa"/>
    <w:p>
      <w:pPr>
        <w:pStyle w:val="Heading1"/>
      </w:pPr>
      <w:r>
        <w:t xml:space="preserve">Шаг 1. Коэффициент уверенности</w:t>
      </w:r>
      <w:r>
        <w:t xml:space="preserve"> </w:t>
      </w:r>
      <m:oMath>
        <m:r>
          <m:t>κ</m:t>
        </m:r>
      </m:oMath>
    </w:p>
    <w:bookmarkStart w:id="10" w:name="мотивация"/>
    <w:p>
      <w:pPr>
        <w:pStyle w:val="Heading2"/>
      </w:pPr>
      <w:r>
        <w:t xml:space="preserve">Мотивация</w:t>
      </w:r>
    </w:p>
    <w:p>
      <w:pPr>
        <w:pStyle w:val="FirstParagraph"/>
      </w:pPr>
      <w:r>
        <w:t xml:space="preserve">Источник с тысячами записей заслуживает большего доверия, чем источник</w:t>
      </w:r>
      <w:r>
        <w:t xml:space="preserve"> </w:t>
      </w:r>
      <w:r>
        <w:t xml:space="preserve">с тремя. При этом уверенность ограничена сверху:</w:t>
      </w:r>
      <w:r>
        <w:t xml:space="preserve"> </w:t>
      </w:r>
      <m:oMath>
        <m:r>
          <m:t>κ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"/>
    <w:bookmarkStart w:id="11" w:name="формулы"/>
    <w:p>
      <w:pPr>
        <w:pStyle w:val="Heading2"/>
      </w:pPr>
      <w:r>
        <w:t xml:space="preserve">Формулы</w:t>
      </w:r>
    </w:p>
    <w:p>
      <w:pPr>
        <w:pStyle w:val="FirstParagraph"/>
      </w:pPr>
      <w:r>
        <w:rPr>
          <w:b/>
          <w:bCs/>
        </w:rPr>
        <w:t xml:space="preserve">Определение 5</w:t>
      </w:r>
      <w:r>
        <w:t xml:space="preserve"> </w:t>
      </w:r>
      <w:r>
        <w:t xml:space="preserve">(Эффективный объём источника).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Для смешанных прогнозов (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Определение 6</w:t>
      </w:r>
      <w:r>
        <w:t xml:space="preserve"> </w:t>
      </w:r>
      <w:r>
        <w:t xml:space="preserve">(Коэффициент уверенности).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κ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</m:num>
            <m:den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1"/>
    <w:bookmarkStart w:id="12" w:name="свойства"/>
    <w:p>
      <w:pPr>
        <w:pStyle w:val="Heading2"/>
      </w:pPr>
      <w:r>
        <w:t xml:space="preserve">Свойства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(нет данных — нет уверенности)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(бесконечный объём — полная уверенность)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(«полудоверие» — смысл 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зафиксированные-значения-lambda_s"/>
    <w:p>
      <w:pPr>
        <w:pStyle w:val="Heading2"/>
      </w:pPr>
      <w:r>
        <w:t xml:space="preserve">Зафиксированные значения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вакансий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  <m:r>
                <m:t>κ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экспертов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  <m:r>
                <m:t>κ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прогноза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  <m:r>
                <m:t>κ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</w:tbl>
    <w:bookmarkEnd w:id="13"/>
    <w:bookmarkEnd w:id="14"/>
    <w:bookmarkStart w:id="20" w:name="Xc00573a58ccc6151dbfffbc3006888bafeb0338"/>
    <w:p>
      <w:pPr>
        <w:pStyle w:val="Heading1"/>
      </w:pPr>
      <w:r>
        <w:t xml:space="preserve">Шаг 2. Базовое распределение вероятности (BPA)</w:t>
      </w:r>
    </w:p>
    <w:bookmarkStart w:id="15" w:name="определение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Определение 7</w:t>
      </w:r>
      <w:r>
        <w:t xml:space="preserve"> </w:t>
      </w:r>
      <w:r>
        <w:t xml:space="preserve">(BPA).</w:t>
      </w:r>
      <w:r>
        <w:t xml:space="preserve"> </w:t>
      </w:r>
      <w:r>
        <w:t xml:space="preserve"> </w:t>
      </w:r>
      <w:r>
        <w:rPr>
          <w:i/>
          <w:iCs/>
        </w:rPr>
        <w:t xml:space="preserve">Функция базового распределения вероятности для источника</w:t>
      </w:r>
      <w:r>
        <w:rPr>
          <w:i/>
          <w:iCs/>
        </w:rPr>
        <w:t xml:space="preserve"> </w:t>
      </w:r>
      <m:oMath>
        <m:r>
          <m:t>s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: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Θ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Θ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∅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15"/>
    <w:bookmarkStart w:id="18" w:name="единая-схема-bpa-для-всех-источников"/>
    <w:p>
      <w:pPr>
        <w:pStyle w:val="Heading2"/>
      </w:pPr>
      <w:r>
        <w:t xml:space="preserve">Единая схема BPA для всех источников</w:t>
      </w:r>
    </w:p>
    <w:p>
      <w:pPr>
        <w:pStyle w:val="FirstParagraph"/>
      </w:pPr>
      <w:r>
        <w:t xml:space="preserve">Для каждого источника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всегда вычисляются три составляющих: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s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— количество и средняя оценка</w:t>
      </w:r>
      <w:r>
        <w:t xml:space="preserve"> </w:t>
      </w:r>
      <w:r>
        <w:rPr>
          <w:i/>
          <w:iCs/>
        </w:rPr>
        <w:t xml:space="preserve">положительных</w:t>
      </w:r>
      <w:r>
        <w:t xml:space="preserve"> </w:t>
      </w:r>
      <w:r>
        <w:t xml:space="preserve">сигналов источника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m:oMath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— отрицательных.</w:t>
      </w:r>
    </w:p>
    <w:bookmarkStart w:id="16" w:name="частный-случай-для-vac-и-exp."/>
    <w:p>
      <w:pPr>
        <w:pStyle w:val="Heading4"/>
      </w:pPr>
      <w:r>
        <w:t xml:space="preserve">Частный случай для vac и exp.</w:t>
      </w:r>
    </w:p>
    <w:p>
      <w:pPr>
        <w:pStyle w:val="FirstParagraph"/>
      </w:pPr>
      <w:r>
        <w:t xml:space="preserve">Данные источники содержат только подтверждающие сигналы:</w:t>
      </w:r>
      <w:r>
        <w:t xml:space="preserve"> </w:t>
      </w:r>
      <m:oMath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 поэтому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(не аксиома, а следствие данных).</w:t>
      </w:r>
      <w:r>
        <w:t xml:space="preserve"> </w:t>
      </w:r>
      <w:r>
        <w:t xml:space="preserve">Формулы</w:t>
      </w:r>
      <w:r>
        <w:t xml:space="preserve"> </w:t>
      </w:r>
      <w:hyperlink w:anchor="eq:mT">
        <w:r>
          <w:rPr>
            <w:rStyle w:val="Hyperlink"/>
          </w:rPr>
          <w:t xml:space="preserve">[eq:mT]</w:t>
        </w:r>
      </w:hyperlink>
      <w:r>
        <w:t xml:space="preserve">–</w:t>
      </w:r>
      <w:hyperlink w:anchor="eq:mU">
        <w:r>
          <w:rPr>
            <w:rStyle w:val="Hyperlink"/>
          </w:rPr>
          <w:t xml:space="preserve">[eq:mU]</w:t>
        </w:r>
      </w:hyperlink>
      <w:r>
        <w:t xml:space="preserve"> </w:t>
      </w:r>
      <w:r>
        <w:t xml:space="preserve">остаются теми же.</w:t>
      </w:r>
    </w:p>
    <w:bookmarkEnd w:id="16"/>
    <w:bookmarkStart w:id="17" w:name="частный-случай-для-fc-смешанный-тип."/>
    <w:p>
      <w:pPr>
        <w:pStyle w:val="Heading4"/>
      </w:pPr>
      <w:r>
        <w:t xml:space="preserve">Частный случай для fc (смешанный тип).</w:t>
      </w:r>
    </w:p>
    <w:p>
      <w:pPr>
        <w:pStyle w:val="FirstParagraph"/>
      </w:pPr>
      <w:r>
        <w:t xml:space="preserve">Прогнозы роста дают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прогнозы спада —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поэтому оба слагаемых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 </w:t>
      </w:r>
      <w:r>
        <w:t xml:space="preserve">ненулевые.</w:t>
      </w:r>
    </w:p>
    <w:bookmarkEnd w:id="17"/>
    <w:bookmarkEnd w:id="18"/>
    <w:bookmarkStart w:id="19" w:name="предикат-корректности-bpa"/>
    <w:p>
      <w:pPr>
        <w:pStyle w:val="Heading2"/>
      </w:pPr>
      <w:r>
        <w:t xml:space="preserve">Предикат корректности BPA</w:t>
      </w:r>
    </w:p>
    <w:p>
      <w:pPr>
        <w:pStyle w:val="FirstParagraph"/>
      </w:pPr>
      <w:r>
        <w:rPr>
          <w:b/>
          <w:bCs/>
        </w:rPr>
        <w:t xml:space="preserve">Предикат 8</w:t>
      </w:r>
      <w:r>
        <w:t xml:space="preserve"> </w:t>
      </w:r>
      <w:r>
        <w:t xml:space="preserve">(Нормировка).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∅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19"/>
    <w:bookmarkEnd w:id="20"/>
    <w:bookmarkStart w:id="23" w:name="шаг-3.-дисконтирование"/>
    <w:p>
      <w:pPr>
        <w:pStyle w:val="Heading1"/>
      </w:pPr>
      <w:r>
        <w:t xml:space="preserve">Шаг 3. Дисконтирование</w:t>
      </w:r>
    </w:p>
    <w:bookmarkStart w:id="21" w:name="определение-1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t xml:space="preserve">Дисконтирование «перекладывает» часть уверенности источника</w:t>
      </w:r>
      <w:r>
        <w:t xml:space="preserve"> </w:t>
      </w:r>
      <w:r>
        <w:t xml:space="preserve">в неопределённость пропорционально его ненадёжности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Определение 9</w:t>
      </w:r>
      <w:r>
        <w:t xml:space="preserve"> </w:t>
      </w:r>
      <w:r>
        <w:t xml:space="preserve">(Дисконтированное BPA).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eqArr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⊊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  <w:r>
        <w:t xml:space="preserve"> </w:t>
      </w:r>
      <w:r>
        <w:t xml:space="preserve">раскрываем явно: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2" w:name="зафиксированные-веса-w_s"/>
    <w:p>
      <w:pPr>
        <w:pStyle w:val="Heading2"/>
      </w:pPr>
      <w:r>
        <w:t xml:space="preserve">Зафиксированные веса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Профессиональные оценки, высокая надёжность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Фактические данные, есть дубли и сезонность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Прогнозы часто ошибаются в IT-отрасли</w:t>
            </w:r>
          </w:p>
        </w:tc>
      </w:tr>
    </w:tbl>
    <w:bookmarkEnd w:id="22"/>
    <w:bookmarkEnd w:id="23"/>
    <w:bookmarkStart w:id="28" w:name="Xe2f91ff983dfe5624842a0ffd261c7037e0b5d1"/>
    <w:p>
      <w:pPr>
        <w:pStyle w:val="Heading1"/>
      </w:pPr>
      <w:r>
        <w:t xml:space="preserve">Шаг 4. Комбинирование по правилу Демпстера</w:t>
      </w:r>
    </w:p>
    <w:bookmarkStart w:id="24" w:name="коэффициент-конфликта"/>
    <w:p>
      <w:pPr>
        <w:pStyle w:val="Heading2"/>
      </w:pPr>
      <w:r>
        <w:t xml:space="preserve">Коэффициент конфликта</w:t>
      </w:r>
    </w:p>
    <w:p>
      <w:pPr>
        <w:pStyle w:val="FirstParagraph"/>
      </w:pPr>
      <w:r>
        <w:rPr>
          <w:b/>
          <w:bCs/>
        </w:rPr>
        <w:t xml:space="preserve">Определение 10</w:t>
      </w:r>
      <w:r>
        <w:t xml:space="preserve"> </w:t>
      </w:r>
      <w:r>
        <w:t xml:space="preserve">(Коэффициент конфликта двух BPA).</w:t>
      </w:r>
      <w:r>
        <w:t xml:space="preserve"> </w:t>
      </w:r>
      <w:r>
        <w:t xml:space="preserve"> </w:t>
      </w:r>
      <w:r>
        <w:rPr>
          <w:i/>
          <w:iCs/>
        </w:rPr>
        <w:t xml:space="preserve">Для</w:t>
      </w:r>
      <w:r>
        <w:rPr>
          <w:i/>
          <w:iCs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p>
          <m:e>
            <m:r>
              <m:t>2</m:t>
            </m:r>
          </m:e>
          <m:sup>
            <m:r>
              <m:rPr>
                <m:sty m:val="p"/>
              </m:rP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C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⊆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Θ</m:t>
                    </m:r>
                  </m:e>
                </m:mr>
                <m:mr>
                  <m:e>
                    <m:r>
                      <m:t>B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 </m:t>
                    </m:r>
                    <m:r>
                      <m:t>C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∅</m:t>
                    </m:r>
                  </m:e>
                </m:mr>
              </m:m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Для</w:t>
      </w:r>
      <w:r>
        <w:rPr>
          <w:i/>
          <w:i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это раскрывается в: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.</m:t>
          </m:r>
        </m:oMath>
      </m:oMathPara>
    </w:p>
    <w:bookmarkEnd w:id="24"/>
    <w:bookmarkStart w:id="25" w:name="предикат-низкого-конфликта"/>
    <w:p>
      <w:pPr>
        <w:pStyle w:val="Heading2"/>
      </w:pPr>
      <w:r>
        <w:t xml:space="preserve">Предикат низкого конфликта</w:t>
      </w:r>
    </w:p>
    <w:p>
      <w:pPr>
        <w:pStyle w:val="FirstParagraph"/>
      </w:pPr>
      <w:r>
        <w:rPr>
          <w:b/>
          <w:bCs/>
        </w:rPr>
        <w:t xml:space="preserve">Предикат 11</w:t>
      </w:r>
      <w:r>
        <w:t xml:space="preserve"> </w:t>
      </w:r>
      <w:r>
        <w:t xml:space="preserve">(Допустимый конфликт).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w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t>τ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25"/>
    <w:bookmarkStart w:id="26" w:name="правило-демпстера-при-низком-конфликте"/>
    <w:p>
      <w:pPr>
        <w:pStyle w:val="Heading2"/>
      </w:pPr>
      <w:r>
        <w:t xml:space="preserve">Правило Демпстера (при низком конфликте)</w:t>
      </w:r>
    </w:p>
    <w:p>
      <w:pPr>
        <w:pStyle w:val="FirstParagraph"/>
      </w:pPr>
      <w:r>
        <w:rPr>
          <w:b/>
          <w:bCs/>
        </w:rPr>
        <w:t xml:space="preserve">Определение 12</w:t>
      </w:r>
      <w:r>
        <w:t xml:space="preserve"> </w:t>
      </w:r>
      <w:r>
        <w:t xml:space="preserve">(Комбинирование по Демпстеру).</w:t>
      </w:r>
      <w:r>
        <w:t xml:space="preserve"> </w:t>
      </w:r>
      <w:r>
        <w:t xml:space="preserve"> </w:t>
      </w:r>
      <w:r>
        <w:rPr>
          <w:i/>
          <w:iCs/>
        </w:rPr>
        <w:t xml:space="preserve">Если</w:t>
      </w:r>
      <w:r>
        <w:rPr>
          <w:i/>
          <w:iCs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w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B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 </m:t>
                    </m:r>
                    <m:r>
                      <m:t>C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 </m:t>
                    </m:r>
                    <m:r>
                      <m:t>A</m:t>
                    </m:r>
                  </m:e>
                </m:m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∅</m:t>
                    </m:r>
                  </m:e>
                </m:mr>
              </m:m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≠</m:t>
          </m:r>
          <m:r>
            <m:rPr>
              <m:sty m:val="p"/>
            </m:rPr>
            <m:t>∅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  <w:r>
        <w:t xml:space="preserve"> </w:t>
      </w:r>
      <w:r>
        <w:t xml:space="preserve">раскрываем: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X86a45514b34b62d630fe09e3340fd854d216398"/>
    <w:p>
      <w:pPr>
        <w:pStyle w:val="Heading2"/>
      </w:pPr>
      <w:r>
        <w:t xml:space="preserve">Последовательное комбинирование трёх источников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Правило Демпстера коммутативно и ассоциативно: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⋯</m:t>
          </m:r>
        </m:oMath>
      </m:oMathPara>
    </w:p>
    <w:bookmarkEnd w:id="27"/>
    <w:bookmarkEnd w:id="28"/>
    <w:bookmarkStart w:id="32" w:name="X78898c0ae212377199c5fdb46f6e5e01b1ded32"/>
    <w:p>
      <w:pPr>
        <w:pStyle w:val="Heading1"/>
      </w:pPr>
      <w:r>
        <w:t xml:space="preserve">Шаг 5. Пигнистическая вероятность и показатель дефицита</w:t>
      </w:r>
    </w:p>
    <w:bookmarkStart w:id="29" w:name="betp"/>
    <w:p>
      <w:pPr>
        <w:pStyle w:val="Heading2"/>
      </w:pPr>
      <w:r>
        <w:t xml:space="preserve">BetP</w:t>
      </w:r>
    </w:p>
    <w:p>
      <w:pPr>
        <w:pStyle w:val="FirstParagraph"/>
      </w:pPr>
      <w:r>
        <w:rPr>
          <w:b/>
          <w:bCs/>
        </w:rPr>
        <w:t xml:space="preserve">Определение 13</w:t>
      </w:r>
      <w:r>
        <w:t xml:space="preserve"> </w:t>
      </w:r>
      <w:r>
        <w:t xml:space="preserve">(Pignistic Probability).</w:t>
      </w:r>
      <w:r>
        <w:t xml:space="preserve"> </w:t>
      </w:r>
      <w:r>
        <w:t xml:space="preserve"> </w:t>
      </w:r>
      <w:r>
        <w:rPr>
          <w:i/>
          <w:iCs/>
        </w:rPr>
        <w:t xml:space="preserve">В рамке</w:t>
      </w:r>
      <w:r>
        <w:rPr>
          <w:i/>
          <w:i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из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кластеров программы: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количество кластеров в учебной программе</w:t>
      </w:r>
      <w:r>
        <w:rPr>
          <w:i/>
          <w:iCs/>
        </w:rPr>
        <w:t xml:space="preserve"> </w:t>
      </w:r>
      <w:r>
        <w:rPr>
          <w:i/>
          <w:iCs/>
        </w:rPr>
        <w:t xml:space="preserve">(текущее значение: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25</m:t>
        </m:r>
      </m:oMath>
      <w:r>
        <w:rPr>
          <w:i/>
          <w:iCs/>
        </w:rPr>
        <w:t xml:space="preserve">).</w:t>
      </w:r>
    </w:p>
    <w:p>
      <w:pPr>
        <w:pStyle w:val="FirstParagraph"/>
      </w:pPr>
      <w:r>
        <w:rPr>
          <w:i/>
          <w:iCs/>
        </w:rPr>
        <w:t xml:space="preserve">Смысл:</w:t>
      </w:r>
      <w:r>
        <w:t xml:space="preserve"> </w:t>
      </w:r>
      <w:r>
        <w:t xml:space="preserve">неопределённая масса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равномерно</w:t>
      </w:r>
      <w:r>
        <w:t xml:space="preserve"> </w:t>
      </w:r>
      <w:r>
        <w:t xml:space="preserve">распределяется между всеми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кластерами.</w:t>
      </w:r>
      <w:r>
        <w:t xml:space="preserve"> </w:t>
      </w:r>
      <w:r>
        <w:t xml:space="preserve">Общая формула через суммирование по фокальным элементам: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⊆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Θ</m:t>
                    </m:r>
                  </m:e>
                </m:mr>
                <m:mr>
                  <m:e>
                    <m:r>
                      <m:t>T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 </m:t>
                    </m:r>
                    <m:r>
                      <m:t>A</m:t>
                    </m:r>
                  </m:e>
                </m:mr>
              </m:m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bookmarkEnd w:id="29"/>
    <w:bookmarkStart w:id="30" w:name="показатель-дефицита"/>
    <w:p>
      <w:pPr>
        <w:pStyle w:val="Heading2"/>
      </w:pPr>
      <w:r>
        <w:t xml:space="preserve">Показатель дефицита</w:t>
      </w:r>
    </w:p>
    <w:p>
      <w:pPr>
        <w:pStyle w:val="FirstParagraph"/>
      </w:pPr>
      <w:r>
        <w:rPr>
          <w:b/>
          <w:bCs/>
        </w:rPr>
        <w:t xml:space="preserve">Определение 14</w:t>
      </w:r>
      <w:r>
        <w:t xml:space="preserve"> </w:t>
      </w:r>
      <w:r>
        <w:t xml:space="preserve">(Дефицит кластера).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.</m:t>
          </m:r>
        </m:oMath>
      </m:oMathPara>
    </w:p>
    <w:bookmarkEnd w:id="30"/>
    <w:bookmarkStart w:id="31" w:name="интерпретация"/>
    <w:p>
      <w:pPr>
        <w:pStyle w:val="Heading2"/>
      </w:pPr>
      <w:r>
        <w:t xml:space="preserve">Интерпретация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&gt;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дефицит: рынок требует больше, чем есть в РПД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баланс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избыток: в РПД больше, чем требует рынок</m:t>
          </m:r>
          <m:r>
            <m:rPr>
              <m:sty m:val="p"/>
            </m:rPr>
            <m:t>.</m:t>
          </m:r>
        </m:oMath>
      </m:oMathPara>
    </w:p>
    <w:bookmarkEnd w:id="31"/>
    <w:bookmarkEnd w:id="32"/>
    <w:bookmarkStart w:id="37" w:name="шаг-6.-правила-принятия-решения"/>
    <w:p>
      <w:pPr>
        <w:pStyle w:val="Heading1"/>
      </w:pPr>
      <w:r>
        <w:t xml:space="preserve">Шаг 6. Правила принятия решения</w:t>
      </w:r>
    </w:p>
    <w:bookmarkStart w:id="33" w:name="три-условия-предиката"/>
    <w:p>
      <w:pPr>
        <w:pStyle w:val="Heading2"/>
      </w:pPr>
      <w:r>
        <w:t xml:space="preserve">Три условия-предиката</w:t>
      </w:r>
    </w:p>
    <w:p>
      <w:pPr>
        <w:pStyle w:val="FirstParagraph"/>
      </w:pPr>
      <w:r>
        <w:rPr>
          <w:b/>
          <w:bCs/>
        </w:rPr>
        <w:t xml:space="preserve">Предикат 15</w:t>
      </w:r>
      <w:r>
        <w:t xml:space="preserve"> </w:t>
      </w:r>
      <w:r>
        <w:t xml:space="preserve">(Дефицит).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rPr>
              <m:sty m:val="p"/>
            </m:rPr>
            <m:t>Δ</m:t>
          </m:r>
          <m:r>
            <m:rPr>
              <m:sty m:val="p"/>
            </m:rPr>
            <m:t>&gt;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Предикат 16</w:t>
      </w:r>
      <w:r>
        <w:t xml:space="preserve"> </w:t>
      </w:r>
      <w:r>
        <w:t xml:space="preserve">(Согласованность источников).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t>K</m:t>
          </m:r>
          <m:r>
            <m:rPr>
              <m:sty m:val="p"/>
            </m:rPr>
            <m:t>≤</m:t>
          </m:r>
          <m:sSub>
            <m:e>
              <m:r>
                <m:t>τ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Предикат 17</w:t>
      </w:r>
      <w:r>
        <w:t xml:space="preserve"> </w:t>
      </w:r>
      <w:r>
        <w:t xml:space="preserve">(Достаточная определённость).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Θ</m:t>
              </m:r>
            </m:sub>
          </m:sSub>
          <m:r>
            <m:rPr>
              <m:sty m:val="p"/>
            </m:rPr>
            <m:t>.</m:t>
          </m:r>
        </m:oMath>
      </m:oMathPara>
    </w:p>
    <w:bookmarkEnd w:id="33"/>
    <w:bookmarkStart w:id="34" w:name="таблица-решений"/>
    <w:p>
      <w:pPr>
        <w:pStyle w:val="Heading2"/>
      </w:pPr>
      <w:r>
        <w:t xml:space="preserve">Таблица решений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УСИЛИТЬ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ВАРИАТИВНОСТЬ</w:t>
            </w:r>
            <w:r>
              <w:t xml:space="preserve"> </w:t>
            </w:r>
            <w:r>
              <w:t xml:space="preserve">(высокая неопределённость)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⊥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любое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ВАРИАТИВНОСТЬ</w:t>
            </w:r>
            <w:r>
              <w:t xml:space="preserve"> </w:t>
            </w:r>
            <w:r>
              <w:t xml:space="preserve">(конфликт источников)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⊥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СОКРАТИТЬ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⊥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СТАБИЛИЗИРОВАТЬ</w:t>
            </w:r>
          </w:p>
        </w:tc>
      </w:tr>
    </w:tbl>
    <w:bookmarkEnd w:id="34"/>
    <w:bookmarkStart w:id="35" w:name="формальные-правила-в-предикатной-логике"/>
    <w:p>
      <w:pPr>
        <w:pStyle w:val="Heading2"/>
      </w:pPr>
      <w:r>
        <w:t xml:space="preserve">Формальные правила в предикатной логике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r>
                <m:t>K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 </m:t>
                  </m:r>
                  <m:r>
                    <m:rPr>
                      <m:sty m:val="p"/>
                    </m:rPr>
                    <m:t>∨</m:t>
                  </m:r>
                  <m:r>
                    <m:t> 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m:t>Θ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E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при этом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∪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</m:oMath>
      <w:r>
        <w:t xml:space="preserve"> </w:t>
      </w:r>
      <w:r>
        <w:t xml:space="preserve">— непересекающееся разбиение</w:t>
      </w:r>
      <w:r>
        <w:t xml:space="preserve"> </w:t>
      </w:r>
      <w:r>
        <w:t xml:space="preserve">для случая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t xml:space="preserve">.</w:t>
      </w:r>
    </w:p>
    <w:bookmarkEnd w:id="35"/>
    <w:bookmarkStart w:id="36" w:name="градация-усилить"/>
    <w:p>
      <w:pPr>
        <w:pStyle w:val="Heading2"/>
      </w:pPr>
      <w:r>
        <w:t xml:space="preserve">Градация УСИЛИТЬ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G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sty m:val="p"/>
            </m:rPr>
            <m:t>Δ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Δ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36"/>
    <w:bookmarkEnd w:id="37"/>
    <w:bookmarkStart w:id="38" w:name="сводная-цепочка-алгоритма"/>
    <w:p>
      <w:pPr>
        <w:pStyle w:val="Heading1"/>
      </w:pPr>
      <w:r>
        <w:t xml:space="preserve">Сводная цепочка алгоритма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s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,</m:t>
        </m:r>
        <m:r>
          <m:t> 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σ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t>&amp;</m:t>
              </m:r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p>
                  </m:sSubSup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t>&amp;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t>&amp;</m:t>
              </m:r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t>&amp;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⊕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⊕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  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t>&amp;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Выход:</w:t>
      </w:r>
      <w:r>
        <w:t xml:space="preserve"> </w:t>
      </w:r>
      <w:r>
        <w:t xml:space="preserve">решение по формулам</w:t>
      </w:r>
      <w:r>
        <w:t xml:space="preserve"> </w:t>
      </w:r>
      <w:hyperlink w:anchor="eq:reinforce">
        <w:r>
          <w:rPr>
            <w:rStyle w:val="Hyperlink"/>
          </w:rPr>
          <w:t xml:space="preserve">[eq:reinforce]</w:t>
        </w:r>
      </w:hyperlink>
      <w:r>
        <w:t xml:space="preserve">–</w:t>
      </w:r>
      <w:hyperlink w:anchor="eq:stabilize">
        <w:r>
          <w:rPr>
            <w:rStyle w:val="Hyperlink"/>
          </w:rPr>
          <w:t xml:space="preserve">[eq:stabilize]</w:t>
        </w:r>
      </w:hyperlink>
      <w:r>
        <w:t xml:space="preserve">.</w:t>
      </w:r>
    </w:p>
    <w:bookmarkEnd w:id="38"/>
    <w:bookmarkStart w:id="39" w:name="параметры-алгоритма"/>
    <w:p>
      <w:pPr>
        <w:pStyle w:val="Heading1"/>
      </w:pPr>
      <w:r>
        <w:t xml:space="preserve">Параметры алгоритма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Рекомендуемый метод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объёмов вакансий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числа экспертов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числа прогнозов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 на истории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 на истории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 на истории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БД (число кластеров программы)</w:t>
            </w:r>
          </w:p>
        </w:tc>
      </w:tr>
    </w:tbl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Алгоритм DST-агрегации для анализа компетентностных дефицитов: Формальное описание в предикатной логике и теории множеств </dc:title>
  <dc:creator/>
  <cp:keywords/>
  <dcterms:created xsi:type="dcterms:W3CDTF">2026-06-22T23:24:14Z</dcterms:created>
  <dcterms:modified xsi:type="dcterms:W3CDTF">2026-06-22T23:24:14Z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