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Алгоритм DST: формальное описание в предикатной логике и логике пересечения множеств</w:t>
      </w:r>
    </w:p>
    <w:p>
      <w:pPr>
        <w:pStyle w:val="Heading2"/>
      </w:pPr>
      <w:r>
        <w:t>1. Основные обозначения</w:t>
      </w:r>
    </w:p>
    <w:p>
      <w:r>
        <w:t>Θ = {C₁, C₂, ..., Cₙ}  — рамка рассуждений (множество кластеров компетенций)</w:t>
      </w:r>
    </w:p>
    <w:p>
      <w:r>
        <w:t>V  — множество вакансий, v ∈ V</w:t>
      </w:r>
    </w:p>
    <w:p>
      <w:r>
        <w:t>U  — множество канонических навыков, u ∈ U</w:t>
      </w:r>
    </w:p>
    <w:p>
      <w:r>
        <w:t>P  — множество профессий, p ∈ P</w:t>
      </w:r>
    </w:p>
    <w:p>
      <w:r>
        <w:t>G ⊆ U × U  — ориентированный граф зависимостей навыков (рёбра — совместная встречаемость)</w:t>
      </w:r>
    </w:p>
    <w:p>
      <w:r>
        <w:t>Sᵥ ⊆ U  — множество прямых канонических навыков вакансии v</w:t>
      </w:r>
    </w:p>
    <w:p>
      <w:r>
        <w:t>Dᵥ ⊆ U  — множество навыков вакансии v, расширенное через G (транзитивное замыкание по зависимостям)</w:t>
      </w:r>
    </w:p>
    <w:p>
      <w:r>
        <w:t>Cₖ ⊆ U  — множество канонических навыков кластера k ∈ Θ</w:t>
      </w:r>
    </w:p>
    <w:p>
      <w:r>
        <w:t>Kₚ  — множество ключевых слов профессии p ∈ P</w:t>
      </w:r>
    </w:p>
    <w:p>
      <w:r>
        <w:t>Tᵥ  — множество слов из названия вакансии v</w:t>
      </w:r>
    </w:p>
    <w:p>
      <w:r>
        <w:t>τ : WorkSkill → U  — функция нормализации: отображает сырую строку навыка в канонический элемент множества U</w:t>
      </w:r>
    </w:p>
    <w:p>
      <w:pPr>
        <w:pStyle w:val="Heading2"/>
      </w:pPr>
      <w:r>
        <w:t>2. Фаза 2 — Нормализация навыков</w:t>
      </w:r>
    </w:p>
    <w:p>
      <w:r>
        <w:rPr>
          <w:b/>
        </w:rPr>
        <w:t>Предикат нормализации:</w:t>
      </w:r>
    </w:p>
    <w:p>
      <w:r>
        <w:t>∀s ∈ WorkSkill:</w:t>
        <w:br/>
        <w:t xml:space="preserve">    ℒ(s) = ∅  →  s ∈ U_unknown</w:t>
        <w:br/>
        <w:t xml:space="preserve">    ℒ(s) ≠ ∅  →  ∃! u ∈ U : τ(s) = u</w:t>
      </w:r>
    </w:p>
    <w:p>
      <w:r>
        <w:rPr>
          <w:i/>
        </w:rPr>
        <w:t>где:   ℒ(s) — множество латинских токенов строки s,   U_unknown ⊆ WorkSkill — навыки без латинских токенов (мягкие навыки, русскоязычные),   ∃! — «существует единственный»</w:t>
      </w:r>
    </w:p>
    <w:p>
      <w:pPr>
        <w:pStyle w:val="Heading2"/>
      </w:pPr>
      <w:r>
        <w:t>3. Фаза 3 — Классификация вакансий по профессиям</w:t>
      </w:r>
    </w:p>
    <w:p>
      <w:r>
        <w:rPr>
          <w:b/>
        </w:rPr>
        <w:t>Предикат принадлежности вакансии к профессии:</w:t>
      </w:r>
    </w:p>
    <w:p>
      <w:r>
        <w:t>v ~ p  ↔  Kₚ ∩ Tᵥ ≠ ∅</w:t>
      </w:r>
    </w:p>
    <w:p>
      <w:r>
        <w:rPr>
          <w:i/>
        </w:rPr>
        <w:t>где:   v ~ p — вакансия v относится к профессии p,   Kₚ — ключевые слова профессии p,   Tᵥ — слова названия вакансии v (приведённые к нижнему регистру)</w:t>
      </w:r>
    </w:p>
    <w:p>
      <w:r>
        <w:rPr>
          <w:b/>
        </w:rPr>
        <w:t>Доверие классификации при множественном совпадении:</w:t>
      </w:r>
    </w:p>
    <w:p>
      <w:r>
        <w:t>conf(v, p) = 1,   если |{p ∈ P : v ~ p}| = 1</w:t>
        <w:br/>
        <w:t>conf(v, p) = 1/|{p ∈ P : v ~ p}|,   если |{p ∈ P : v ~ p}| &gt; 1</w:t>
      </w:r>
    </w:p>
    <w:p>
      <w:r>
        <w:rPr>
          <w:i/>
        </w:rPr>
        <w:t>где:   conf(v, p) ∈ (0, 1] — уровень доверия классификации вакансии v к профессии p</w:t>
      </w:r>
    </w:p>
    <w:p>
      <w:pPr>
        <w:pStyle w:val="Heading2"/>
      </w:pPr>
      <w:r>
        <w:t>4. Фаза 4 — Построение графа зависимостей навыков</w:t>
      </w:r>
    </w:p>
    <w:p>
      <w:r>
        <w:rPr>
          <w:b/>
        </w:rPr>
        <w:t>Совместная встречаемость навыков a и b:</w:t>
      </w:r>
    </w:p>
    <w:p>
      <w:r>
        <w:t>φ(a, b) = |{ v ∈ V : a ∈ Sᵥ ∧ b ∈ Sᵥ }|</w:t>
      </w:r>
    </w:p>
    <w:p>
      <w:r>
        <w:rPr>
          <w:b/>
        </w:rPr>
        <w:t>Вес направленного ребра (условная вероятность):</w:t>
      </w:r>
    </w:p>
    <w:p>
      <w:r>
        <w:t>w(a, b) = φ(a, b) / |{ v ∈ V : b ∈ Sᵥ }|</w:t>
      </w:r>
    </w:p>
    <w:p>
      <w:r>
        <w:rPr>
          <w:b/>
        </w:rPr>
        <w:t>Условие включения ребра в граф:</w:t>
      </w:r>
    </w:p>
    <w:p>
      <w:r>
        <w:t>(a → b) ∈ G  ↔  φ(a, b) ≥ φ_min  ∧  w(a, b) ≥ τ_w</w:t>
      </w:r>
    </w:p>
    <w:p>
      <w:r>
        <w:rPr>
          <w:i/>
        </w:rPr>
        <w:t>где:   φ(a, b) — число вакансий, содержащих одновременно навыки a и b,   w(a, b) — условная вероятность встретить a при наличии b,   φ_min — минимальный порог совместной встречаемости,   τ_w — минимальный порог веса ребра (по умолчанию 0.30)</w:t>
      </w:r>
    </w:p>
    <w:p>
      <w:pPr>
        <w:pStyle w:val="Heading2"/>
      </w:pPr>
      <w:r>
        <w:t>5. Фаза 6 — Оценка релевантности вакансии для кластера</w:t>
      </w:r>
    </w:p>
    <w:p>
      <w:r>
        <w:rPr>
          <w:b/>
        </w:rPr>
        <w:t>Расширение множества навыков через граф:</w:t>
      </w:r>
    </w:p>
    <w:p>
      <w:r>
        <w:t>Dᵥ = ⋃_{u ∈ Sᵥ} { a ∈ U : (u → a) ∈ G }</w:t>
      </w:r>
    </w:p>
    <w:p>
      <w:r>
        <w:rPr>
          <w:b/>
        </w:rPr>
        <w:t>Пересечения навыков вакансии с кластером:</w:t>
      </w:r>
    </w:p>
    <w:p>
      <w:r>
        <w:t>M^d_k(v) = Sᵥ ∩ Cₖ                         (прямое совпадение)</w:t>
        <w:br/>
        <w:t>M^i_k(v) = (Dᵥ ∩ Cₖ) \ M^d_k(v)           (косвенное совпадение через граф)</w:t>
      </w:r>
    </w:p>
    <w:p>
      <w:r>
        <w:rPr>
          <w:b/>
        </w:rPr>
        <w:t>Сырая оценка вакансии v для кластера k:</w:t>
      </w:r>
    </w:p>
    <w:p>
      <w:r>
        <w:t>σ_raw(v, k) = α_t · 𝟙[Cₖ ∩ Tᵥ ≠ ∅] + α_s · |M^d_k(v)| + α_d · 𝟙[Cₖ ∩ Descᵥ ≠ ∅] + α_i · |M^i_k(v)|</w:t>
      </w:r>
    </w:p>
    <w:p>
      <w:r>
        <w:rPr>
          <w:b/>
        </w:rPr>
        <w:t>Нормализованная оценка (относительно наиболее подходящего кластера):</w:t>
      </w:r>
    </w:p>
    <w:p>
      <w:r>
        <w:t>σ(v, k) = σ_raw(v, k) / max_{j ∈ Θ} σ_raw(v, j)</w:t>
      </w:r>
    </w:p>
    <w:p>
      <w:r>
        <w:rPr>
          <w:i/>
        </w:rPr>
        <w:t>где:   M^d_k(v) — множество навыков вакансии v, прямо входящих в кластер k,   M^i_k(v) — множество навыков, косвенно связанных с кластером k через граф G,   𝟙[·] — индикаторная функция (1 если условие выполнено, иначе 0),   Descᵥ — слова описания вакансии v,   α_t, α_s, α_d, α_i — весовые коэффициенты источников сигнала (заголовок, навыки, описание, граф)</w:t>
      </w:r>
    </w:p>
    <w:p>
      <w:pPr>
        <w:pStyle w:val="Heading2"/>
      </w:pPr>
      <w:r>
        <w:t>6. Правило комбинирования Демпстера</w:t>
      </w:r>
    </w:p>
    <w:p>
      <w:r>
        <w:rPr>
          <w:b/>
        </w:rPr>
        <w:t>Базовое распределение вероятности (BPA) источника s на подмножества Θ:</w:t>
      </w:r>
    </w:p>
    <w:p>
      <w:r>
        <w:t>m_s : 2^Θ → [0, 1],   ∑_{A ⊆ Θ} m_s(A) = 1,   m_s(∅) = 0</w:t>
      </w:r>
    </w:p>
    <w:p>
      <w:r>
        <w:rPr>
          <w:b/>
        </w:rPr>
        <w:t>Коэффициент конфликта двух источников:</w:t>
      </w:r>
    </w:p>
    <w:p>
      <w:r>
        <w:t>K = ∑_{B ∩ C = ∅} m₁(B) · m₂(C)</w:t>
      </w:r>
    </w:p>
    <w:p>
      <w:r>
        <w:rPr>
          <w:b/>
        </w:rPr>
        <w:t>Комбинированное BPA (правило Демпстера):</w:t>
      </w:r>
    </w:p>
    <w:p>
      <w:r>
        <w:t>∀ A ⊆ Θ, A ≠ ∅:</w:t>
        <w:br/>
        <w:br/>
        <w:t>(m₁ ⊕ m₂)(A) = ∑_{B ∩ C = A} m₁(B) · m₂(C) / (1 − K)</w:t>
      </w:r>
    </w:p>
    <w:p>
      <w:r>
        <w:rPr>
          <w:i/>
        </w:rPr>
        <w:t>Пример раскрытия суммы: масса для {Cᵢ} складывается из всех пар (B, C) таких, что B ∩ C = {Cᵢ}. Именно в этом и состоит «логика пересечения множеств» — комбинирование происходит строго через операцию ∩.</w:t>
      </w:r>
    </w:p>
    <w:p>
      <w:r>
        <w:t>Применение источников последовательно: m* = m_vac ⊕ m_std ⊕ m_exp ⊕ m_fc</w:t>
      </w:r>
    </w:p>
    <w:p>
      <w:r>
        <w:rPr>
          <w:b/>
        </w:rPr>
        <w:t>Адаптивное переключение при высоком конфликте:</w:t>
      </w:r>
    </w:p>
    <w:p>
      <w:r>
        <w:t>K &lt; τ_K   →  применяется правило Демпстера (m₁ ⊕ m₂)</w:t>
        <w:br/>
        <w:t>K ≥ τ_K   →  применяется правило Ягера: масса конфликта K переносится на Θ, а не на ∅</w:t>
      </w:r>
    </w:p>
    <w:p>
      <w:pPr>
        <w:pStyle w:val="Heading2"/>
      </w:pPr>
      <w:r>
        <w:t>7. Вероятностная мера и дефицит</w:t>
      </w:r>
    </w:p>
    <w:p>
      <w:r>
        <w:rPr>
          <w:b/>
        </w:rPr>
        <w:t>Pignistическая вероятность (BetP) для кластера Cᵢ:</w:t>
      </w:r>
    </w:p>
    <w:p>
      <w:r>
        <w:t>BetP(Cᵢ) = ∑_{A ⊆ Θ : Cᵢ ∈ A} m*(A) / |A|</w:t>
      </w:r>
    </w:p>
    <w:p>
      <w:r>
        <w:rPr>
          <w:b/>
        </w:rPr>
        <w:t>Дефицит компетентностного кластера Cᵢ:</w:t>
      </w:r>
    </w:p>
    <w:p>
      <w:r>
        <w:t>Δᵢ = BetP(Cᵢ) − supply_i</w:t>
      </w:r>
    </w:p>
    <w:p>
      <w:r>
        <w:rPr>
          <w:i/>
        </w:rPr>
        <w:t>где:   m*(A) — итоговое BPA после комбинирования всех источников,   |A| — мощность подмножества A (число кластеров в A),   supply_i — текущая обеспеченность кластера Cᵢ (из учебных планов, РПД)</w:t>
      </w:r>
    </w:p>
    <w:p>
      <w:pPr>
        <w:pStyle w:val="Heading2"/>
      </w:pPr>
      <w:r>
        <w:t>8. Правила принятия решений</w:t>
      </w:r>
    </w:p>
    <w:p>
      <w:r>
        <w:t>Δᵢ &gt; τ_Δ  ∧  K ≤ τ_K  ∧  m*(Θ) ≤ τ_Θ   →   УСИЛИТЬ (кластер Cᵢ в дефиците, источники согласованы)</w:t>
        <w:br/>
        <w:br/>
        <w:t>Δᵢ &gt; τ_Δ  ∧  (K &gt; τ_K  ∨  m*(Θ) &gt; τ_Θ)  →   ВАРИАТИВНОСТЬ (дефицит есть, но источники конфликтуют)</w:t>
        <w:br/>
        <w:br/>
        <w:t>Δᵢ ≤ τ_Δ                                  →   СТАБИЛИЗАЦИЯ (дефицит отсутствует)</w:t>
      </w:r>
    </w:p>
    <w:p>
      <w:r>
        <w:rPr>
          <w:i/>
        </w:rPr>
        <w:t>где:   τ_Δ = 0.15 — порог дефицита,   τ_K = 0.40 — порог конфликтности источников,   τ_Θ = 0.15 — порог неопределённости (масса на всей рамке Θ),   m*(Θ) — «масса неопределённости» — часть свидетельства, не отнесённая ни к одному конкретному кластеру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Алгоритм DST: формальное описание</dc:title>
  <dc:subject/>
  <dc:creator>JAcademicSupport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