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Слайд 1. Паспорт источника и формирование BPA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Рамка рассуждений: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,</m:t>
          </m:r>
          <m:r>
            <m:t> </m:t>
          </m:r>
          <m:r>
            <m:t>F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Θ</m:t>
              </m:r>
            </m:sup>
          </m:sSup>
          <m:r>
            <m:rPr>
              <m:sty m:val="p"/>
            </m:rPr>
            <m:t>=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{</m:t>
              </m:r>
              <m:r>
                <m:t>F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Θ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Множество источников: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e</m:t>
        </m:r>
        <m:r>
          <m:rPr>
            <m:sty m:val="p"/>
          </m:rPr>
          <m:t>x</m:t>
        </m:r>
        <m:r>
          <m:rPr>
            <m:sty m:val="p"/>
          </m:rPr>
          <m:t>p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f</m:t>
        </m:r>
        <m:r>
          <m:rPr>
            <m:sty m:val="p"/>
          </m:rPr>
          <m:t>c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Каждый источник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задаётся кортежем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n</m:t>
            </m:r>
          </m:e>
          <m:sub>
            <m:r>
              <m:t>s</m:t>
            </m:r>
          </m:sub>
          <m:sup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p>
        </m:sSubSup>
        <m:r>
          <m:rPr>
            <m:sty m:val="p"/>
          </m:rPr>
          <m:t>,</m:t>
        </m:r>
        <m:r>
          <m:t> </m:t>
        </m:r>
        <m:sSubSup>
          <m:e>
            <m:r>
              <m:t>n</m:t>
            </m:r>
          </m:e>
          <m:sub>
            <m:r>
              <m:t>s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,</m:t>
        </m:r>
        <m:r>
          <m:t> </m:t>
        </m:r>
        <m:sSub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s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,</m:t>
        </m:r>
        <m:r>
          <m:t> </m:t>
        </m:r>
        <m:sSubSup>
          <m:e>
            <m:r>
              <m:t>n</m:t>
            </m:r>
          </m:e>
          <m:sub>
            <m:r>
              <m:t>s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,</m:t>
        </m:r>
        <m:r>
          <m:t> </m:t>
        </m:r>
        <m:sSub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s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,</m:t>
        </m:r>
        <m:r>
          <m:t> </m:t>
        </m:r>
        <m:sSub>
          <m:e>
            <m:r>
              <m:t>α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r>
          <m:t> </m:t>
        </m:r>
        <m:sSub>
          <m:e>
            <m:r>
              <m:t>w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r>
          <m:t> </m:t>
        </m:r>
        <m:sSub>
          <m:e>
            <m:r>
              <m:t>λ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Шаг 1. Коэффициент уверенности</w:t>
      </w:r>
      <w:r>
        <w:rPr>
          <w:b/>
          <w:bCs/>
        </w:rPr>
        <w:t xml:space="preserve"> </w:t>
      </w:r>
      <m:oMath>
        <m:sSub>
          <m:e>
            <m:r>
              <m:t>κ</m:t>
            </m:r>
          </m:e>
          <m:sub>
            <m:r>
              <m:t>s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n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t>α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κ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n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p>
              </m:sSubSup>
            </m:num>
            <m:den>
              <m:sSubSup>
                <m:e>
                  <m:r>
                    <m:t>n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s</m:t>
                  </m:r>
                </m:sub>
              </m:sSub>
            </m:den>
          </m:f>
          <m:r>
            <m:t> 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Шаг 2. Базовое распределение вероятности (BPA)</w:t>
      </w:r>
      <w:r>
        <w:br/>
      </w:r>
      <w:r>
        <w:t xml:space="preserve">Единая схема для</w:t>
      </w:r>
      <w:r>
        <w:t xml:space="preserve"> </w:t>
      </w:r>
      <w:r>
        <w:rPr>
          <w:i/>
          <w:iCs/>
        </w:rPr>
        <w:t xml:space="preserve">всех</w:t>
      </w:r>
      <w:r>
        <w:t xml:space="preserve"> </w:t>
      </w:r>
      <w:r>
        <w:t xml:space="preserve">источников: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κ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bSup>
                    <m:e>
                      <m:r>
                        <m:t>n</m:t>
                      </m:r>
                    </m:e>
                    <m:sub>
                      <m: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bSup>
                </m:num>
                <m:den>
                  <m:sSubSup>
                    <m:e>
                      <m:r>
                        <m:t>n</m:t>
                      </m:r>
                    </m:e>
                    <m:sub>
                      <m: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t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(масса «важно»)</m:t>
              </m:r>
            </m:e>
            <m:e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{</m:t>
                  </m:r>
                  <m:r>
                    <m:t>F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κ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bSup>
                    <m:e>
                      <m:r>
                        <m:t>n</m:t>
                      </m:r>
                    </m:e>
                    <m:sub>
                      <m: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</m:num>
                <m:den>
                  <m:sSubSup>
                    <m:e>
                      <m:r>
                        <m:t>n</m:t>
                      </m:r>
                    </m:e>
                    <m:sub>
                      <m: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t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(масса «не важно»)</m:t>
              </m:r>
            </m:e>
            <m:e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{</m:t>
                  </m:r>
                  <m:r>
                    <m:t>F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(неопределённость)</m:t>
              </m:r>
            </m:e>
          </m:eqArr>
        </m:oMath>
      </m:oMathPara>
    </w:p>
    <w:p>
      <w:pPr>
        <w:pStyle w:val="FirstParagraph"/>
      </w:pPr>
      <w:r>
        <w:t xml:space="preserve">Для</w:t>
      </w:r>
      <w:r>
        <w:t xml:space="preserve"> </w:t>
      </w:r>
      <w:r>
        <w:rPr>
          <w:b/>
          <w:bCs/>
        </w:rPr>
        <w:t xml:space="preserve">vac, exp</w:t>
      </w:r>
      <w:r>
        <w:t xml:space="preserve">: нет отрицательных сигналов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sSubSup>
          <m:e>
            <m:r>
              <m:t>n</m:t>
            </m:r>
          </m:e>
          <m:sub>
            <m:r>
              <m:t>s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{</m:t>
        </m:r>
        <m:r>
          <m:t>F</m:t>
        </m:r>
        <m:r>
          <m:rPr>
            <m:sty m:val="p"/>
          </m:rPr>
          <m:t>}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(следствие данных, не аксиома).</w:t>
      </w:r>
      <w:r>
        <w:br/>
      </w:r>
      <w:r>
        <w:t xml:space="preserve">Для</w:t>
      </w:r>
      <w:r>
        <w:t xml:space="preserve"> </w:t>
      </w:r>
      <w:r>
        <w:rPr>
          <w:b/>
          <w:bCs/>
        </w:rPr>
        <w:t xml:space="preserve">fc</w:t>
      </w:r>
      <w:r>
        <w:t xml:space="preserve"> </w:t>
      </w:r>
      <w:r>
        <w:t xml:space="preserve">(смешанный):</w:t>
      </w:r>
      <w:r>
        <w:t xml:space="preserve"> </w:t>
      </w:r>
      <m:oMath>
        <m:sSubSup>
          <m:e>
            <m:r>
              <m:t>n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c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и</w:t>
      </w:r>
      <w:r>
        <w:t xml:space="preserve"> </w:t>
      </w:r>
      <m:oMath>
        <m:sSubSup>
          <m:e>
            <m:r>
              <m:t>n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c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оба слагаемых ненулевые.</w:t>
      </w:r>
    </w:p>
    <w:p>
      <w:pPr>
        <w:pStyle w:val="BodyText"/>
      </w:pPr>
      <w:r>
        <w:rPr>
          <w:b/>
          <w:bCs/>
        </w:rPr>
        <w:t xml:space="preserve">Шаг 3. Дисконтирование по надёжности</w:t>
      </w:r>
      <w:r>
        <w:rPr>
          <w:b/>
          <w:bCs/>
        </w:rPr>
        <w:t xml:space="preserve"> </w:t>
      </w:r>
      <m:oMath>
        <m:sSub>
          <m:e>
            <m:r>
              <m:t>w</m:t>
            </m:r>
          </m:e>
          <m:sub>
            <m:r>
              <m:t>s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m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A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Θ</m:t>
              </m:r>
            </m:e>
            <m:e>
              <m:sSubSup>
                <m:e>
                  <m:r>
                    <m:t>m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λ</m:t>
                  </m:r>
                </m:e>
                <m:sub>
                  <m:r>
                    <m:t>s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Эксперты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90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Вакансии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80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Прогнозы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60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</w:p>
        </w:tc>
      </w:tr>
    </w:tbl>
    <w:p>
      <w:pPr>
        <w:pStyle w:val="BodyText"/>
      </w:pPr>
      <w:r>
        <w:rPr>
          <w:i/>
          <w:iCs/>
        </w:rPr>
        <w:t xml:space="preserve">Выход: дисконтированные тройки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sSubSup>
          <m:e>
            <m:r>
              <m:t>m</m:t>
            </m:r>
          </m:e>
          <m:sub>
            <m:r>
              <m:t>s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sSubSup>
          <m:e>
            <m:r>
              <m:t>m</m:t>
            </m:r>
          </m:e>
          <m:sub>
            <m:r>
              <m:t>s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Θ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sSubSup>
          <m:e>
            <m:r>
              <m:t>m</m:t>
            </m:r>
          </m:e>
          <m:sub>
            <m:r>
              <m:t>s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{</m:t>
        </m:r>
        <m:r>
          <m:t>F</m:t>
        </m:r>
        <m:r>
          <m:rPr>
            <m:sty m:val="p"/>
          </m:rPr>
          <m:t>}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для каждого</w:t>
      </w:r>
      <w:r>
        <w:rPr>
          <w:i/>
          <w:iCs/>
        </w:rP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rPr>
          <w:i/>
          <w:iCs/>
        </w:rPr>
        <w:t xml:space="preserve">; сумма равна 1.</w:t>
      </w:r>
      <w:r>
        <w:rPr>
          <w:i/>
          <w:iCs/>
        </w:rPr>
        <w:t xml:space="preserve"> </w:t>
      </w:r>
      <w:r>
        <w:rPr>
          <w:i/>
          <w:iCs/>
        </w:rPr>
        <w:t xml:space="preserve">Передаются на комбинирование по правилу Демпстера.</w:t>
      </w:r>
    </w:p>
    <w:p>
      <w:pPr>
        <w:pStyle w:val="BodyText"/>
      </w:pPr>
      <w:r>
        <w:rPr>
          <w:b/>
          <w:bCs/>
        </w:rPr>
        <w:t xml:space="preserve">Слайд 2. Комбинирование и принятие решения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Шаг 4. Коэффициент конфликта и правило Демпстера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⋅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{</m:t>
              </m:r>
              <m:r>
                <m:t>F</m:t>
              </m:r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{</m:t>
              </m:r>
              <m:r>
                <m:t>F</m:t>
              </m:r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⋅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}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∩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</m:e>
                    </m:mr>
                    <m:m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rPr>
                            <m:sty m:val="p"/>
                          </m:rPr>
                          <m:t>∅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K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τ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m</m:t>
              </m:r>
            </m:e>
            <m:sub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⊕</m:t>
          </m:r>
          <m:sSubSup>
            <m:e>
              <m:r>
                <m:t>m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p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⊕</m:t>
          </m:r>
          <m:sSubSup>
            <m:e>
              <m:r>
                <m:t>m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c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Шаг 5. Пигнистическая вероятность и дефицит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t</m:t>
          </m:r>
          <m:r>
            <m:rPr>
              <m:sty m:val="p"/>
            </m:rPr>
            <m:t>P</m:t>
          </m:r>
          <m:r>
            <m:rPr>
              <m:sty m:val="p"/>
            </m:rPr>
            <m:t>=</m:t>
          </m:r>
          <m:sSup>
            <m:e>
              <m:r>
                <m:t>m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r>
            <m:rPr>
              <m:sty m:val="p"/>
            </m:rPr>
            <m:t>=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t</m:t>
          </m:r>
          <m:r>
            <m:rPr>
              <m:sty m:val="p"/>
            </m:rPr>
            <m:t>P</m:t>
          </m:r>
          <m:r>
            <m:rPr>
              <m:sty m:val="p"/>
            </m:rPr>
            <m:t>−</m:t>
          </m:r>
          <m:r>
            <m:t>σ</m:t>
          </m:r>
        </m:oMath>
      </m:oMathPara>
    </w:p>
    <w:p>
      <w:pPr>
        <w:pStyle w:val="FirstParagraph"/>
      </w:pP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— текущая обеспеченность кластера по РПД/учебному плану.</w:t>
      </w:r>
    </w:p>
    <w:p>
      <w:pPr>
        <w:pStyle w:val="BodyText"/>
      </w:pPr>
      <w:r>
        <w:rPr>
          <w:b/>
          <w:bCs/>
        </w:rPr>
        <w:t xml:space="preserve">Шаг 6. Правила принятия решений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Δ</m:t>
                  </m:r>
                </m:sub>
              </m:sSub>
              <m:r>
                <m:t> </m:t>
              </m:r>
              <m:r>
                <m:rPr>
                  <m:sty m:val="p"/>
                </m:rPr>
                <m:t>∧</m:t>
              </m:r>
              <m:r>
                <m:t> </m:t>
              </m:r>
              <m:r>
                <m:t>K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τ</m:t>
                  </m:r>
                </m:e>
                <m:sub>
                  <m:r>
                    <m:t>K</m:t>
                  </m:r>
                </m:sub>
              </m:sSub>
              <m:r>
                <m:t> </m:t>
              </m:r>
              <m:r>
                <m:rPr>
                  <m:sty m:val="p"/>
                </m:rPr>
                <m:t>∧</m:t>
              </m:r>
              <m:r>
                <m:t> 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Θ</m:t>
                  </m:r>
                </m:sub>
              </m:sSub>
              <m:r>
                <m:t>&amp;</m:t>
              </m:r>
              <m:r>
                <m:t> </m:t>
              </m:r>
              <m:r>
                <m:rPr>
                  <m:sty m:val="p"/>
                </m:rPr>
                <m:t>⇒</m:t>
              </m:r>
              <m:r>
                <m:t> </m:t>
              </m:r>
              <m:r>
                <m:rPr>
                  <m:nor/>
                  <m:sty m:val="b"/>
                </m:rPr>
                <m:t>УСИЛИТЬ</m:t>
              </m:r>
            </m:e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Δ</m:t>
                  </m:r>
                </m:sub>
              </m:sSub>
              <m:r>
                <m:t> </m:t>
              </m:r>
              <m:r>
                <m:rPr>
                  <m:sty m:val="p"/>
                </m:rPr>
                <m:t>∧</m:t>
              </m:r>
              <m:r>
                <m:t> 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&gt;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 </m:t>
                  </m:r>
                  <m:r>
                    <m:rPr>
                      <m:sty m:val="p"/>
                    </m:rPr>
                    <m:t>∨</m:t>
                  </m:r>
                  <m:r>
                    <m:t> 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&gt;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m:t>Θ</m:t>
                      </m:r>
                    </m:sub>
                  </m:sSub>
                </m:e>
              </m:d>
              <m:r>
                <m:t>&amp;</m:t>
              </m:r>
              <m:r>
                <m:t> </m:t>
              </m:r>
              <m:r>
                <m:rPr>
                  <m:sty m:val="p"/>
                </m:rPr>
                <m:t>⇒</m:t>
              </m:r>
              <m:r>
                <m:t> </m:t>
              </m:r>
              <m:r>
                <m:rPr>
                  <m:nor/>
                  <m:sty m:val="b"/>
                </m:rPr>
                <m:t>ВАРИАТИВНОСТЬ</m:t>
              </m:r>
            </m:e>
            <m:e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Δ</m:t>
                  </m:r>
                </m:sub>
              </m:sSub>
              <m:r>
                <m:t>&amp;</m:t>
              </m:r>
              <m:r>
                <m:t> </m:t>
              </m:r>
              <m:r>
                <m:rPr>
                  <m:sty m:val="p"/>
                </m:rPr>
                <m:t>⇒</m:t>
              </m:r>
              <m:r>
                <m:t> </m:t>
              </m:r>
              <m:r>
                <m:rPr>
                  <m:nor/>
                  <m:sty m:val="b"/>
                </m:rPr>
                <m:t>СТАБИЛИЗИРОВАТЬ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t>τ</m:t>
            </m:r>
          </m:e>
          <m:sub>
            <m:r>
              <m:rPr>
                <m:sty m:val="p"/>
              </m:rPr>
              <m:t>Δ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15</m:t>
        </m:r>
      </m:oMath>
      <w:r>
        <w:t xml:space="preserve">;</w:t>
      </w:r>
      <w:r>
        <w:t xml:space="preserve"> </w:t>
      </w:r>
      <m:oMath>
        <m:sSub>
          <m:e>
            <m:r>
              <m:t>τ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40</m:t>
        </m:r>
      </m:oMath>
      <w:r>
        <w:t xml:space="preserve">;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15</m:t>
        </m:r>
      </m:oMath>
      <w:r>
        <w:t xml:space="preserve">;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Выход: рекомендация — УСИЛИТЬ / ВАРИАТИВНОСТЬ /</w:t>
      </w:r>
      <w:r>
        <w:rPr>
          <w:i/>
          <w:iCs/>
        </w:rPr>
        <w:t xml:space="preserve"> </w:t>
      </w:r>
      <w:r>
        <w:rPr>
          <w:i/>
          <w:iCs/>
        </w:rPr>
        <w:t xml:space="preserve">СТАБИЛИЗИРОВАТЬ / СОКРАТИТЬ.</w:t>
      </w:r>
      <w:r>
        <w:rPr>
          <w:i/>
          <w:iCs/>
        </w:rPr>
        <w:t xml:space="preserve"> </w:t>
      </w:r>
      <w:r>
        <w:rPr>
          <w:i/>
          <w:iCs/>
        </w:rPr>
        <w:t xml:space="preserve">При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τ</m:t>
            </m:r>
          </m:e>
          <m:sub>
            <m:r>
              <m:t>K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возможно переключение на правило Ягера</w:t>
      </w:r>
      <w:r>
        <w:rPr>
          <w:i/>
          <w:iCs/>
        </w:rPr>
        <w:t xml:space="preserve"> </w:t>
      </w:r>
      <w:r>
        <w:rPr>
          <w:i/>
          <w:iCs/>
        </w:rPr>
        <w:t xml:space="preserve">(конфликтная масса переходит на</w:t>
      </w:r>
      <w:r>
        <w:rPr>
          <w:i/>
          <w:iCs/>
        </w:rPr>
        <w:t xml:space="preserve"> </w:t>
      </w:r>
      <m:oMath>
        <m:r>
          <m:rPr>
            <m:sty m:val="p"/>
          </m:rPr>
          <m:t>Θ</m:t>
        </m:r>
      </m:oMath>
      <w:r>
        <w:rPr>
          <w:i/>
          <w:iCs/>
        </w:rPr>
        <w:t xml:space="preserve">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2026-06-22T23:35:22Z</dcterms:created>
  <dcterms:modified xsi:type="dcterms:W3CDTF">2026-06-22T23:35:22Z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