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Сценарий пятиминутной защиты</w:t>
      </w:r>
    </w:p>
    <w:p>
      <w:pPr>
        <w:spacing w:after="240"/>
      </w:pPr>
      <w:r>
        <w:t>Текст синхронизирован с актуальной презентацией из девяти слайдов. Основной рассказ рассчитан примерно на четыре минуты, остаток оставлен для переходов и вопросов. Оценка времени ориентировочная и не выдаётся за результат репетиции.</w:t>
      </w:r>
    </w:p>
    <w:p>
      <w:pPr>
        <w:pStyle w:val="Heading1"/>
      </w:pPr>
      <w:r>
        <w:t>1. Тьюринг под лупой</w:t>
      </w:r>
    </w:p>
    <w:p>
      <w:r>
        <w:t>Представляю проектное занятие для 11 класса по информатике и математике. За два урока команды создают диагностический маршрут выбора способа решения.</w:t>
      </w:r>
    </w:p>
    <w:p>
      <w:r>
        <w:rPr>
          <w:b/>
        </w:rPr>
        <w:t xml:space="preserve">Сокращённо: </w:t>
      </w:r>
      <w:r>
        <w:t>Цель — готовый маршрут выбора стратегии.</w:t>
      </w:r>
    </w:p>
    <w:p>
      <w:pPr>
        <w:pStyle w:val="Heading1"/>
      </w:pPr>
      <w:r>
        <w:t>2. Учебная проблема</w:t>
      </w:r>
    </w:p>
    <w:p>
      <w:r>
        <w:t>Полная трассировка полезна, но на длинной ленте увеличивает время и риск счётной ошибки. Ученик должен понимать, когда достаточно проверить цикл и перейти к анализу.</w:t>
      </w:r>
    </w:p>
    <w:p>
      <w:r>
        <w:rPr>
          <w:b/>
        </w:rPr>
        <w:t xml:space="preserve">Сокращённо: </w:t>
      </w:r>
      <w:r>
        <w:t>Проблема — осознанный выбор способа.</w:t>
      </w:r>
    </w:p>
    <w:p>
      <w:pPr>
        <w:pStyle w:val="Heading1"/>
      </w:pPr>
      <w:r>
        <w:t>3. Продукт ученика</w:t>
      </w:r>
    </w:p>
    <w:p>
      <w:r>
        <w:t>Маршрут различает полную трассировку, несколько проверочных шагов с анализом и аналитическое решение. Он включает примеры, карту ошибок и проверку другой командой.</w:t>
      </w:r>
    </w:p>
    <w:p>
      <w:r>
        <w:rPr>
          <w:b/>
        </w:rPr>
        <w:t xml:space="preserve">Сокращённо: </w:t>
      </w:r>
      <w:r>
        <w:t>Продукт — диагностический маршрут.</w:t>
      </w:r>
    </w:p>
    <w:p>
      <w:pPr>
        <w:pStyle w:val="Heading1"/>
      </w:pPr>
      <w:r>
        <w:t>4. Два урока</w:t>
      </w:r>
    </w:p>
    <w:p>
      <w:r>
        <w:t>Пять этапов занимают 10, 20, 15, 30 и 15 минут. В расписании есть входной мини-тест, обязательный кейс, перекрёстная проверка и индивидуальный КИМ.</w:t>
      </w:r>
    </w:p>
    <w:p>
      <w:r>
        <w:rPr>
          <w:b/>
        </w:rPr>
        <w:t xml:space="preserve">Сокращённо: </w:t>
      </w:r>
      <w:r>
        <w:t>Два урока содержат все обязательные процедуры.</w:t>
      </w:r>
    </w:p>
    <w:p>
      <w:pPr>
        <w:pStyle w:val="Heading1"/>
      </w:pPr>
      <w:r>
        <w:t>5. Контролируемая пара</w:t>
      </w:r>
    </w:p>
    <w:p>
      <w:r>
        <w:t>Попытка 1 свободная и показывает исходный способ. Эксперимент сравнивает только попытки 2 и 3: полную трассировку и четыре проверочных шага с последующим анализом.</w:t>
      </w:r>
    </w:p>
    <w:p>
      <w:r>
        <w:rPr>
          <w:b/>
        </w:rPr>
        <w:t xml:space="preserve">Сокращённо: </w:t>
      </w:r>
      <w:r>
        <w:t>Сравниваются только попытки 2 и 3.</w:t>
      </w:r>
    </w:p>
    <w:p>
      <w:pPr>
        <w:pStyle w:val="Heading1"/>
      </w:pPr>
      <w:r>
        <w:t>6. Материалы</w:t>
      </w:r>
    </w:p>
    <w:p>
      <w:r>
        <w:t>Комплект включает рабочий лист, карточки пары, резерв без компьютера, проектное задание, шаблон и заполненный пример маршрута, рубрикатор и КИМы.</w:t>
      </w:r>
    </w:p>
    <w:p>
      <w:r>
        <w:rPr>
          <w:b/>
        </w:rPr>
        <w:t xml:space="preserve">Сокращённо: </w:t>
      </w:r>
      <w:r>
        <w:t>Материалы готовы к проведению.</w:t>
      </w:r>
    </w:p>
    <w:p>
      <w:pPr>
        <w:pStyle w:val="Heading1"/>
      </w:pPr>
      <w:r>
        <w:t>7. Оценивание</w:t>
      </w:r>
    </w:p>
    <w:p>
      <w:r>
        <w:t>Пять критериев дают до 15 баллов, но обязательные условия принятия важнее суммы. Перенос на КИМ требует верного ответа, объяснения цикла и остатка без подсказок.</w:t>
      </w:r>
    </w:p>
    <w:p>
      <w:r>
        <w:rPr>
          <w:b/>
        </w:rPr>
        <w:t xml:space="preserve">Сокращённо: </w:t>
      </w:r>
      <w:r>
        <w:t>Баллы не отменяют обязательные условия.</w:t>
      </w:r>
    </w:p>
    <w:p>
      <w:pPr>
        <w:pStyle w:val="Heading1"/>
      </w:pPr>
      <w:r>
        <w:t>8. Роль тренажёра и ИИ</w:t>
      </w:r>
    </w:p>
    <w:p>
      <w:r>
        <w:t>Тренажёр служит исследовательским стендом. Обязательный кейс выполняют все. ИИ необязателен; использованное утверждение проверяют по таблице и дополнительному примеру.</w:t>
      </w:r>
    </w:p>
    <w:p>
      <w:r>
        <w:rPr>
          <w:b/>
        </w:rPr>
        <w:t xml:space="preserve">Сокращённо: </w:t>
      </w:r>
      <w:r>
        <w:t>Тренажёр поддерживает исследование; ИИ необязателен.</w:t>
      </w:r>
    </w:p>
    <w:p>
      <w:pPr>
        <w:pStyle w:val="Heading1"/>
      </w:pPr>
      <w:r>
        <w:t>9. Готовность и границы</w:t>
      </w:r>
    </w:p>
    <w:p>
      <w:r>
        <w:t>Готовы тренажёр и перечисленные материалы. Целевые проценты относятся к будущему проведению. Мы не заявляем апробацию, публикацию ученических продуктов или публичный адрес.</w:t>
      </w:r>
    </w:p>
    <w:p>
      <w:r>
        <w:rPr>
          <w:b/>
        </w:rPr>
        <w:t xml:space="preserve">Сокращённо: </w:t>
      </w:r>
      <w:r>
        <w:t>Готовность подтверждается файлами, а не придуманными результатами.</w:t>
      </w:r>
    </w:p>
    <w:p>
      <w:pPr>
        <w:pStyle w:val="Heading1"/>
      </w:pPr>
      <w:r>
        <w:t>Ответы на вопросы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</w:trPr>
        <w:tc>
          <w:tcPr>
            <w:tcW w:type="dxa" w:w="498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Вопрос</w:t>
            </w:r>
          </w:p>
        </w:tc>
        <w:tc>
          <w:tcPr>
            <w:tcW w:type="dxa" w:w="498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Ответ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Что сравнивают?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Только контролируемую пару попыток 2 и 3.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Доказана ли эффективность метода?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Нет. Две попытки дают учебное наблюдение, а не строгое доказательство.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Обязателен ли ИИ?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Нет. Обязателен практический кейс; ИИ при использовании проверяется.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Была ли апробация?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В материалах нет заявления о проведённой апробации; метрики целевые.</w:t>
            </w:r>
          </w:p>
        </w:tc>
      </w:tr>
    </w:tbl>
    <w:p/>
    <w:p>
      <w:pPr>
        <w:pStyle w:val="Heading1"/>
      </w:pPr>
      <w:r>
        <w:t>Инструкция демонстрации</w:t>
      </w:r>
    </w:p>
    <w:p>
      <w:pPr>
        <w:pStyle w:val="ListBullet"/>
      </w:pPr>
      <w:r>
        <w:t>На слайде 5 кратко показать различие свободной попытки и контролируемой пары.</w:t>
      </w:r>
    </w:p>
    <w:p>
      <w:pPr>
        <w:pStyle w:val="ListBullet"/>
      </w:pPr>
      <w:r>
        <w:t>На слайде 6 назвать файлы, которые реально видны в составе комплекта.</w:t>
      </w:r>
    </w:p>
    <w:p>
      <w:pPr>
        <w:pStyle w:val="ListBullet"/>
      </w:pPr>
      <w:r>
        <w:t>На слайде 8 при наличии времени открыть лендинг и раздел материалов.</w:t>
      </w:r>
    </w:p>
    <w:p>
      <w:pPr>
        <w:pStyle w:val="ListBullet"/>
      </w:pPr>
      <w:r>
        <w:t>Не запускать длинную трассировку во время защиты.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TuringTrainer · учебный комплект · 11 класс · 2 × 45 минут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