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Шаблон диагностического маршрута</w:t>
      </w:r>
    </w:p>
    <w:p>
      <w:pPr>
        <w:spacing w:after="240"/>
      </w:pPr>
      <w:r>
        <w:t>Заполните маршрут так, чтобы другая команда могла выбрать способ решения и проверить себя без устных пояснений авторов.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249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Если в задаче видно</w:t>
            </w:r>
          </w:p>
        </w:tc>
        <w:tc>
          <w:tcPr>
            <w:tcW w:type="dxa" w:w="249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Выбрать способ</w:t>
            </w:r>
          </w:p>
        </w:tc>
        <w:tc>
          <w:tcPr>
            <w:tcW w:type="dxa" w:w="249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Действия</w:t>
            </w:r>
          </w:p>
        </w:tc>
        <w:tc>
          <w:tcPr>
            <w:tcW w:type="dxa" w:w="249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Контроль результата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Полная трассировка</w:t>
            </w:r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/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Несколько проверочных шагов и анализ</w:t>
            </w:r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/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/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Аналитическое решение</w:t>
            </w:r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</w:tbl>
    <w:p/>
    <w:p>
      <w:pPr>
        <w:pStyle w:val="Heading1"/>
      </w:pPr>
      <w:r>
        <w:t>Правило и примеры</w:t>
      </w:r>
    </w:p>
    <w:p>
      <w:r>
        <w:t>Основное правило: 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/>
        </w:trPr>
        <w:tc>
          <w:tcPr>
            <w:tcW w:type="dxa" w:w="249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Пример</w:t>
            </w:r>
          </w:p>
        </w:tc>
        <w:tc>
          <w:tcPr>
            <w:tcW w:type="dxa" w:w="249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Исходные данные</w:t>
            </w:r>
          </w:p>
        </w:tc>
        <w:tc>
          <w:tcPr>
            <w:tcW w:type="dxa" w:w="249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Решение</w:t>
            </w:r>
          </w:p>
        </w:tc>
        <w:tc>
          <w:tcPr>
            <w:tcW w:type="dxa" w:w="2493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Ответ</w:t>
            </w:r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Обычный</w:t>
            </w:r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>
              <w:t>Граничный</w:t>
            </w:r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/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/>
          </w:p>
        </w:tc>
        <w:tc>
          <w:tcPr>
            <w:tcW w:type="dxa" w:w="249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/>
          </w:p>
        </w:tc>
      </w:tr>
    </w:tbl>
    <w:p/>
    <w:p>
      <w:pPr>
        <w:pStyle w:val="Heading1"/>
      </w:pPr>
      <w:r>
        <w:t>Ошибки и исправления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</w:trPr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Ошибка</w:t>
            </w:r>
          </w:p>
        </w:tc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Как распознать</w:t>
            </w:r>
          </w:p>
        </w:tc>
        <w:tc>
          <w:tcPr>
            <w:tcW w:type="dxa" w:w="3324"/>
            <w:shd w:fill="1F4E7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Что сделать</w:t>
            </w:r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/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/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4F7FA"/>
          </w:tcPr>
          <w:p>
            <w:r/>
          </w:p>
        </w:tc>
      </w:tr>
      <w:tr>
        <w:trPr>
          <w:cantSplit/>
        </w:trPr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  <w:tc>
          <w:tcPr>
            <w:tcW w:type="dxa" w:w="332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</w:p>
        </w:tc>
      </w:tr>
    </w:tbl>
    <w:p/>
    <w:p>
      <w:pPr>
        <w:pStyle w:val="Heading1"/>
      </w:pPr>
      <w:r>
        <w:t>Данные и проверка</w:t>
      </w:r>
    </w:p>
    <w:p>
      <w:pPr>
        <w:pStyle w:val="ListBullet"/>
      </w:pPr>
      <w:r>
        <w:t>Источник данных и условия контролируемой пары указаны.</w:t>
      </w:r>
    </w:p>
    <w:p>
      <w:pPr>
        <w:pStyle w:val="ListBullet"/>
      </w:pPr>
      <w:r>
        <w:t>Есть результат проверки другой командой.</w:t>
      </w:r>
    </w:p>
    <w:p>
      <w:pPr>
        <w:pStyle w:val="ListBullet"/>
      </w:pPr>
      <w:r>
        <w:t>Источники перечислены; использование ИИ отмечено и при необходимости проверено.</w:t>
      </w:r>
    </w:p>
    <w:p>
      <w:pPr>
        <w:pStyle w:val="ListBullet"/>
      </w:pPr>
      <w:r>
        <w:t>Каждый участник может объяснить свой вклад.</w:t>
      </w:r>
    </w:p>
    <w:sectPr w:rsidR="00FC693F" w:rsidRPr="0006063C" w:rsidSect="00034616">
      <w:footerReference w:type="default" r:id="rId9"/>
      <w:pgSz w:w="12240" w:h="15840"/>
      <w:pgMar w:top="737" w:right="1134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TuringTrainer · учебный комплект · 11 класс · 2 × 45 минут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