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обработки клиентских запросов 2025</w:t>
      </w:r>
    </w:p>
    <w:p>
      <w:r>
        <w:t>Год документа: 2025</w:t>
      </w:r>
    </w:p>
    <w:p>
      <w:r>
        <w:t>Категории: регламент, клиентские запросы</w:t>
      </w:r>
    </w:p>
    <w:p>
      <w:r>
        <w:t>Синтетический документ для проверки RAG по клиентским запросам.</w:t>
      </w:r>
    </w:p>
    <w:p>
      <w:pPr>
        <w:pStyle w:val="Heading1"/>
      </w:pPr>
      <w:r>
        <w:t>Прием запроса</w:t>
      </w:r>
    </w:p>
    <w:p>
      <w:r>
        <w:t>Клиентский запрос регистрируется в журнале обращений в течение 15 минут после поступления.</w:t>
      </w:r>
    </w:p>
    <w:p>
      <w:r>
        <w:t>Оператор обязан присвоить обращению уникальный номер и указать канал поступления: портал, электронная почта или телефон.</w:t>
      </w:r>
    </w:p>
    <w:p>
      <w:r>
        <w:t>Если запрос содержит персональные данные, оператор применяет режим ограниченного доступа до завершения идентификации заявителя.</w:t>
      </w:r>
    </w:p>
    <w:p>
      <w:pPr>
        <w:pStyle w:val="Heading1"/>
      </w:pPr>
      <w:r>
        <w:t>Идентификация заявителя</w:t>
      </w:r>
    </w:p>
    <w:p>
      <w:r>
        <w:t>Идентификация заявителя выполняется по двум независимым признакам: номеру договора и одноразовому коду подтверждения.</w:t>
      </w:r>
    </w:p>
    <w:p>
      <w:r>
        <w:t>Если один из признаков не подтвержден, ответ по существу запроса не предоставляется.</w:t>
      </w:r>
    </w:p>
    <w:p>
      <w:r>
        <w:t>Повторная идентификация требуется при изменении канала связи или при запросе сведений кредитной истории.</w:t>
      </w:r>
    </w:p>
    <w:p>
      <w:pPr>
        <w:pStyle w:val="Heading1"/>
      </w:pPr>
      <w:r>
        <w:t>Сроки подготовки ответа</w:t>
      </w:r>
    </w:p>
    <w:p>
      <w:r>
        <w:t>Стандартный срок подготовки ответа на клиентский запрос составляет три рабочих дня.</w:t>
      </w:r>
    </w:p>
    <w:p>
      <w:r>
        <w:t>Сложный запрос может быть продлен до десяти рабочих дней по решению руководителя группы.</w:t>
      </w:r>
    </w:p>
    <w:p>
      <w:r>
        <w:t>Факт продления и причина продления фиксируются в журнале обращений.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