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36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2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№5</w:t>
      </w:r>
    </w:p>
    <w:p>
      <w:pPr>
        <w:pStyle w:val="Subtitle"/>
      </w:pPr>
      <w:r>
        <w:t xml:space="preserve">Менеджер паролей pass и управление файлами конфигурации с помощью chezmoi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лабораторной работы — знакомство с менеджером паролей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изучение принципов хранения и организации базы паролей, а также освоение утилиты</w:t>
      </w:r>
      <w:r>
        <w:t xml:space="preserve"> </w:t>
      </w:r>
      <w:r>
        <w:rPr>
          <w:rStyle w:val="VerbatimChar"/>
        </w:rPr>
        <w:t xml:space="preserve">chezmoi</w:t>
      </w:r>
      <w:r>
        <w:t xml:space="preserve"> </w:t>
      </w:r>
      <w:r>
        <w:t xml:space="preserve">для управления конфигурационными файлами и настройки рабочей среды на нескольких машинах.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основные свойства менеджера паролей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Рассмотреть структуру и семантическую организацию базы паролей.</w:t>
      </w:r>
    </w:p>
    <w:p>
      <w:pPr>
        <w:pStyle w:val="Compact"/>
        <w:numPr>
          <w:ilvl w:val="0"/>
          <w:numId w:val="1001"/>
        </w:numPr>
      </w:pPr>
      <w:r>
        <w:t xml:space="preserve">Ознакомится с реализациями и интерфейсами для работы с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Установить и настроить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Настроить взаимодействие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с браузеромю</w:t>
      </w:r>
    </w:p>
    <w:p>
      <w:pPr>
        <w:pStyle w:val="Compact"/>
        <w:numPr>
          <w:ilvl w:val="0"/>
          <w:numId w:val="1001"/>
        </w:numPr>
      </w:pPr>
      <w:r>
        <w:t xml:space="preserve">Установить и настроить</w:t>
      </w:r>
      <w:r>
        <w:t xml:space="preserve"> </w:t>
      </w:r>
      <w:r>
        <w:rPr>
          <w:rStyle w:val="VerbatimChar"/>
        </w:rPr>
        <w:t xml:space="preserve">chezmoi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Создать собственный репозиторий конфигурационных файлов.</w:t>
      </w:r>
    </w:p>
    <w:p>
      <w:pPr>
        <w:pStyle w:val="Compact"/>
        <w:numPr>
          <w:ilvl w:val="0"/>
          <w:numId w:val="1001"/>
        </w:numPr>
      </w:pPr>
      <w:r>
        <w:t xml:space="preserve">Освоить использование</w:t>
      </w:r>
      <w:r>
        <w:t xml:space="preserve"> </w:t>
      </w:r>
      <w:r>
        <w:rPr>
          <w:rStyle w:val="VerbatimChar"/>
        </w:rPr>
        <w:t xml:space="preserve">chezmoi</w:t>
      </w:r>
      <w:r>
        <w:t xml:space="preserve"> </w:t>
      </w:r>
      <w:r>
        <w:t xml:space="preserve">на нескольких машинах.</w:t>
      </w:r>
    </w:p>
    <w:bookmarkEnd w:id="21"/>
    <w:bookmarkStart w:id="31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5" w:name="менеджер-паролей-pass"/>
    <w:p>
      <w:pPr>
        <w:pStyle w:val="Heading2"/>
      </w:pPr>
      <w:r>
        <w:t xml:space="preserve">3.1 Менеджер паролей pass</w:t>
      </w:r>
    </w:p>
    <w:p>
      <w:pPr>
        <w:pStyle w:val="FirstParagraph"/>
      </w:pPr>
      <w:r>
        <w:t xml:space="preserve">Менеджер паролей pass — это программа, выполненная в рамках идеологии Unix. Также её называют стандартным менеджером паролей для Unix.</w:t>
      </w:r>
    </w:p>
    <w:bookmarkStart w:id="22" w:name="основные-свойства"/>
    <w:p>
      <w:pPr>
        <w:pStyle w:val="Heading3"/>
      </w:pPr>
      <w:r>
        <w:t xml:space="preserve">3.1.1 Основные свойства</w:t>
      </w:r>
    </w:p>
    <w:p>
      <w:pPr>
        <w:pStyle w:val="Compact"/>
        <w:numPr>
          <w:ilvl w:val="0"/>
          <w:numId w:val="1002"/>
        </w:numPr>
      </w:pPr>
      <w:r>
        <w:t xml:space="preserve">данные хранятся в файловой системе в виде каталогов и файлов;</w:t>
      </w:r>
    </w:p>
    <w:p>
      <w:pPr>
        <w:pStyle w:val="Compact"/>
        <w:numPr>
          <w:ilvl w:val="0"/>
          <w:numId w:val="1002"/>
        </w:numPr>
      </w:pPr>
      <w:r>
        <w:t xml:space="preserve">файлы шифруются с помощью GPG-ключа;</w:t>
      </w:r>
    </w:p>
    <w:p>
      <w:pPr>
        <w:pStyle w:val="Compact"/>
        <w:numPr>
          <w:ilvl w:val="0"/>
          <w:numId w:val="1002"/>
        </w:numPr>
      </w:pPr>
      <w:r>
        <w:t xml:space="preserve">хранилище имеет простую и прозрачную структуру;</w:t>
      </w:r>
    </w:p>
    <w:p>
      <w:pPr>
        <w:pStyle w:val="Compact"/>
        <w:numPr>
          <w:ilvl w:val="0"/>
          <w:numId w:val="1002"/>
        </w:numPr>
      </w:pPr>
      <w:r>
        <w:t xml:space="preserve">возможна синхронизация с git-репозиторием;</w:t>
      </w:r>
    </w:p>
    <w:p>
      <w:pPr>
        <w:pStyle w:val="Compact"/>
        <w:numPr>
          <w:ilvl w:val="0"/>
          <w:numId w:val="1002"/>
        </w:numPr>
      </w:pPr>
      <w:r>
        <w:t xml:space="preserve">программу можно использовать как напрямую из терминала, так и через дополнительные интерфейсы.</w:t>
      </w:r>
    </w:p>
    <w:bookmarkEnd w:id="22"/>
    <w:bookmarkStart w:id="23" w:name="структура-базы-паролей"/>
    <w:p>
      <w:pPr>
        <w:pStyle w:val="Heading3"/>
      </w:pPr>
      <w:r>
        <w:t xml:space="preserve">3.1.2 Структура базы паролей</w:t>
      </w:r>
    </w:p>
    <w:p>
      <w:pPr>
        <w:pStyle w:val="FirstParagraph"/>
      </w:pPr>
      <w:r>
        <w:t xml:space="preserve">Структура базы паролей может быть произвольной, если пользователь работает с ней напрямую, без промежуточного программного обеспечения. В этом случае смысл организации файлов пользователь определяет самостоятельно.</w:t>
      </w:r>
    </w:p>
    <w:p>
      <w:pPr>
        <w:pStyle w:val="BodyText"/>
      </w:pPr>
      <w:r>
        <w:t xml:space="preserve">Если же требуется использование дополнительного программного обеспечения, например браузерного расширения или графического интерфейса, то семантика должна быть заложена в структуру базы паролей.</w:t>
      </w:r>
    </w:p>
    <w:bookmarkEnd w:id="23"/>
    <w:bookmarkStart w:id="24" w:name="семантическая-структура-базы-паролей"/>
    <w:p>
      <w:pPr>
        <w:pStyle w:val="Heading3"/>
      </w:pPr>
      <w:r>
        <w:t xml:space="preserve">3.1.3 Семантическая структура базы паролей</w:t>
      </w:r>
    </w:p>
    <w:p>
      <w:pPr>
        <w:pStyle w:val="FirstParagraph"/>
      </w:pPr>
      <w:r>
        <w:t xml:space="preserve">Для пользователя user в домене example.com и на порту 22 могут использоваться различные варианты именования файлов.</w:t>
      </w:r>
    </w:p>
    <w:p>
      <w:pPr>
        <w:pStyle w:val="BodyText"/>
      </w:pPr>
      <w:r>
        <w:t xml:space="preserve">Если имя пользователя или порт не указаны, считается, что совпадение возможно с любым именем пользователя и портом:</w:t>
      </w:r>
    </w:p>
    <w:p>
      <w:pPr>
        <w:pStyle w:val="SourceCode"/>
      </w:pPr>
      <w:r>
        <w:rPr>
          <w:rStyle w:val="VerbatimChar"/>
        </w:rPr>
        <w:t xml:space="preserve">example.com.pgp</w:t>
      </w:r>
    </w:p>
    <w:p>
      <w:pPr>
        <w:pStyle w:val="FirstParagraph"/>
      </w:pPr>
      <w:r>
        <w:t xml:space="preserve">Имя пользователя может быть оформлено как имя файла внутри каталога хоста:</w:t>
      </w:r>
    </w:p>
    <w:p>
      <w:pPr>
        <w:pStyle w:val="SourceCode"/>
      </w:pPr>
      <w:r>
        <w:rPr>
          <w:rStyle w:val="VerbatimChar"/>
        </w:rPr>
        <w:t xml:space="preserve">example.com/user.pgp</w:t>
      </w:r>
    </w:p>
    <w:p>
      <w:pPr>
        <w:pStyle w:val="FirstParagraph"/>
      </w:pPr>
      <w:r>
        <w:t xml:space="preserve">Имя пользователя также может быть указано как префикс перед именем хоста:</w:t>
      </w:r>
    </w:p>
    <w:p>
      <w:pPr>
        <w:pStyle w:val="SourceCode"/>
      </w:pPr>
      <w:r>
        <w:rPr>
          <w:rStyle w:val="VerbatimChar"/>
        </w:rPr>
        <w:t xml:space="preserve">user@example.com.pgp</w:t>
      </w:r>
    </w:p>
    <w:p>
      <w:pPr>
        <w:pStyle w:val="FirstParagraph"/>
      </w:pPr>
      <w:r>
        <w:t xml:space="preserve">Порт может задаваться после имени хоста через двоеточие:</w:t>
      </w:r>
    </w:p>
    <w:p>
      <w:pPr>
        <w:pStyle w:val="SourceCode"/>
      </w:pPr>
      <w:r>
        <w:rPr>
          <w:rStyle w:val="VerbatimChar"/>
        </w:rPr>
        <w:t xml:space="preserve">example.com:22.pgp</w:t>
      </w:r>
      <w:r>
        <w:br/>
      </w:r>
      <w:r>
        <w:rPr>
          <w:rStyle w:val="VerbatimChar"/>
        </w:rPr>
        <w:t xml:space="preserve">example.com:22/user.pgp</w:t>
      </w:r>
      <w:r>
        <w:br/>
      </w:r>
      <w:r>
        <w:rPr>
          <w:rStyle w:val="VerbatimChar"/>
        </w:rPr>
        <w:t xml:space="preserve">user@example.com:22.pgp</w:t>
      </w:r>
    </w:p>
    <w:p>
      <w:pPr>
        <w:pStyle w:val="FirstParagraph"/>
      </w:pPr>
      <w:r>
        <w:t xml:space="preserve">Все такие записи могут находиться в произвольных каталогах, задающих пользовательскую иерархию.</w:t>
      </w:r>
    </w:p>
    <w:bookmarkEnd w:id="24"/>
    <w:bookmarkEnd w:id="25"/>
    <w:bookmarkStart w:id="30" w:name="реализации"/>
    <w:p>
      <w:pPr>
        <w:pStyle w:val="Heading2"/>
      </w:pPr>
      <w:r>
        <w:t xml:space="preserve">3.2 Реализации</w:t>
      </w:r>
    </w:p>
    <w:bookmarkStart w:id="26" w:name="утилиты-командной-строки"/>
    <w:p>
      <w:pPr>
        <w:pStyle w:val="Heading3"/>
      </w:pPr>
      <w:r>
        <w:t xml:space="preserve">3.2.1 Утилиты командной строки</w:t>
      </w:r>
    </w:p>
    <w:p>
      <w:pPr>
        <w:pStyle w:val="FirstParagraph"/>
      </w:pPr>
      <w:r>
        <w:t xml:space="preserve">Существует две основные реализации:</w:t>
      </w:r>
    </w:p>
    <w:p>
      <w:pPr>
        <w:pStyle w:val="Compact"/>
        <w:numPr>
          <w:ilvl w:val="0"/>
          <w:numId w:val="1003"/>
        </w:numPr>
      </w:pPr>
      <w:r>
        <w:t xml:space="preserve">pass — классическая реализация в виде shell-скриптов;</w:t>
      </w:r>
    </w:p>
    <w:p>
      <w:pPr>
        <w:pStyle w:val="Compact"/>
        <w:numPr>
          <w:ilvl w:val="0"/>
          <w:numId w:val="1003"/>
        </w:numPr>
      </w:pPr>
      <w:r>
        <w:t xml:space="preserve">gopass — реализация на языке Go с дополнительными встроенными возможностями.</w:t>
      </w:r>
    </w:p>
    <w:p>
      <w:pPr>
        <w:pStyle w:val="FirstParagraph"/>
      </w:pPr>
      <w:r>
        <w:t xml:space="preserve">В данной лабораторной работе используется программа pass, однако аналогичные действия можно выполнить и при помощи gopass.</w:t>
      </w:r>
    </w:p>
    <w:bookmarkEnd w:id="26"/>
    <w:bookmarkStart w:id="27" w:name="графические-интерфейсы"/>
    <w:p>
      <w:pPr>
        <w:pStyle w:val="Heading3"/>
      </w:pPr>
      <w:r>
        <w:t xml:space="preserve">3.2.2 Графические интерфейсы</w:t>
      </w:r>
    </w:p>
    <w:p>
      <w:pPr>
        <w:pStyle w:val="FirstParagraph"/>
      </w:pPr>
      <w:r>
        <w:t xml:space="preserve">Для работы с хранилищем паролей существуют графические интерфейсы:</w:t>
      </w:r>
    </w:p>
    <w:p>
      <w:pPr>
        <w:pStyle w:val="Compact"/>
        <w:numPr>
          <w:ilvl w:val="0"/>
          <w:numId w:val="1004"/>
        </w:numPr>
      </w:pPr>
      <w:r>
        <w:t xml:space="preserve">qtpass — может использоваться как графический интерфейс к pass или как самостоятельная программа;</w:t>
      </w:r>
    </w:p>
    <w:p>
      <w:pPr>
        <w:pStyle w:val="Compact"/>
        <w:numPr>
          <w:ilvl w:val="0"/>
          <w:numId w:val="1004"/>
        </w:numPr>
      </w:pPr>
      <w:r>
        <w:t xml:space="preserve">gopass-ui — графический интерфейс к gopass;</w:t>
      </w:r>
    </w:p>
    <w:p>
      <w:pPr>
        <w:pStyle w:val="Compact"/>
        <w:numPr>
          <w:ilvl w:val="0"/>
          <w:numId w:val="1004"/>
        </w:numPr>
      </w:pPr>
      <w:r>
        <w:t xml:space="preserve">webpass — веб-интерфейс к pass.</w:t>
      </w:r>
    </w:p>
    <w:bookmarkEnd w:id="27"/>
    <w:bookmarkStart w:id="28" w:name="приложения-для-android"/>
    <w:p>
      <w:pPr>
        <w:pStyle w:val="Heading3"/>
      </w:pPr>
      <w:r>
        <w:t xml:space="preserve">3.2.3 Приложения для Android</w:t>
      </w:r>
    </w:p>
    <w:p>
      <w:pPr>
        <w:pStyle w:val="FirstParagraph"/>
      </w:pPr>
      <w:r>
        <w:t xml:space="preserve">Для Android существуют приложения:</w:t>
      </w:r>
    </w:p>
    <w:p>
      <w:pPr>
        <w:pStyle w:val="Compact"/>
        <w:numPr>
          <w:ilvl w:val="0"/>
          <w:numId w:val="1005"/>
        </w:numPr>
      </w:pPr>
      <w:r>
        <w:t xml:space="preserve">Password Store — приложение для работы с хранилищем паролей и синхронизации через git;</w:t>
      </w:r>
    </w:p>
    <w:p>
      <w:pPr>
        <w:pStyle w:val="Compact"/>
        <w:numPr>
          <w:ilvl w:val="0"/>
          <w:numId w:val="1005"/>
        </w:numPr>
      </w:pPr>
      <w:r>
        <w:t xml:space="preserve">OpenKeychain: Easy PGP — приложение для управления PGP-ключами.</w:t>
      </w:r>
    </w:p>
    <w:bookmarkEnd w:id="28"/>
    <w:bookmarkStart w:id="29" w:name="пакеты-для-emacs"/>
    <w:p>
      <w:pPr>
        <w:pStyle w:val="Heading3"/>
      </w:pPr>
      <w:r>
        <w:t xml:space="preserve">3.2.4 Пакеты для Emacs</w:t>
      </w:r>
    </w:p>
    <w:p>
      <w:pPr>
        <w:pStyle w:val="FirstParagraph"/>
      </w:pPr>
      <w:r>
        <w:t xml:space="preserve">Для Emacs существуют пакеты:</w:t>
      </w:r>
    </w:p>
    <w:p>
      <w:pPr>
        <w:pStyle w:val="Compact"/>
        <w:numPr>
          <w:ilvl w:val="0"/>
          <w:numId w:val="1006"/>
        </w:numPr>
      </w:pPr>
      <w:r>
        <w:t xml:space="preserve">pass — основной режим для управления хранилищем и редактирования записей;</w:t>
      </w:r>
    </w:p>
    <w:p>
      <w:pPr>
        <w:pStyle w:val="Compact"/>
        <w:numPr>
          <w:ilvl w:val="0"/>
          <w:numId w:val="1006"/>
        </w:numPr>
      </w:pPr>
      <w:r>
        <w:t xml:space="preserve">helm-pass — интерфейс на базе helm;</w:t>
      </w:r>
    </w:p>
    <w:p>
      <w:pPr>
        <w:pStyle w:val="Compact"/>
        <w:numPr>
          <w:ilvl w:val="0"/>
          <w:numId w:val="1006"/>
        </w:numPr>
      </w:pPr>
      <w:r>
        <w:t xml:space="preserve">ivy-pass — интерфейс на базе ivy.</w:t>
      </w:r>
    </w:p>
    <w:bookmarkEnd w:id="29"/>
    <w:bookmarkEnd w:id="30"/>
    <w:bookmarkEnd w:id="31"/>
    <w:bookmarkStart w:id="9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96" w:name="менеджер-паролей-pass-1"/>
    <w:p>
      <w:pPr>
        <w:pStyle w:val="Heading2"/>
      </w:pPr>
      <w:r>
        <w:t xml:space="preserve">4.1 Менеджер паролей pass</w:t>
      </w:r>
    </w:p>
    <w:bookmarkStart w:id="40" w:name="установка"/>
    <w:p>
      <w:pPr>
        <w:pStyle w:val="Heading3"/>
      </w:pPr>
      <w:r>
        <w:t xml:space="preserve">4.1.1 Установка</w:t>
      </w:r>
    </w:p>
    <w:p>
      <w:pPr>
        <w:pStyle w:val="FirstParagraph"/>
      </w:pPr>
      <w:r>
        <w:t xml:space="preserve">Установил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(см.</w:t>
      </w:r>
      <w:r>
        <w:t xml:space="preserve"> </w:t>
      </w:r>
      <w:hyperlink w:anchor="fig-001">
        <w:r>
          <w:rPr>
            <w:rStyle w:val="Hyperlink"/>
          </w:rPr>
          <w:t xml:space="preserve">рис.1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1"/>
          <w:p>
            <w:pPr>
              <w:pStyle w:val="Compact"/>
              <w:jc w:val="center"/>
            </w:pPr>
            <w:r>
              <w:drawing>
                <wp:inline>
                  <wp:extent cx="3733800" cy="18052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05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pass</w:t>
            </w:r>
          </w:p>
          <w:bookmarkEnd w:id="35"/>
        </w:tc>
      </w:tr>
    </w:tbl>
    <w:p>
      <w:pPr>
        <w:pStyle w:val="BodyText"/>
      </w:pPr>
      <w:r>
        <w:t xml:space="preserve">Установил</w:t>
      </w:r>
      <w:r>
        <w:t xml:space="preserve"> </w:t>
      </w:r>
      <w:r>
        <w:rPr>
          <w:rStyle w:val="VerbatimChar"/>
        </w:rPr>
        <w:t xml:space="preserve">gopass</w:t>
      </w:r>
      <w:r>
        <w:t xml:space="preserve"> </w:t>
      </w:r>
      <w:r>
        <w:t xml:space="preserve">(см.</w:t>
      </w:r>
      <w:r>
        <w:t xml:space="preserve"> </w:t>
      </w:r>
      <w:hyperlink w:anchor="fig-002">
        <w:r>
          <w:rPr>
            <w:rStyle w:val="Hyperlink"/>
          </w:rPr>
          <w:t xml:space="preserve">рис.2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2"/>
          <w:p>
            <w:pPr>
              <w:pStyle w:val="Compact"/>
              <w:jc w:val="center"/>
            </w:pPr>
            <w:r>
              <w:drawing>
                <wp:inline>
                  <wp:extent cx="3733800" cy="1641327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41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Установка gopass</w:t>
            </w:r>
          </w:p>
          <w:bookmarkEnd w:id="39"/>
        </w:tc>
      </w:tr>
    </w:tbl>
    <w:bookmarkEnd w:id="40"/>
    <w:bookmarkStart w:id="61" w:name="настройка"/>
    <w:p>
      <w:pPr>
        <w:pStyle w:val="Heading3"/>
      </w:pPr>
      <w:r>
        <w:t xml:space="preserve">4.1.2 Настройка</w:t>
      </w:r>
    </w:p>
    <w:p>
      <w:pPr>
        <w:pStyle w:val="FirstParagraph"/>
      </w:pPr>
      <w:r>
        <w:t xml:space="preserve">Просмотрел список ключей, нашёл действующий ключ (см.</w:t>
      </w:r>
      <w:r>
        <w:t xml:space="preserve"> </w:t>
      </w:r>
      <w:hyperlink w:anchor="fig-003">
        <w:r>
          <w:rPr>
            <w:rStyle w:val="Hyperlink"/>
          </w:rPr>
          <w:t xml:space="preserve">рис.3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3"/>
          <w:p>
            <w:pPr>
              <w:pStyle w:val="Compact"/>
              <w:jc w:val="center"/>
            </w:pPr>
            <w:r>
              <w:drawing>
                <wp:inline>
                  <wp:extent cx="3733800" cy="122628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26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Просмотр списка ключей</w:t>
            </w:r>
          </w:p>
          <w:bookmarkEnd w:id="44"/>
        </w:tc>
      </w:tr>
    </w:tbl>
    <w:p>
      <w:pPr>
        <w:pStyle w:val="BodyText"/>
      </w:pPr>
      <w:r>
        <w:t xml:space="preserve">Инициализировал хранилище (см.</w:t>
      </w:r>
      <w:r>
        <w:t xml:space="preserve"> </w:t>
      </w:r>
      <w:hyperlink w:anchor="fig-004">
        <w:r>
          <w:rPr>
            <w:rStyle w:val="Hyperlink"/>
          </w:rPr>
          <w:t xml:space="preserve">рис.4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4"/>
          <w:p>
            <w:pPr>
              <w:pStyle w:val="Compact"/>
              <w:jc w:val="center"/>
            </w:pPr>
            <w:r>
              <w:drawing>
                <wp:inline>
                  <wp:extent cx="2857978" cy="344334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978" cy="3443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Инициализация хранилища</w:t>
            </w:r>
          </w:p>
          <w:bookmarkEnd w:id="48"/>
        </w:tc>
      </w:tr>
    </w:tbl>
    <w:p>
      <w:pPr>
        <w:pStyle w:val="BodyText"/>
      </w:pPr>
      <w:r>
        <w:t xml:space="preserve">Создал структуру git (см.</w:t>
      </w:r>
      <w:r>
        <w:t xml:space="preserve"> </w:t>
      </w:r>
      <w:hyperlink w:anchor="fig-005">
        <w:r>
          <w:rPr>
            <w:rStyle w:val="Hyperlink"/>
          </w:rPr>
          <w:t xml:space="preserve">рис.5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5"/>
          <w:p>
            <w:pPr>
              <w:pStyle w:val="Compact"/>
              <w:jc w:val="center"/>
            </w:pPr>
            <w:r>
              <w:drawing>
                <wp:inline>
                  <wp:extent cx="3733800" cy="8560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56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Создание структуры git</w:t>
            </w:r>
          </w:p>
          <w:bookmarkEnd w:id="52"/>
        </w:tc>
      </w:tr>
    </w:tbl>
    <w:p>
      <w:pPr>
        <w:pStyle w:val="BodyText"/>
      </w:pPr>
      <w:r>
        <w:t xml:space="preserve">Задал адрес репозитория на хостинге (см.</w:t>
      </w:r>
      <w:r>
        <w:t xml:space="preserve"> </w:t>
      </w:r>
      <w:hyperlink w:anchor="fig-006">
        <w:r>
          <w:rPr>
            <w:rStyle w:val="Hyperlink"/>
          </w:rPr>
          <w:t xml:space="preserve">рис.6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6"/>
          <w:p>
            <w:pPr>
              <w:pStyle w:val="Compact"/>
              <w:jc w:val="center"/>
            </w:pPr>
            <w:r>
              <w:drawing>
                <wp:inline>
                  <wp:extent cx="3733800" cy="90011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0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Задание адреса репозитория на хостинге</w:t>
            </w:r>
          </w:p>
          <w:bookmarkEnd w:id="56"/>
        </w:tc>
      </w:tr>
    </w:tbl>
    <w:p>
      <w:pPr>
        <w:pStyle w:val="BodyText"/>
      </w:pPr>
      <w:r>
        <w:t xml:space="preserve">Настроил интерфейс для взаимодействия с браузером (см.</w:t>
      </w:r>
      <w:r>
        <w:t xml:space="preserve"> </w:t>
      </w:r>
      <w:hyperlink w:anchor="fig-007">
        <w:r>
          <w:rPr>
            <w:rStyle w:val="Hyperlink"/>
          </w:rPr>
          <w:t xml:space="preserve">рис.7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7"/>
          <w:p>
            <w:pPr>
              <w:pStyle w:val="Compact"/>
              <w:jc w:val="center"/>
            </w:pPr>
            <w:r>
              <w:drawing>
                <wp:inline>
                  <wp:extent cx="3733800" cy="827738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277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Настройка интерфейса для взаимодействия с браузером</w:t>
            </w:r>
          </w:p>
          <w:bookmarkEnd w:id="60"/>
        </w:tc>
      </w:tr>
    </w:tbl>
    <w:bookmarkEnd w:id="61"/>
    <w:bookmarkStart w:id="66" w:name="сохранение-пароля"/>
    <w:p>
      <w:pPr>
        <w:pStyle w:val="Heading3"/>
      </w:pPr>
      <w:r>
        <w:t xml:space="preserve">4.1.3 Сохранение пароля</w:t>
      </w:r>
    </w:p>
    <w:p>
      <w:pPr>
        <w:pStyle w:val="FirstParagraph"/>
      </w:pPr>
      <w:r>
        <w:t xml:space="preserve">Добавил новый пароль (см.</w:t>
      </w:r>
      <w:r>
        <w:t xml:space="preserve"> </w:t>
      </w:r>
      <w:hyperlink w:anchor="fig-008">
        <w:r>
          <w:rPr>
            <w:rStyle w:val="Hyperlink"/>
          </w:rPr>
          <w:t xml:space="preserve">рис.8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08"/>
          <w:p>
            <w:pPr>
              <w:pStyle w:val="Compact"/>
              <w:jc w:val="center"/>
            </w:pPr>
            <w:r>
              <w:drawing>
                <wp:inline>
                  <wp:extent cx="3733800" cy="1330784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307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Добавление нового пароля</w:t>
            </w:r>
          </w:p>
          <w:bookmarkEnd w:id="65"/>
        </w:tc>
      </w:tr>
    </w:tbl>
    <w:bookmarkEnd w:id="66"/>
    <w:bookmarkStart w:id="95" w:name="дополнительное-программное-обеспечение"/>
    <w:p>
      <w:pPr>
        <w:pStyle w:val="Heading3"/>
      </w:pPr>
      <w:r>
        <w:t xml:space="preserve">4.1.4 Дополнительное программное обеспечение</w:t>
      </w:r>
    </w:p>
    <w:p>
      <w:pPr>
        <w:pStyle w:val="FirstParagraph"/>
      </w:pPr>
      <w:r>
        <w:t xml:space="preserve">Установил дополнительное программное обеспечение (см.</w:t>
      </w:r>
      <w:r>
        <w:t xml:space="preserve"> </w:t>
      </w:r>
      <w:hyperlink w:anchor="fig-009">
        <w:r>
          <w:rPr>
            <w:rStyle w:val="Hyperlink"/>
          </w:rPr>
          <w:t xml:space="preserve">рис.9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09"/>
          <w:p>
            <w:pPr>
              <w:pStyle w:val="Compact"/>
              <w:jc w:val="center"/>
            </w:pPr>
            <w:r>
              <w:drawing>
                <wp:inline>
                  <wp:extent cx="3733800" cy="349798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979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Установка дополнительного пограммного обеспечения</w:t>
            </w:r>
          </w:p>
          <w:bookmarkEnd w:id="70"/>
        </w:tc>
      </w:tr>
    </w:tbl>
    <w:p>
      <w:pPr>
        <w:pStyle w:val="BodyText"/>
      </w:pPr>
      <w:r>
        <w:t xml:space="preserve">Установил шрифты (см.</w:t>
      </w:r>
      <w:r>
        <w:t xml:space="preserve"> </w:t>
      </w:r>
      <w:hyperlink w:anchor="fig-010">
        <w:r>
          <w:rPr>
            <w:rStyle w:val="Hyperlink"/>
          </w:rPr>
          <w:t xml:space="preserve">рис.10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0"/>
          <w:p>
            <w:pPr>
              <w:pStyle w:val="Compact"/>
              <w:jc w:val="center"/>
            </w:pPr>
            <w:r>
              <w:drawing>
                <wp:inline>
                  <wp:extent cx="3733800" cy="348953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89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Установка шрифтов</w:t>
            </w:r>
          </w:p>
          <w:bookmarkEnd w:id="74"/>
        </w:tc>
      </w:tr>
    </w:tbl>
    <w:p>
      <w:pPr>
        <w:pStyle w:val="BodyText"/>
      </w:pPr>
      <w:r>
        <w:t xml:space="preserve">Установил бинарный файл (см.</w:t>
      </w:r>
      <w:r>
        <w:t xml:space="preserve"> </w:t>
      </w:r>
      <w:hyperlink w:anchor="fig-011">
        <w:r>
          <w:rPr>
            <w:rStyle w:val="Hyperlink"/>
          </w:rPr>
          <w:t xml:space="preserve">рис.11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1"/>
          <w:p>
            <w:pPr>
              <w:pStyle w:val="Compact"/>
              <w:jc w:val="center"/>
            </w:pPr>
            <w:r>
              <w:drawing>
                <wp:inline>
                  <wp:extent cx="2915367" cy="57389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5367" cy="5738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Установка бинарного файла</w:t>
            </w:r>
          </w:p>
          <w:bookmarkEnd w:id="78"/>
        </w:tc>
      </w:tr>
    </w:tbl>
    <w:p>
      <w:pPr>
        <w:pStyle w:val="BodyText"/>
      </w:pPr>
      <w:r>
        <w:t xml:space="preserve">Создал собственный репозиторий с помощью утилит (см.</w:t>
      </w:r>
      <w:r>
        <w:t xml:space="preserve"> </w:t>
      </w:r>
      <w:hyperlink w:anchor="fig-012">
        <w:r>
          <w:rPr>
            <w:rStyle w:val="Hyperlink"/>
          </w:rPr>
          <w:t xml:space="preserve">рис.12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2"/>
          <w:p>
            <w:pPr>
              <w:pStyle w:val="Compact"/>
              <w:jc w:val="center"/>
            </w:pPr>
            <w:r>
              <w:drawing>
                <wp:inline>
                  <wp:extent cx="3733800" cy="298236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8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Создание собственного репозитория с помощью утилит</w:t>
            </w:r>
          </w:p>
          <w:bookmarkEnd w:id="82"/>
        </w:tc>
      </w:tr>
    </w:tbl>
    <w:p>
      <w:pPr>
        <w:pStyle w:val="BodyText"/>
      </w:pPr>
      <w:r>
        <w:t xml:space="preserve">Подключил репозиторий к своей системе (см.</w:t>
      </w:r>
      <w:r>
        <w:t xml:space="preserve"> </w:t>
      </w:r>
      <w:hyperlink w:anchor="fig-013">
        <w:r>
          <w:rPr>
            <w:rStyle w:val="Hyperlink"/>
          </w:rPr>
          <w:t xml:space="preserve">рис.13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3"/>
          <w:p>
            <w:pPr>
              <w:pStyle w:val="Compact"/>
              <w:jc w:val="center"/>
            </w:pPr>
            <w:r>
              <w:drawing>
                <wp:inline>
                  <wp:extent cx="3733800" cy="1116617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166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Подключение репозитория к своей системе</w:t>
            </w:r>
          </w:p>
          <w:bookmarkEnd w:id="86"/>
        </w:tc>
      </w:tr>
    </w:tbl>
    <w:p>
      <w:pPr>
        <w:pStyle w:val="BodyText"/>
      </w:pPr>
      <w:r>
        <w:t xml:space="preserve">На второй машине инициализировал</w:t>
      </w:r>
      <w:r>
        <w:t xml:space="preserve"> </w:t>
      </w:r>
      <w:r>
        <w:rPr>
          <w:rStyle w:val="VerbatimChar"/>
        </w:rPr>
        <w:t xml:space="preserve">chezmoi</w:t>
      </w:r>
      <w:r>
        <w:t xml:space="preserve"> </w:t>
      </w:r>
      <w:r>
        <w:t xml:space="preserve">с моим репозиторием</w:t>
      </w:r>
      <w:r>
        <w:t xml:space="preserve"> </w:t>
      </w:r>
      <w:r>
        <w:rPr>
          <w:rStyle w:val="VerbatimChar"/>
        </w:rPr>
        <w:t xml:space="preserve">dotfiles</w:t>
      </w:r>
      <w:r>
        <w:t xml:space="preserve"> </w:t>
      </w:r>
      <w:r>
        <w:t xml:space="preserve">(см.</w:t>
      </w:r>
      <w:r>
        <w:t xml:space="preserve"> </w:t>
      </w:r>
      <w:hyperlink w:anchor="fig-014">
        <w:r>
          <w:rPr>
            <w:rStyle w:val="Hyperlink"/>
          </w:rPr>
          <w:t xml:space="preserve">рис.14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4"/>
          <w:p>
            <w:pPr>
              <w:pStyle w:val="Compact"/>
              <w:jc w:val="center"/>
            </w:pPr>
            <w:r>
              <w:drawing>
                <wp:inline>
                  <wp:extent cx="3733800" cy="9551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55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Инициализация</w:t>
            </w:r>
            <w:r>
              <w:t xml:space="preserve"> </w:t>
            </w:r>
            <w:r>
              <w:rPr>
                <w:rStyle w:val="VerbatimChar"/>
              </w:rPr>
              <w:t xml:space="preserve">chezmoi</w:t>
            </w:r>
            <w:r>
              <w:t xml:space="preserve"> </w:t>
            </w:r>
            <w:r>
              <w:t xml:space="preserve">на второй машине</w:t>
            </w:r>
          </w:p>
          <w:bookmarkEnd w:id="90"/>
        </w:tc>
      </w:tr>
    </w:tbl>
    <w:p>
      <w:pPr>
        <w:pStyle w:val="BodyText"/>
      </w:pPr>
      <w:r>
        <w:t xml:space="preserve">Добавил в файл конфигурации</w:t>
      </w:r>
      <w:r>
        <w:t xml:space="preserve"> </w:t>
      </w:r>
      <w:r>
        <w:rPr>
          <w:rStyle w:val="VerbatimChar"/>
        </w:rPr>
        <w:t xml:space="preserve">~/.config/chezmoi/chezmoi.toml</w:t>
      </w:r>
      <w:r>
        <w:t xml:space="preserve"> </w:t>
      </w:r>
      <w:r>
        <w:t xml:space="preserve">autoCommit и autoPush (см.</w:t>
      </w:r>
      <w:r>
        <w:t xml:space="preserve"> </w:t>
      </w:r>
      <w:hyperlink w:anchor="fig-015">
        <w:r>
          <w:rPr>
            <w:rStyle w:val="Hyperlink"/>
          </w:rPr>
          <w:t xml:space="preserve">рис.15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5"/>
          <w:p>
            <w:pPr>
              <w:pStyle w:val="Compact"/>
              <w:jc w:val="center"/>
            </w:pPr>
            <w:r>
              <w:drawing>
                <wp:inline>
                  <wp:extent cx="1633676" cy="937355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3676" cy="9373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Файл конфигурации</w:t>
            </w:r>
            <w:r>
              <w:t xml:space="preserve"> </w:t>
            </w:r>
            <w:r>
              <w:rPr>
                <w:rStyle w:val="VerbatimChar"/>
              </w:rPr>
              <w:t xml:space="preserve">~/.config/chezmoi/chezmoi.toml</w:t>
            </w:r>
            <w:r>
              <w:t xml:space="preserve"> </w:t>
            </w:r>
            <w:r>
              <w:t xml:space="preserve">с autoCommit и autoPush</w:t>
            </w:r>
          </w:p>
          <w:bookmarkEnd w:id="94"/>
        </w:tc>
      </w:tr>
    </w:tbl>
    <w:bookmarkEnd w:id="95"/>
    <w:bookmarkEnd w:id="96"/>
    <w:bookmarkEnd w:id="97"/>
    <w:bookmarkStart w:id="98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был изучен менеджер паролей pass, его структура, способы хранения данных и возможности интеграции с различными интерфейсами. Были получены практические навыки установки, настройки и использования pass, а также сохранения паролей в зашифрованном хранилище.</w:t>
      </w:r>
    </w:p>
    <w:p>
      <w:pPr>
        <w:pStyle w:val="BodyText"/>
      </w:pPr>
      <w:r>
        <w:t xml:space="preserve">Кроме того, была освоена утилита chezmoi для управления файлами конфигурации. Были изучены шаблоны, механизм инициализации, подключение удалённого репозитория, применение конфигурации на нескольких машинах и настройка рабочей среды. В результате работы были получены навыки централизованного хранения и переноса пользовательских настроек между различными системами.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Лащиков Алексей Антонович</dc:creator>
  <cp:keywords/>
  <dcterms:created xsi:type="dcterms:W3CDTF">2026-03-08T18:42:03Z</dcterms:created>
  <dcterms:modified xsi:type="dcterms:W3CDTF">2026-03-08T18:42:03Z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Менеджер паролей pass и управление файлами конфигурации с помощью chezmoi</vt:lpwstr>
  </property>
  <property fmtid="{D5CDD505-2E9C-101B-9397-08002B2CF9AE}" pid="15" name="toc-title">
    <vt:lpwstr>Содержание</vt:lpwstr>
  </property>
</Properties>
</file>