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46A" w:rsidRPr="00CF2907" w:rsidRDefault="00D60A05" w:rsidP="00D60A05">
      <w:pPr>
        <w:pStyle w:val="-12"/>
        <w:rPr>
          <w:sz w:val="28"/>
          <w:szCs w:val="24"/>
        </w:rPr>
      </w:pPr>
      <w:r w:rsidRPr="00CF2907">
        <w:rPr>
          <w:b/>
          <w:bCs/>
          <w:sz w:val="28"/>
          <w:szCs w:val="24"/>
        </w:rPr>
        <w:t>Задание:</w:t>
      </w:r>
      <w:r w:rsidRPr="00CF2907">
        <w:rPr>
          <w:sz w:val="28"/>
          <w:szCs w:val="24"/>
        </w:rPr>
        <w:t xml:space="preserve"> сравните проблемы, возникающие при обеспечении требуемых характеристик РСА авиационного и космического базирования.</w:t>
      </w:r>
    </w:p>
    <w:p w:rsidR="00D07E4E" w:rsidRDefault="00CF2907" w:rsidP="00D07E4E">
      <w:pPr>
        <w:pStyle w:val="-12"/>
        <w:rPr>
          <w:sz w:val="28"/>
          <w:szCs w:val="24"/>
        </w:rPr>
      </w:pPr>
      <w:r w:rsidRPr="00CF2907">
        <w:rPr>
          <w:b/>
          <w:bCs/>
          <w:sz w:val="28"/>
          <w:szCs w:val="24"/>
        </w:rPr>
        <w:t>Ответ:</w:t>
      </w:r>
      <w:r>
        <w:rPr>
          <w:sz w:val="28"/>
          <w:szCs w:val="24"/>
        </w:rPr>
        <w:t xml:space="preserve"> главной отличительной чертой РСА </w:t>
      </w:r>
      <w:r w:rsidRPr="00CF2907">
        <w:rPr>
          <w:sz w:val="28"/>
          <w:szCs w:val="24"/>
        </w:rPr>
        <w:t>авиационного и космического базирования</w:t>
      </w:r>
      <w:r>
        <w:rPr>
          <w:sz w:val="28"/>
          <w:szCs w:val="24"/>
        </w:rPr>
        <w:t xml:space="preserve"> является разница в наклонной дальности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н</m:t>
            </m:r>
          </m:sub>
        </m:sSub>
      </m:oMath>
      <w:r>
        <w:rPr>
          <w:sz w:val="28"/>
          <w:szCs w:val="24"/>
        </w:rPr>
        <w:t>. От наклонной дальности зависит задержка</w:t>
      </w:r>
      <w:r w:rsidRPr="00CF2907">
        <w:rPr>
          <w:sz w:val="28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>τ</m:t>
        </m:r>
      </m:oMath>
      <w:r>
        <w:rPr>
          <w:sz w:val="28"/>
          <w:szCs w:val="24"/>
        </w:rPr>
        <w:t xml:space="preserve">, а также мощность эхо-сигнала. </w:t>
      </w:r>
    </w:p>
    <w:p w:rsidR="00D07E4E" w:rsidRDefault="00D07E4E" w:rsidP="00D07E4E">
      <w:pPr>
        <w:pStyle w:val="-12"/>
        <w:rPr>
          <w:rFonts w:eastAsiaTheme="minorEastAsia"/>
          <w:sz w:val="28"/>
          <w:szCs w:val="24"/>
        </w:rPr>
      </w:pPr>
      <w:r>
        <w:rPr>
          <w:sz w:val="28"/>
          <w:szCs w:val="24"/>
        </w:rPr>
        <w:t xml:space="preserve">При расчете частоты повторения зондирующих импульсов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п</m:t>
            </m:r>
          </m:sub>
        </m:sSub>
      </m:oMath>
      <w:r>
        <w:rPr>
          <w:rFonts w:eastAsiaTheme="minorEastAsia"/>
          <w:sz w:val="28"/>
          <w:szCs w:val="24"/>
        </w:rPr>
        <w:t xml:space="preserve"> необходимо обеспечить однозначность измерений как в частотной, так и во временной областях.</w:t>
      </w:r>
    </w:p>
    <w:p w:rsidR="00D07E4E" w:rsidRDefault="00D07E4E" w:rsidP="00D07E4E">
      <w:pPr>
        <w:pStyle w:val="-12"/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Для самолетных систем максимальную задержку сигнала следует рассчитывать по максимальной наклонной дальности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 xml:space="preserve">н </m:t>
            </m:r>
            <m:r>
              <w:rPr>
                <w:rFonts w:ascii="Cambria Math" w:hAnsi="Cambria Math"/>
                <w:sz w:val="28"/>
                <w:szCs w:val="24"/>
                <w:lang w:val="en-US"/>
              </w:rPr>
              <m:t>max</m:t>
            </m:r>
          </m:sub>
        </m:sSub>
      </m:oMath>
      <w:r>
        <w:rPr>
          <w:rFonts w:eastAsiaTheme="minorEastAsia"/>
          <w:sz w:val="28"/>
          <w:szCs w:val="24"/>
        </w:rPr>
        <w:t xml:space="preserve"> в полосе обзора по дальности </w:t>
      </w:r>
      <m:oMath>
        <m:r>
          <w:rPr>
            <w:rFonts w:ascii="Cambria Math" w:eastAsiaTheme="minorEastAsia" w:hAnsi="Cambria Math"/>
            <w:sz w:val="28"/>
            <w:szCs w:val="24"/>
          </w:rPr>
          <m:t>∆</m:t>
        </m:r>
        <m:r>
          <w:rPr>
            <w:rFonts w:ascii="Cambria Math" w:hAnsi="Cambria Math"/>
            <w:sz w:val="28"/>
            <w:szCs w:val="24"/>
          </w:rPr>
          <m:t>L</m:t>
        </m:r>
      </m:oMath>
      <w:r>
        <w:rPr>
          <w:rFonts w:eastAsiaTheme="minorEastAsia"/>
          <w:sz w:val="28"/>
          <w:szCs w:val="24"/>
        </w:rPr>
        <w:t xml:space="preserve">. В этом случае полная однозначность измерений может быть обеспечена при выборе частоты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п</m:t>
            </m:r>
          </m:sub>
        </m:sSub>
      </m:oMath>
      <w:r>
        <w:rPr>
          <w:rFonts w:eastAsiaTheme="minorEastAsia"/>
          <w:sz w:val="28"/>
          <w:szCs w:val="24"/>
        </w:rPr>
        <w:t xml:space="preserve"> из неравенства</w:t>
      </w:r>
    </w:p>
    <w:p w:rsidR="00D07E4E" w:rsidRPr="003C189D" w:rsidRDefault="008A3738" w:rsidP="00D07E4E">
      <w:pPr>
        <w:pStyle w:val="-12"/>
        <w:rPr>
          <w:rFonts w:eastAsiaTheme="minorEastAsia"/>
          <w:i/>
          <w:sz w:val="28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2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с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н 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max</m:t>
                  </m:r>
                </m:sub>
              </m:sSub>
            </m:den>
          </m:f>
        </m:oMath>
      </m:oMathPara>
    </w:p>
    <w:p w:rsidR="003C189D" w:rsidRDefault="003C189D" w:rsidP="003C189D">
      <w:pPr>
        <w:pStyle w:val="-12"/>
        <w:rPr>
          <w:rFonts w:eastAsiaTheme="minorEastAsia"/>
          <w:sz w:val="28"/>
          <w:szCs w:val="24"/>
        </w:rPr>
      </w:pPr>
      <w:r>
        <w:rPr>
          <w:sz w:val="28"/>
          <w:szCs w:val="24"/>
        </w:rPr>
        <w:t xml:space="preserve">Для систем космического базирования величина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 xml:space="preserve">н </m:t>
            </m:r>
            <m:r>
              <w:rPr>
                <w:rFonts w:ascii="Cambria Math" w:hAnsi="Cambria Math"/>
                <w:sz w:val="28"/>
                <w:szCs w:val="24"/>
                <w:lang w:val="en-US"/>
              </w:rPr>
              <m:t>max</m:t>
            </m:r>
          </m:sub>
        </m:sSub>
      </m:oMath>
      <w:r>
        <w:rPr>
          <w:rFonts w:eastAsiaTheme="minorEastAsia"/>
          <w:sz w:val="28"/>
          <w:szCs w:val="24"/>
        </w:rPr>
        <w:t xml:space="preserve"> достигает сотен километров, и полную однозначность измерений можно достичь только при учете задержек в полосе обзора </w:t>
      </w:r>
      <m:oMath>
        <m:r>
          <w:rPr>
            <w:rFonts w:ascii="Cambria Math" w:eastAsiaTheme="minorEastAsia" w:hAnsi="Cambria Math"/>
            <w:sz w:val="28"/>
            <w:szCs w:val="24"/>
          </w:rPr>
          <m:t>∆</m:t>
        </m:r>
        <m:r>
          <w:rPr>
            <w:rFonts w:ascii="Cambria Math" w:hAnsi="Cambria Math"/>
            <w:sz w:val="28"/>
            <w:szCs w:val="24"/>
          </w:rPr>
          <m:t>L</m:t>
        </m:r>
      </m:oMath>
      <w:r>
        <w:rPr>
          <w:rFonts w:eastAsiaTheme="minorEastAsia"/>
          <w:sz w:val="28"/>
          <w:szCs w:val="24"/>
        </w:rPr>
        <w:t xml:space="preserve">, а не на максимальной дальности. В этом случае при выборе частоты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п</m:t>
            </m:r>
          </m:sub>
        </m:sSub>
      </m:oMath>
      <w:r>
        <w:rPr>
          <w:rFonts w:eastAsiaTheme="minorEastAsia"/>
          <w:sz w:val="28"/>
          <w:szCs w:val="24"/>
        </w:rPr>
        <w:t xml:space="preserve"> следует пользоваться неравенством</w:t>
      </w:r>
    </w:p>
    <w:p w:rsidR="003C189D" w:rsidRPr="003C189D" w:rsidRDefault="008A3738" w:rsidP="003C189D">
      <w:pPr>
        <w:pStyle w:val="-12"/>
        <w:rPr>
          <w:rFonts w:eastAsiaTheme="minorEastAsia"/>
          <w:i/>
          <w:sz w:val="28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2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с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2∆</m:t>
              </m:r>
              <m:r>
                <w:rPr>
                  <w:rFonts w:ascii="Cambria Math" w:hAnsi="Cambria Math"/>
                  <w:sz w:val="28"/>
                  <w:szCs w:val="24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β</m:t>
                  </m:r>
                </m:e>
              </m:func>
            </m:den>
          </m:f>
        </m:oMath>
      </m:oMathPara>
    </w:p>
    <w:p w:rsidR="003C189D" w:rsidRPr="00754635" w:rsidRDefault="00EF2A97" w:rsidP="003C189D">
      <w:pPr>
        <w:pStyle w:val="-12"/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В такой системе эхо-сигналы поступают на прием относительно начала зондирования с начальной задержкой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нач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 xml:space="preserve">н </m:t>
                </m:r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4"/>
              </w:rPr>
              <m:t>с</m:t>
            </m:r>
          </m:den>
        </m:f>
      </m:oMath>
      <w:r w:rsidR="00754635">
        <w:rPr>
          <w:rFonts w:eastAsiaTheme="minorEastAsia"/>
          <w:sz w:val="28"/>
          <w:szCs w:val="24"/>
        </w:rPr>
        <w:t>.</w:t>
      </w:r>
    </w:p>
    <w:p w:rsidR="00754635" w:rsidRDefault="00754635" w:rsidP="003C189D">
      <w:pPr>
        <w:pStyle w:val="-12"/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При этом необходимо добиваться, что бы время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нач</m:t>
            </m:r>
          </m:sub>
        </m:sSub>
      </m:oMath>
      <w:r>
        <w:rPr>
          <w:rFonts w:eastAsiaTheme="minorEastAsia"/>
          <w:sz w:val="28"/>
          <w:szCs w:val="24"/>
        </w:rPr>
        <w:t xml:space="preserve"> равнялось целому числу периодов зондирования с тем, чтобы эхо-сигналы от всех полосы обзора по дальности </w:t>
      </w:r>
      <m:oMath>
        <m:r>
          <w:rPr>
            <w:rFonts w:ascii="Cambria Math" w:eastAsiaTheme="minorEastAsia" w:hAnsi="Cambria Math"/>
            <w:sz w:val="28"/>
            <w:szCs w:val="24"/>
          </w:rPr>
          <m:t>∆</m:t>
        </m:r>
        <m:r>
          <w:rPr>
            <w:rFonts w:ascii="Cambria Math" w:hAnsi="Cambria Math"/>
            <w:sz w:val="28"/>
            <w:szCs w:val="24"/>
          </w:rPr>
          <m:t>L</m:t>
        </m:r>
      </m:oMath>
      <w:r>
        <w:rPr>
          <w:rFonts w:eastAsiaTheme="minorEastAsia"/>
          <w:sz w:val="28"/>
          <w:szCs w:val="24"/>
        </w:rPr>
        <w:t xml:space="preserve"> всегда подпали в паузу приема.</w:t>
      </w:r>
    </w:p>
    <w:p w:rsidR="00754635" w:rsidRPr="00EA2E25" w:rsidRDefault="00754635" w:rsidP="003C189D">
      <w:pPr>
        <w:pStyle w:val="-12"/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Следующим важнейшим отличием является требуемая мощность в зондирующим импульсе. По основной формуле радиолокации, известно, что мощность</w:t>
      </w:r>
      <w:r w:rsidR="00EA2E25">
        <w:rPr>
          <w:rFonts w:eastAsiaTheme="minorEastAsia"/>
          <w:sz w:val="28"/>
          <w:szCs w:val="24"/>
        </w:rPr>
        <w:t xml:space="preserve"> </w:t>
      </w:r>
      <w:r w:rsidR="00B228B1">
        <w:rPr>
          <w:rFonts w:eastAsiaTheme="minorEastAsia"/>
          <w:sz w:val="28"/>
          <w:szCs w:val="24"/>
        </w:rPr>
        <w:t>принимаемого эхо-сигнала</w:t>
      </w:r>
      <w:r>
        <w:rPr>
          <w:rFonts w:eastAsiaTheme="minorEastAsia"/>
          <w:sz w:val="28"/>
          <w:szCs w:val="24"/>
        </w:rPr>
        <w:t xml:space="preserve"> </w:t>
      </w:r>
      <w:r w:rsidR="00B228B1">
        <w:rPr>
          <w:rFonts w:eastAsiaTheme="minorEastAsia"/>
          <w:sz w:val="28"/>
          <w:szCs w:val="24"/>
        </w:rPr>
        <w:t>обратно</w:t>
      </w:r>
      <w:r>
        <w:rPr>
          <w:rFonts w:eastAsiaTheme="minorEastAsia"/>
          <w:sz w:val="28"/>
          <w:szCs w:val="24"/>
        </w:rPr>
        <w:t xml:space="preserve"> пропорциональна расстояни</w:t>
      </w:r>
      <w:r w:rsidR="00B228B1">
        <w:rPr>
          <w:rFonts w:eastAsiaTheme="minorEastAsia"/>
          <w:sz w:val="28"/>
          <w:szCs w:val="24"/>
        </w:rPr>
        <w:t xml:space="preserve">ю в </w:t>
      </w:r>
      <w:r w:rsidR="00B228B1">
        <w:rPr>
          <w:rFonts w:eastAsiaTheme="minorEastAsia"/>
          <w:sz w:val="28"/>
          <w:szCs w:val="24"/>
        </w:rPr>
        <w:lastRenderedPageBreak/>
        <w:t>4 степени</w:t>
      </w:r>
      <w:r w:rsidR="001C0595">
        <w:rPr>
          <w:rFonts w:eastAsiaTheme="minorEastAsia"/>
          <w:sz w:val="28"/>
          <w:szCs w:val="24"/>
        </w:rPr>
        <w:t>:</w:t>
      </w:r>
      <w:r w:rsidR="00EA2E25">
        <w:rPr>
          <w:rFonts w:eastAsiaTheme="minorEastAsia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пр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4</m:t>
                </m:r>
              </m:sup>
            </m:sSup>
          </m:den>
        </m:f>
      </m:oMath>
      <w:r>
        <w:rPr>
          <w:rFonts w:eastAsiaTheme="minorEastAsia"/>
          <w:sz w:val="28"/>
          <w:szCs w:val="24"/>
        </w:rPr>
        <w:t xml:space="preserve">. </w:t>
      </w:r>
      <w:r w:rsidR="00EA2E25">
        <w:rPr>
          <w:rFonts w:eastAsiaTheme="minorEastAsia"/>
          <w:sz w:val="28"/>
          <w:szCs w:val="24"/>
        </w:rPr>
        <w:t>Таким образом, для РСА космического базирования к мощности</w:t>
      </w:r>
      <w:r w:rsidR="00CC1C41">
        <w:rPr>
          <w:rFonts w:eastAsiaTheme="minorEastAsia"/>
          <w:sz w:val="28"/>
          <w:szCs w:val="24"/>
        </w:rPr>
        <w:t xml:space="preserve"> сигнала</w:t>
      </w:r>
      <w:r w:rsidR="00EA2E25">
        <w:rPr>
          <w:rFonts w:eastAsiaTheme="minorEastAsia"/>
          <w:sz w:val="28"/>
          <w:szCs w:val="24"/>
        </w:rPr>
        <w:t xml:space="preserve"> </w:t>
      </w:r>
      <w:r w:rsidR="004A6E11">
        <w:rPr>
          <w:rFonts w:eastAsiaTheme="minorEastAsia"/>
          <w:sz w:val="28"/>
          <w:szCs w:val="24"/>
        </w:rPr>
        <w:t>предъявляются</w:t>
      </w:r>
      <w:r w:rsidR="00EA2E25">
        <w:rPr>
          <w:rFonts w:eastAsiaTheme="minorEastAsia"/>
          <w:sz w:val="28"/>
          <w:szCs w:val="24"/>
        </w:rPr>
        <w:t xml:space="preserve"> более серьезные требования. </w:t>
      </w:r>
    </w:p>
    <w:p w:rsidR="003C189D" w:rsidRDefault="00257E05" w:rsidP="003C189D">
      <w:pPr>
        <w:pStyle w:val="-12"/>
        <w:rPr>
          <w:rFonts w:eastAsiaTheme="minorEastAsia"/>
          <w:sz w:val="28"/>
          <w:szCs w:val="24"/>
        </w:rPr>
      </w:pPr>
      <w:r>
        <w:rPr>
          <w:sz w:val="28"/>
          <w:szCs w:val="24"/>
        </w:rPr>
        <w:t xml:space="preserve">Зона обзора </w:t>
      </w:r>
      <m:oMath>
        <m:r>
          <w:rPr>
            <w:rFonts w:ascii="Cambria Math" w:hAnsi="Cambria Math"/>
            <w:sz w:val="28"/>
            <w:szCs w:val="24"/>
          </w:rPr>
          <m:t>∆</m:t>
        </m:r>
        <m:r>
          <w:rPr>
            <w:rFonts w:ascii="Cambria Math" w:eastAsiaTheme="minorEastAsia" w:hAnsi="Cambria Math"/>
            <w:sz w:val="28"/>
            <w:szCs w:val="24"/>
            <w:lang w:val="en-US"/>
          </w:rPr>
          <m:t>L</m:t>
        </m:r>
      </m:oMath>
      <w:r w:rsidR="006C1461" w:rsidRPr="006C1461">
        <w:rPr>
          <w:rFonts w:eastAsiaTheme="minorEastAsia"/>
          <w:sz w:val="28"/>
          <w:szCs w:val="24"/>
        </w:rPr>
        <w:t xml:space="preserve"> </w:t>
      </w:r>
      <w:r w:rsidR="006C1461">
        <w:rPr>
          <w:rFonts w:eastAsiaTheme="minorEastAsia"/>
          <w:sz w:val="28"/>
          <w:szCs w:val="24"/>
        </w:rPr>
        <w:t xml:space="preserve">у </w:t>
      </w:r>
      <w:r w:rsidR="006C1461">
        <w:rPr>
          <w:sz w:val="28"/>
          <w:szCs w:val="24"/>
        </w:rPr>
        <w:t xml:space="preserve">систем космического базирования, за счет высоты, </w:t>
      </w:r>
      <w:r w:rsidR="006C1461" w:rsidRPr="00257E05">
        <w:rPr>
          <w:rFonts w:eastAsiaTheme="minorEastAsia"/>
          <w:sz w:val="28"/>
          <w:szCs w:val="24"/>
        </w:rPr>
        <w:t>намного</w:t>
      </w:r>
      <w:r>
        <w:rPr>
          <w:sz w:val="28"/>
          <w:szCs w:val="24"/>
        </w:rPr>
        <w:t xml:space="preserve"> больше, чем у самолетных систем. Однако разрешение по поверхности </w:t>
      </w:r>
      <m:oMath>
        <m:r>
          <w:rPr>
            <w:rFonts w:ascii="Cambria Math" w:hAnsi="Cambria Math"/>
            <w:sz w:val="28"/>
            <w:szCs w:val="24"/>
          </w:rPr>
          <m:t>∆</m:t>
        </m:r>
        <m:r>
          <w:rPr>
            <w:rFonts w:ascii="Cambria Math" w:eastAsiaTheme="minorEastAsia" w:hAnsi="Cambria Math"/>
            <w:sz w:val="28"/>
            <w:szCs w:val="24"/>
            <w:lang w:val="en-US"/>
          </w:rPr>
          <m:t>X</m:t>
        </m:r>
      </m:oMath>
      <w:r>
        <w:rPr>
          <w:rFonts w:eastAsiaTheme="minorEastAsia"/>
          <w:sz w:val="28"/>
          <w:szCs w:val="24"/>
        </w:rPr>
        <w:t>,</w:t>
      </w:r>
      <w:r w:rsidRPr="00257E05">
        <w:rPr>
          <w:rFonts w:eastAsiaTheme="minorEastAsia"/>
          <w:sz w:val="28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>∆</m:t>
        </m:r>
        <m:r>
          <w:rPr>
            <w:rFonts w:ascii="Cambria Math" w:eastAsiaTheme="minorEastAsia" w:hAnsi="Cambria Math"/>
            <w:sz w:val="28"/>
            <w:szCs w:val="24"/>
          </w:rPr>
          <m:t>Y</m:t>
        </m:r>
      </m:oMath>
      <w:r w:rsidRPr="00257E05">
        <w:rPr>
          <w:rFonts w:eastAsiaTheme="minorEastAsia"/>
          <w:sz w:val="28"/>
          <w:szCs w:val="24"/>
        </w:rPr>
        <w:t xml:space="preserve"> </w:t>
      </w:r>
      <w:r>
        <w:rPr>
          <w:rFonts w:eastAsiaTheme="minorEastAsia"/>
          <w:sz w:val="28"/>
          <w:szCs w:val="24"/>
        </w:rPr>
        <w:t>у самолетных систем выше.</w:t>
      </w:r>
    </w:p>
    <w:p w:rsidR="00257E05" w:rsidRDefault="00B63095" w:rsidP="00B63095">
      <w:pPr>
        <w:pStyle w:val="-12"/>
        <w:rPr>
          <w:rFonts w:eastAsiaTheme="minorEastAsia"/>
          <w:sz w:val="28"/>
          <w:szCs w:val="24"/>
        </w:rPr>
      </w:pPr>
      <w:r w:rsidRPr="00B63095">
        <w:rPr>
          <w:sz w:val="28"/>
          <w:szCs w:val="24"/>
        </w:rPr>
        <w:t>Азимутальный размер антенны</w:t>
      </w:r>
      <w:r>
        <w:rPr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α</m:t>
            </m:r>
          </m:sub>
        </m:sSub>
      </m:oMath>
      <w:r w:rsidRPr="00B63095">
        <w:rPr>
          <w:sz w:val="28"/>
          <w:szCs w:val="24"/>
        </w:rPr>
        <w:t xml:space="preserve"> можно </w:t>
      </w:r>
      <w:r>
        <w:rPr>
          <w:sz w:val="28"/>
          <w:szCs w:val="24"/>
        </w:rPr>
        <w:t xml:space="preserve">связать с разрешением </w:t>
      </w:r>
      <m:oMath>
        <m:r>
          <w:rPr>
            <w:rFonts w:ascii="Cambria Math" w:hAnsi="Cambria Math"/>
            <w:sz w:val="28"/>
            <w:szCs w:val="24"/>
          </w:rPr>
          <m:t>∆</m:t>
        </m:r>
        <m:r>
          <w:rPr>
            <w:rFonts w:ascii="Cambria Math" w:eastAsiaTheme="minorEastAsia" w:hAnsi="Cambria Math"/>
            <w:sz w:val="28"/>
            <w:szCs w:val="24"/>
            <w:lang w:val="en-US"/>
          </w:rPr>
          <m:t>X</m:t>
        </m:r>
      </m:oMath>
      <w:r w:rsidR="006C1461">
        <w:rPr>
          <w:rFonts w:eastAsiaTheme="minorEastAsia"/>
          <w:sz w:val="28"/>
          <w:szCs w:val="24"/>
        </w:rPr>
        <w:t>:</w:t>
      </w:r>
    </w:p>
    <w:p w:rsidR="006C1461" w:rsidRPr="006C1461" w:rsidRDefault="008A3738" w:rsidP="006C1461">
      <w:pPr>
        <w:pStyle w:val="-12"/>
        <w:ind w:firstLine="0"/>
        <w:jc w:val="center"/>
        <w:rPr>
          <w:rFonts w:eastAsiaTheme="minorEastAsia"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=2</m:t>
          </m:r>
          <m:r>
            <w:rPr>
              <w:rFonts w:ascii="Cambria Math" w:hAnsi="Cambria Math"/>
              <w:sz w:val="28"/>
              <w:szCs w:val="24"/>
            </w:rPr>
            <m:t>∆</m:t>
          </m:r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X</m:t>
          </m:r>
        </m:oMath>
      </m:oMathPara>
    </w:p>
    <w:p w:rsidR="006C1461" w:rsidRDefault="006C1461" w:rsidP="006C1461">
      <w:pPr>
        <w:pStyle w:val="-12"/>
        <w:rPr>
          <w:rFonts w:eastAsiaTheme="minorEastAsia"/>
          <w:sz w:val="28"/>
          <w:szCs w:val="24"/>
        </w:rPr>
      </w:pPr>
      <w:r>
        <w:rPr>
          <w:sz w:val="28"/>
          <w:szCs w:val="24"/>
        </w:rPr>
        <w:t xml:space="preserve">Так как у самолетный СРА разрешение обычно </w:t>
      </w:r>
      <m:oMath>
        <m:r>
          <w:rPr>
            <w:rFonts w:ascii="Cambria Math" w:hAnsi="Cambria Math"/>
            <w:sz w:val="28"/>
            <w:szCs w:val="24"/>
          </w:rPr>
          <m:t>∆</m:t>
        </m:r>
        <m:r>
          <w:rPr>
            <w:rFonts w:ascii="Cambria Math" w:eastAsiaTheme="minorEastAsia" w:hAnsi="Cambria Math"/>
            <w:sz w:val="28"/>
            <w:szCs w:val="24"/>
            <w:lang w:val="en-US"/>
          </w:rPr>
          <m:t>X</m:t>
        </m:r>
      </m:oMath>
      <w:r>
        <w:rPr>
          <w:rFonts w:eastAsiaTheme="minorEastAsia"/>
          <w:sz w:val="28"/>
          <w:szCs w:val="24"/>
        </w:rPr>
        <w:t xml:space="preserve"> выше, то есть значение </w:t>
      </w:r>
      <m:oMath>
        <m:r>
          <w:rPr>
            <w:rFonts w:ascii="Cambria Math" w:hAnsi="Cambria Math"/>
            <w:sz w:val="28"/>
            <w:szCs w:val="24"/>
          </w:rPr>
          <m:t>∆</m:t>
        </m:r>
        <m:r>
          <w:rPr>
            <w:rFonts w:ascii="Cambria Math" w:eastAsiaTheme="minorEastAsia" w:hAnsi="Cambria Math"/>
            <w:sz w:val="28"/>
            <w:szCs w:val="24"/>
            <w:lang w:val="en-US"/>
          </w:rPr>
          <m:t>X</m:t>
        </m:r>
      </m:oMath>
      <w:r>
        <w:rPr>
          <w:rFonts w:eastAsiaTheme="minorEastAsia"/>
          <w:sz w:val="28"/>
          <w:szCs w:val="24"/>
        </w:rPr>
        <w:t xml:space="preserve"> меньше, то и размер антенны меньше, чем у космической СРА.</w:t>
      </w:r>
    </w:p>
    <w:p w:rsidR="006C1461" w:rsidRPr="00935A16" w:rsidRDefault="00363223" w:rsidP="006C1461">
      <w:pPr>
        <w:pStyle w:val="-12"/>
        <w:rPr>
          <w:sz w:val="28"/>
          <w:szCs w:val="24"/>
        </w:rPr>
      </w:pPr>
      <w:r>
        <w:rPr>
          <w:sz w:val="28"/>
          <w:szCs w:val="24"/>
        </w:rPr>
        <w:t xml:space="preserve">За счет того, что у </w:t>
      </w:r>
      <w:r>
        <w:rPr>
          <w:sz w:val="28"/>
          <w:szCs w:val="24"/>
        </w:rPr>
        <w:t>систем космического базирования</w:t>
      </w:r>
      <w:r>
        <w:rPr>
          <w:sz w:val="28"/>
          <w:szCs w:val="24"/>
        </w:rPr>
        <w:t xml:space="preserve">, высота полета </w:t>
      </w:r>
      <w:r w:rsidR="00935A16">
        <w:rPr>
          <w:sz w:val="28"/>
          <w:szCs w:val="24"/>
        </w:rPr>
        <w:t>сильно выше самолетных систем, у них возникают искажения масштабов по осям X и</w:t>
      </w:r>
      <w:r w:rsidR="00935A16" w:rsidRPr="00935A16">
        <w:rPr>
          <w:sz w:val="28"/>
          <w:szCs w:val="24"/>
        </w:rPr>
        <w:t xml:space="preserve"> </w:t>
      </w:r>
      <w:r w:rsidR="00935A16">
        <w:rPr>
          <w:sz w:val="28"/>
          <w:szCs w:val="24"/>
          <w:lang w:val="en-US"/>
        </w:rPr>
        <w:t>Y</w:t>
      </w:r>
      <w:r w:rsidR="00935A16">
        <w:rPr>
          <w:sz w:val="28"/>
          <w:szCs w:val="24"/>
        </w:rPr>
        <w:t xml:space="preserve">. Объясняется это тем что, поверхность в зоне обзора искривляется из-за того, что Земля имеет эллиптическую форму, а результирующее изображение плоское. </w:t>
      </w:r>
    </w:p>
    <w:sectPr w:rsidR="006C1461" w:rsidRPr="00935A16" w:rsidSect="004A23FA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738" w:rsidRDefault="008A3738" w:rsidP="004A23FA">
      <w:pPr>
        <w:spacing w:after="0" w:line="240" w:lineRule="auto"/>
      </w:pPr>
      <w:r>
        <w:separator/>
      </w:r>
    </w:p>
  </w:endnote>
  <w:endnote w:type="continuationSeparator" w:id="0">
    <w:p w:rsidR="008A3738" w:rsidRDefault="008A3738" w:rsidP="004A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6167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A23FA" w:rsidRPr="004A23FA" w:rsidRDefault="004A23FA" w:rsidP="004A23FA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A23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23F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A23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678BC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A23F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738" w:rsidRDefault="008A3738" w:rsidP="004A23FA">
      <w:pPr>
        <w:spacing w:after="0" w:line="240" w:lineRule="auto"/>
      </w:pPr>
      <w:r>
        <w:separator/>
      </w:r>
    </w:p>
  </w:footnote>
  <w:footnote w:type="continuationSeparator" w:id="0">
    <w:p w:rsidR="008A3738" w:rsidRDefault="008A3738" w:rsidP="004A2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93CE4"/>
    <w:multiLevelType w:val="hybridMultilevel"/>
    <w:tmpl w:val="B7606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5609E"/>
    <w:multiLevelType w:val="hybridMultilevel"/>
    <w:tmpl w:val="1B200CE8"/>
    <w:lvl w:ilvl="0" w:tplc="DDAA66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2C49AE"/>
    <w:multiLevelType w:val="hybridMultilevel"/>
    <w:tmpl w:val="B10492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456427"/>
    <w:multiLevelType w:val="hybridMultilevel"/>
    <w:tmpl w:val="15DA9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42B"/>
    <w:rsid w:val="000A3D6F"/>
    <w:rsid w:val="00131287"/>
    <w:rsid w:val="001548E1"/>
    <w:rsid w:val="001A432F"/>
    <w:rsid w:val="001B26FC"/>
    <w:rsid w:val="001C0595"/>
    <w:rsid w:val="0020645D"/>
    <w:rsid w:val="00211A48"/>
    <w:rsid w:val="0025360A"/>
    <w:rsid w:val="00257E05"/>
    <w:rsid w:val="002E5C3B"/>
    <w:rsid w:val="002F37B8"/>
    <w:rsid w:val="00346AFF"/>
    <w:rsid w:val="00363223"/>
    <w:rsid w:val="003712BA"/>
    <w:rsid w:val="003B43CA"/>
    <w:rsid w:val="003C189D"/>
    <w:rsid w:val="003E5B2E"/>
    <w:rsid w:val="003F3A0F"/>
    <w:rsid w:val="0041464A"/>
    <w:rsid w:val="0046173B"/>
    <w:rsid w:val="004678BC"/>
    <w:rsid w:val="0047722A"/>
    <w:rsid w:val="00495BD7"/>
    <w:rsid w:val="004A23FA"/>
    <w:rsid w:val="004A6E11"/>
    <w:rsid w:val="004F742B"/>
    <w:rsid w:val="00516B8B"/>
    <w:rsid w:val="00577D34"/>
    <w:rsid w:val="00577D38"/>
    <w:rsid w:val="005A7376"/>
    <w:rsid w:val="005C6952"/>
    <w:rsid w:val="005D1A82"/>
    <w:rsid w:val="00605BBD"/>
    <w:rsid w:val="00625554"/>
    <w:rsid w:val="00646F5C"/>
    <w:rsid w:val="006512E6"/>
    <w:rsid w:val="006673E3"/>
    <w:rsid w:val="00667DE2"/>
    <w:rsid w:val="006C1461"/>
    <w:rsid w:val="00722A4B"/>
    <w:rsid w:val="00733D8A"/>
    <w:rsid w:val="00745A60"/>
    <w:rsid w:val="00754635"/>
    <w:rsid w:val="0077675C"/>
    <w:rsid w:val="00776A53"/>
    <w:rsid w:val="007C3E46"/>
    <w:rsid w:val="007D4B00"/>
    <w:rsid w:val="007E11EE"/>
    <w:rsid w:val="008023AC"/>
    <w:rsid w:val="00817574"/>
    <w:rsid w:val="008A3738"/>
    <w:rsid w:val="008C5861"/>
    <w:rsid w:val="008F05A2"/>
    <w:rsid w:val="008F3AD7"/>
    <w:rsid w:val="00935A16"/>
    <w:rsid w:val="00995DA3"/>
    <w:rsid w:val="00A427AF"/>
    <w:rsid w:val="00A47395"/>
    <w:rsid w:val="00A73064"/>
    <w:rsid w:val="00A8334D"/>
    <w:rsid w:val="00A83E2B"/>
    <w:rsid w:val="00A97512"/>
    <w:rsid w:val="00B228B1"/>
    <w:rsid w:val="00B63095"/>
    <w:rsid w:val="00BD4CE9"/>
    <w:rsid w:val="00BE1445"/>
    <w:rsid w:val="00C1128F"/>
    <w:rsid w:val="00C26257"/>
    <w:rsid w:val="00CC1C41"/>
    <w:rsid w:val="00CF2907"/>
    <w:rsid w:val="00D07E4E"/>
    <w:rsid w:val="00D47EDC"/>
    <w:rsid w:val="00D60A05"/>
    <w:rsid w:val="00D81DB0"/>
    <w:rsid w:val="00DB03A8"/>
    <w:rsid w:val="00DC0EAC"/>
    <w:rsid w:val="00E00598"/>
    <w:rsid w:val="00E2346A"/>
    <w:rsid w:val="00E2690D"/>
    <w:rsid w:val="00EA2E25"/>
    <w:rsid w:val="00EB64E0"/>
    <w:rsid w:val="00ED6225"/>
    <w:rsid w:val="00EE60EC"/>
    <w:rsid w:val="00EF2A97"/>
    <w:rsid w:val="00F61D87"/>
    <w:rsid w:val="00FA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0482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8F3AD7"/>
    <w:pPr>
      <w:spacing w:before="80" w:after="12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8F3AD7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745A60"/>
    <w:rPr>
      <w:color w:val="808080"/>
    </w:rPr>
  </w:style>
  <w:style w:type="paragraph" w:styleId="a8">
    <w:name w:val="header"/>
    <w:basedOn w:val="a"/>
    <w:link w:val="a9"/>
    <w:uiPriority w:val="99"/>
    <w:unhideWhenUsed/>
    <w:rsid w:val="004A2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A23FA"/>
  </w:style>
  <w:style w:type="paragraph" w:styleId="aa">
    <w:name w:val="footer"/>
    <w:basedOn w:val="a"/>
    <w:link w:val="ab"/>
    <w:uiPriority w:val="99"/>
    <w:unhideWhenUsed/>
    <w:rsid w:val="004A2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A2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63</cp:revision>
  <cp:lastPrinted>2020-03-02T20:23:00Z</cp:lastPrinted>
  <dcterms:created xsi:type="dcterms:W3CDTF">2020-02-18T19:43:00Z</dcterms:created>
  <dcterms:modified xsi:type="dcterms:W3CDTF">2020-04-29T11:18:00Z</dcterms:modified>
</cp:coreProperties>
</file>