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46A" w:rsidRPr="00430689" w:rsidRDefault="00D60A05" w:rsidP="00430689">
      <w:pPr>
        <w:pStyle w:val="-12"/>
        <w:rPr>
          <w:sz w:val="28"/>
          <w:szCs w:val="24"/>
        </w:rPr>
      </w:pPr>
      <w:r w:rsidRPr="00430689">
        <w:rPr>
          <w:b/>
          <w:bCs/>
          <w:sz w:val="28"/>
          <w:szCs w:val="24"/>
        </w:rPr>
        <w:t>Задание</w:t>
      </w:r>
      <w:r w:rsidRPr="00430689">
        <w:rPr>
          <w:sz w:val="28"/>
          <w:szCs w:val="24"/>
        </w:rPr>
        <w:t xml:space="preserve">: </w:t>
      </w:r>
      <w:r w:rsidR="00430689" w:rsidRPr="00430689">
        <w:rPr>
          <w:sz w:val="28"/>
          <w:szCs w:val="24"/>
        </w:rPr>
        <w:t>в чём различие эффективной температуры излучения поверхности и антенной температуры. Разрешающая способность бортового радиометра по поверхности, влияние времени сглаживания. Кажущаяся антенная температура радиометра, влияние высоты постороннего источника подсвета.</w:t>
      </w:r>
    </w:p>
    <w:p w:rsidR="00430689" w:rsidRPr="00935A16" w:rsidRDefault="00CF2907" w:rsidP="00430689">
      <w:pPr>
        <w:pStyle w:val="-12"/>
        <w:rPr>
          <w:sz w:val="28"/>
          <w:szCs w:val="24"/>
        </w:rPr>
      </w:pPr>
      <w:r w:rsidRPr="00CF2907">
        <w:rPr>
          <w:b/>
          <w:bCs/>
          <w:sz w:val="28"/>
          <w:szCs w:val="24"/>
        </w:rPr>
        <w:t>Ответ:</w:t>
      </w:r>
      <w:r>
        <w:rPr>
          <w:sz w:val="28"/>
          <w:szCs w:val="24"/>
        </w:rPr>
        <w:t xml:space="preserve"> </w:t>
      </w:r>
      <w:r w:rsidR="00430689">
        <w:rPr>
          <w:sz w:val="28"/>
          <w:szCs w:val="24"/>
        </w:rPr>
        <w:t xml:space="preserve">Антенная температура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а</m:t>
            </m:r>
          </m:sub>
        </m:sSub>
      </m:oMath>
      <w:r w:rsidR="00430689">
        <w:rPr>
          <w:rFonts w:eastAsiaTheme="minorEastAsia"/>
          <w:sz w:val="28"/>
          <w:szCs w:val="24"/>
        </w:rPr>
        <w:t xml:space="preserve">, фиксируемая радиометром, выражается через </w:t>
      </w:r>
      <w:r w:rsidR="00430689" w:rsidRPr="00430689">
        <w:rPr>
          <w:sz w:val="28"/>
          <w:szCs w:val="24"/>
        </w:rPr>
        <w:t>эффективн</w:t>
      </w:r>
      <w:r w:rsidR="00430689">
        <w:rPr>
          <w:sz w:val="28"/>
          <w:szCs w:val="24"/>
        </w:rPr>
        <w:t>ую</w:t>
      </w:r>
      <w:r w:rsidR="00430689" w:rsidRPr="00430689">
        <w:rPr>
          <w:sz w:val="28"/>
          <w:szCs w:val="24"/>
        </w:rPr>
        <w:t xml:space="preserve"> температур</w:t>
      </w:r>
      <w:r w:rsidR="00430689">
        <w:rPr>
          <w:sz w:val="28"/>
          <w:szCs w:val="24"/>
        </w:rPr>
        <w:t>у</w:t>
      </w:r>
      <w:r w:rsidR="00430689" w:rsidRPr="00430689">
        <w:rPr>
          <w:sz w:val="28"/>
          <w:szCs w:val="24"/>
        </w:rPr>
        <w:t xml:space="preserve"> излучения поверхности</w:t>
      </w:r>
      <w:r w:rsidR="00025892">
        <w:rPr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я</m:t>
            </m:r>
          </m:sub>
        </m:sSub>
      </m:oMath>
      <w:r w:rsidR="00025892">
        <w:rPr>
          <w:sz w:val="28"/>
          <w:szCs w:val="24"/>
        </w:rPr>
        <w:t xml:space="preserve"> и температуру антенно-фидерного тракта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</m:oMath>
      <w:r w:rsidR="00025892">
        <w:rPr>
          <w:rFonts w:eastAsiaTheme="minorEastAsia"/>
          <w:sz w:val="28"/>
          <w:szCs w:val="24"/>
        </w:rPr>
        <w:t>:</w:t>
      </w:r>
    </w:p>
    <w:p w:rsidR="006C1461" w:rsidRPr="00025892" w:rsidRDefault="007A2150" w:rsidP="00025892">
      <w:pPr>
        <w:pStyle w:val="-12"/>
        <w:ind w:firstLine="0"/>
        <w:jc w:val="center"/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а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η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4π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/>
                <w:sz w:val="28"/>
                <w:szCs w:val="24"/>
              </w:rPr>
              <m:t>4π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я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Ω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Ω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Ω</m:t>
            </m:r>
          </m:e>
        </m:nary>
        <m:r>
          <w:rPr>
            <w:rFonts w:ascii="Cambria Math" w:eastAsiaTheme="minorEastAsia" w:hAnsi="Cambria Math"/>
            <w:sz w:val="28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1-η</m:t>
            </m:r>
          </m:e>
        </m:d>
      </m:oMath>
      <w:r w:rsidR="00025892">
        <w:rPr>
          <w:rFonts w:eastAsiaTheme="minorEastAsia"/>
          <w:sz w:val="28"/>
          <w:szCs w:val="24"/>
        </w:rPr>
        <w:t>,</w:t>
      </w:r>
    </w:p>
    <w:p w:rsidR="00025892" w:rsidRPr="00153722" w:rsidRDefault="00025892" w:rsidP="00025892">
      <w:pPr>
        <w:pStyle w:val="-12"/>
        <w:ind w:firstLine="0"/>
        <w:rPr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где </w:t>
      </w:r>
      <m:oMath>
        <m:r>
          <w:rPr>
            <w:rFonts w:ascii="Cambria Math" w:hAnsi="Cambria Math"/>
            <w:sz w:val="28"/>
            <w:szCs w:val="24"/>
          </w:rPr>
          <m:t>η</m:t>
        </m:r>
      </m:oMath>
      <w:r>
        <w:rPr>
          <w:rFonts w:eastAsiaTheme="minorEastAsia"/>
          <w:sz w:val="28"/>
          <w:szCs w:val="24"/>
        </w:rPr>
        <w:t xml:space="preserve"> – КПД антенны</w:t>
      </w:r>
      <w:r w:rsidRPr="00153722">
        <w:rPr>
          <w:sz w:val="28"/>
          <w:szCs w:val="24"/>
        </w:rPr>
        <w:t>.</w:t>
      </w:r>
    </w:p>
    <w:p w:rsidR="006F5E32" w:rsidRDefault="006F5E32" w:rsidP="006F5E32">
      <w:pPr>
        <w:pStyle w:val="-12"/>
        <w:rPr>
          <w:sz w:val="28"/>
          <w:szCs w:val="24"/>
        </w:rPr>
      </w:pPr>
      <w:r>
        <w:rPr>
          <w:sz w:val="28"/>
          <w:szCs w:val="24"/>
        </w:rPr>
        <w:t xml:space="preserve">А </w:t>
      </w:r>
      <w:r w:rsidRPr="00430689">
        <w:rPr>
          <w:sz w:val="28"/>
          <w:szCs w:val="24"/>
        </w:rPr>
        <w:t>эффективн</w:t>
      </w:r>
      <w:r>
        <w:rPr>
          <w:sz w:val="28"/>
          <w:szCs w:val="24"/>
        </w:rPr>
        <w:t>ая</w:t>
      </w:r>
      <w:r w:rsidRPr="00430689">
        <w:rPr>
          <w:sz w:val="28"/>
          <w:szCs w:val="24"/>
        </w:rPr>
        <w:t xml:space="preserve"> температур</w:t>
      </w:r>
      <w:r>
        <w:rPr>
          <w:sz w:val="28"/>
          <w:szCs w:val="24"/>
        </w:rPr>
        <w:t>а</w:t>
      </w:r>
      <w:r w:rsidRPr="00430689">
        <w:rPr>
          <w:sz w:val="28"/>
          <w:szCs w:val="24"/>
        </w:rPr>
        <w:t xml:space="preserve"> излучения поверхности</w:t>
      </w:r>
      <w:r>
        <w:rPr>
          <w:sz w:val="28"/>
          <w:szCs w:val="24"/>
        </w:rPr>
        <w:t xml:space="preserve"> в свою очередь, зависит от излучательной способности поверхности:</w:t>
      </w:r>
    </w:p>
    <w:p w:rsidR="006F5E32" w:rsidRPr="006F5E32" w:rsidRDefault="007A2150" w:rsidP="006F5E32">
      <w:pPr>
        <w:pStyle w:val="-12"/>
        <w:rPr>
          <w:rFonts w:eastAsiaTheme="minorEastAsia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я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4"/>
            </w:rPr>
            <m:t>=αT</m:t>
          </m:r>
        </m:oMath>
      </m:oMathPara>
    </w:p>
    <w:p w:rsidR="006F5E32" w:rsidRDefault="00547B32" w:rsidP="006F5E32">
      <w:pPr>
        <w:pStyle w:val="-12"/>
        <w:rPr>
          <w:rFonts w:eastAsiaTheme="minorEastAsia"/>
          <w:sz w:val="28"/>
          <w:szCs w:val="24"/>
        </w:rPr>
      </w:pPr>
      <w:r w:rsidRPr="00547B32">
        <w:rPr>
          <w:sz w:val="28"/>
          <w:szCs w:val="24"/>
        </w:rPr>
        <w:t>Разрешающая способность по поверхности определяется шириной главного лепестка ДНА</w:t>
      </w:r>
      <w:r w:rsidR="00690E7A">
        <w:rPr>
          <w:sz w:val="28"/>
          <w:szCs w:val="24"/>
        </w:rPr>
        <w:t xml:space="preserve">. Для пассивных систем используется диаграммы направленности иглообразного типа. Наибольшая скорость получения данных может быть достигнута использованием множества каналов. Для снижения объема аппаратуры применяются приборы с последовательным обзором.  Одним из наиболее простых способов обзора является строчный, реализуемый движением луча вдоль строки. Смещение луча вдоль строки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k</m:t>
            </m:r>
          </m:sub>
        </m:sSub>
      </m:oMath>
      <w:r w:rsidR="00690E7A" w:rsidRPr="00690E7A">
        <w:rPr>
          <w:rFonts w:eastAsiaTheme="minorEastAsia"/>
          <w:sz w:val="28"/>
          <w:szCs w:val="24"/>
        </w:rPr>
        <w:t xml:space="preserve"> </w:t>
      </w:r>
      <w:r w:rsidR="00690E7A">
        <w:rPr>
          <w:rFonts w:eastAsiaTheme="minorEastAsia"/>
          <w:sz w:val="28"/>
          <w:szCs w:val="24"/>
        </w:rPr>
        <w:t xml:space="preserve">не должно превосходить линейного размера сечения луча </w:t>
      </w:r>
      <m:oMath>
        <m:r>
          <w:rPr>
            <w:rFonts w:ascii="Cambria Math" w:hAnsi="Cambria Math"/>
            <w:sz w:val="28"/>
            <w:szCs w:val="24"/>
          </w:rPr>
          <m:t>δ</m:t>
        </m:r>
        <m:r>
          <w:rPr>
            <w:rFonts w:ascii="Cambria Math" w:hAnsi="Cambria Math"/>
            <w:sz w:val="28"/>
            <w:szCs w:val="24"/>
            <w:lang w:val="en-US"/>
          </w:rPr>
          <m:t>l</m:t>
        </m:r>
      </m:oMath>
      <w:r w:rsidR="00690E7A">
        <w:rPr>
          <w:rFonts w:eastAsiaTheme="minorEastAsia"/>
          <w:sz w:val="28"/>
          <w:szCs w:val="24"/>
        </w:rPr>
        <w:t xml:space="preserve">, т.е. </w:t>
      </w:r>
      <m:oMath>
        <m:r>
          <w:rPr>
            <w:rFonts w:ascii="Cambria Math" w:eastAsiaTheme="minorEastAsia" w:hAnsi="Cambria Math"/>
            <w:sz w:val="28"/>
            <w:szCs w:val="24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k</m:t>
            </m:r>
          </m:sub>
        </m:sSub>
        <m:r>
          <w:rPr>
            <w:rFonts w:ascii="Cambria Math" w:hAnsi="Cambria Math"/>
            <w:sz w:val="28"/>
            <w:szCs w:val="24"/>
          </w:rPr>
          <m:t>≤δ</m:t>
        </m:r>
        <m:r>
          <w:rPr>
            <w:rFonts w:ascii="Cambria Math" w:hAnsi="Cambria Math"/>
            <w:sz w:val="28"/>
            <w:szCs w:val="24"/>
            <w:lang w:val="en-US"/>
          </w:rPr>
          <m:t>l</m:t>
        </m:r>
      </m:oMath>
      <w:r w:rsidR="00690E7A">
        <w:rPr>
          <w:rFonts w:eastAsiaTheme="minorEastAsia"/>
          <w:sz w:val="28"/>
          <w:szCs w:val="24"/>
        </w:rPr>
        <w:t xml:space="preserve">, где </w:t>
      </w:r>
      <m:oMath>
        <m:r>
          <w:rPr>
            <w:rFonts w:ascii="Cambria Math" w:eastAsiaTheme="minorEastAsia" w:hAnsi="Cambria Math"/>
            <w:sz w:val="28"/>
            <w:szCs w:val="24"/>
            <w:lang w:val="en-US"/>
          </w:rPr>
          <m:t>V</m:t>
        </m:r>
      </m:oMath>
      <w:r w:rsidR="00690E7A">
        <w:rPr>
          <w:rFonts w:eastAsiaTheme="minorEastAsia"/>
          <w:sz w:val="28"/>
          <w:szCs w:val="24"/>
        </w:rPr>
        <w:t xml:space="preserve"> – скорость полета; </w:t>
      </w:r>
      <m:oMath>
        <m:r>
          <w:rPr>
            <w:rFonts w:ascii="Cambria Math" w:hAnsi="Cambria Math"/>
            <w:sz w:val="28"/>
            <w:szCs w:val="24"/>
          </w:rPr>
          <m:t>δ</m:t>
        </m:r>
        <m:r>
          <w:rPr>
            <w:rFonts w:ascii="Cambria Math" w:hAnsi="Cambria Math"/>
            <w:sz w:val="28"/>
            <w:szCs w:val="24"/>
            <w:lang w:val="en-US"/>
          </w:rPr>
          <m:t>l</m:t>
        </m:r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  <w:lang w:val="en-US"/>
          </w:rPr>
          <m:t>H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∆</m:t>
            </m:r>
            <m:r>
              <w:rPr>
                <w:rFonts w:ascii="Cambria Math" w:hAnsi="Cambria Math"/>
                <w:sz w:val="28"/>
                <w:szCs w:val="24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л</m:t>
            </m:r>
          </m:sub>
        </m:sSub>
      </m:oMath>
      <w:r w:rsidR="00690E7A">
        <w:rPr>
          <w:rFonts w:eastAsiaTheme="minorEastAsia"/>
          <w:sz w:val="28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∆</m:t>
            </m:r>
            <m:r>
              <w:rPr>
                <w:rFonts w:ascii="Cambria Math" w:hAnsi="Cambria Math"/>
                <w:sz w:val="28"/>
                <w:szCs w:val="24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л</m:t>
            </m:r>
          </m:sub>
        </m:sSub>
      </m:oMath>
      <w:r w:rsidR="00690E7A">
        <w:rPr>
          <w:rFonts w:eastAsiaTheme="minorEastAsia"/>
          <w:sz w:val="28"/>
          <w:szCs w:val="24"/>
        </w:rPr>
        <w:t xml:space="preserve"> – угловой размер главного лепестка ДНА.</w:t>
      </w:r>
    </w:p>
    <w:p w:rsidR="00153722" w:rsidRDefault="00153722" w:rsidP="006F5E32">
      <w:pPr>
        <w:pStyle w:val="-12"/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Время </w:t>
      </w:r>
      <w:r w:rsidR="00CF24EB">
        <w:rPr>
          <w:rFonts w:eastAsiaTheme="minorEastAsia"/>
          <w:sz w:val="28"/>
          <w:szCs w:val="24"/>
        </w:rPr>
        <w:t>просмотра строки</w:t>
      </w:r>
      <w:r>
        <w:rPr>
          <w:rFonts w:eastAsiaTheme="minorEastAsia"/>
          <w:sz w:val="28"/>
          <w:szCs w:val="24"/>
        </w:rPr>
        <w:t xml:space="preserve"> ограничивается условием</w:t>
      </w:r>
    </w:p>
    <w:p w:rsidR="00153722" w:rsidRPr="004E642D" w:rsidRDefault="00153722" w:rsidP="006F5E32">
      <w:pPr>
        <w:pStyle w:val="-12"/>
        <w:rPr>
          <w:rFonts w:eastAsiaTheme="minorEastAsia"/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δ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∆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л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V</m:t>
              </m:r>
            </m:den>
          </m:f>
        </m:oMath>
      </m:oMathPara>
    </w:p>
    <w:p w:rsidR="004E642D" w:rsidRDefault="004E642D" w:rsidP="004E642D">
      <w:pPr>
        <w:pStyle w:val="-12"/>
        <w:rPr>
          <w:sz w:val="28"/>
          <w:szCs w:val="24"/>
        </w:rPr>
      </w:pPr>
      <w:r>
        <w:rPr>
          <w:sz w:val="28"/>
          <w:szCs w:val="24"/>
        </w:rPr>
        <w:t>Число элементов в строке</w:t>
      </w:r>
      <w:r w:rsidRPr="004E642D">
        <w:rPr>
          <w:sz w:val="28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4"/>
            <w:lang w:val="en-US"/>
          </w:rPr>
          <m:t>n</m:t>
        </m:r>
      </m:oMath>
      <w:r>
        <w:rPr>
          <w:sz w:val="28"/>
          <w:szCs w:val="24"/>
        </w:rPr>
        <w:t xml:space="preserve"> обусловлено требуемым временем наблюдения одного элемента </w:t>
      </w:r>
      <m:oMath>
        <m:r>
          <w:rPr>
            <w:rFonts w:ascii="Cambria Math" w:hAnsi="Cambria Math"/>
            <w:sz w:val="28"/>
            <w:szCs w:val="24"/>
            <w:lang w:val="en-US"/>
          </w:rPr>
          <m:t>τ</m:t>
        </m:r>
      </m:oMath>
      <w:r>
        <w:rPr>
          <w:sz w:val="28"/>
          <w:szCs w:val="24"/>
        </w:rPr>
        <w:t>:</w:t>
      </w:r>
    </w:p>
    <w:p w:rsidR="004E642D" w:rsidRPr="00CF24EB" w:rsidRDefault="004E642D" w:rsidP="004E642D">
      <w:pPr>
        <w:pStyle w:val="-12"/>
        <w:rPr>
          <w:rFonts w:eastAsiaTheme="minorEastAsia"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w:lastRenderedPageBreak/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∆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л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τ</m:t>
              </m:r>
            </m:den>
          </m:f>
        </m:oMath>
      </m:oMathPara>
    </w:p>
    <w:p w:rsidR="001768A3" w:rsidRPr="001768A3" w:rsidRDefault="00CF24EB" w:rsidP="001768A3">
      <w:pPr>
        <w:pStyle w:val="-12"/>
        <w:rPr>
          <w:rFonts w:eastAsiaTheme="minorEastAsia"/>
          <w:sz w:val="28"/>
          <w:szCs w:val="24"/>
        </w:rPr>
      </w:pPr>
      <w:r>
        <w:rPr>
          <w:sz w:val="28"/>
          <w:szCs w:val="24"/>
        </w:rPr>
        <w:t>Так как термодинамическая температура наблюдаемый объектов обычно одинакова (около 300К), и интенсивность радиотепловых сигналов определяется главным образом излучательной способностью тел. Но полное излучение реальных объектов определяется их собственным излучением и наличием подсветки, создаваемой посторонними излучателями. Суммарн</w:t>
      </w:r>
      <w:r w:rsidR="001768A3">
        <w:rPr>
          <w:sz w:val="28"/>
          <w:szCs w:val="24"/>
        </w:rPr>
        <w:t>ую излучаемую энергию можно приравнять энергии излучения абсолютному черному телу (АЧТ) и характеризовать к</w:t>
      </w:r>
      <w:r w:rsidRPr="00430689">
        <w:rPr>
          <w:sz w:val="28"/>
          <w:szCs w:val="24"/>
        </w:rPr>
        <w:t>ажущ</w:t>
      </w:r>
      <w:r w:rsidR="001768A3">
        <w:rPr>
          <w:sz w:val="28"/>
          <w:szCs w:val="24"/>
        </w:rPr>
        <w:t xml:space="preserve">ейся </w:t>
      </w:r>
      <w:r w:rsidRPr="00430689">
        <w:rPr>
          <w:sz w:val="28"/>
          <w:szCs w:val="24"/>
        </w:rPr>
        <w:t>температур</w:t>
      </w:r>
      <w:r w:rsidR="001768A3">
        <w:rPr>
          <w:sz w:val="28"/>
          <w:szCs w:val="24"/>
        </w:rPr>
        <w:t>ой</w:t>
      </w:r>
      <w:r>
        <w:rPr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к</m:t>
            </m:r>
          </m:sub>
        </m:sSub>
      </m:oMath>
      <w:r w:rsidR="001768A3">
        <w:rPr>
          <w:rFonts w:eastAsiaTheme="minorEastAsia"/>
          <w:sz w:val="28"/>
          <w:szCs w:val="24"/>
        </w:rPr>
        <w:t xml:space="preserve"> или эффективной яркостной температурой. </w:t>
      </w:r>
      <w:r w:rsidR="001768A3">
        <w:rPr>
          <w:sz w:val="28"/>
          <w:szCs w:val="24"/>
        </w:rPr>
        <w:t>Т</w:t>
      </w:r>
      <w:r w:rsidR="001768A3" w:rsidRPr="00430689">
        <w:rPr>
          <w:sz w:val="28"/>
          <w:szCs w:val="24"/>
        </w:rPr>
        <w:t>емператур</w:t>
      </w:r>
      <w:r w:rsidR="001768A3">
        <w:rPr>
          <w:sz w:val="28"/>
          <w:szCs w:val="24"/>
        </w:rPr>
        <w:t>а</w:t>
      </w:r>
      <w:r w:rsidR="001768A3">
        <w:rPr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к</m:t>
            </m:r>
          </m:sub>
        </m:sSub>
      </m:oMath>
      <w:r w:rsidR="001768A3">
        <w:rPr>
          <w:rFonts w:eastAsiaTheme="minorEastAsia"/>
          <w:sz w:val="28"/>
          <w:szCs w:val="24"/>
        </w:rPr>
        <w:t xml:space="preserve"> равна температуре АЧТ, создающего собственное излучение, равное суммарному излучению реального объекта и подсветки: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я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к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</w:rPr>
          <m:t>αT</m:t>
        </m:r>
        <m:r>
          <w:rPr>
            <w:rFonts w:ascii="Cambria Math" w:hAnsi="Cambria Math"/>
            <w:sz w:val="28"/>
            <w:szCs w:val="24"/>
          </w:rPr>
          <m:t>+ρ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я</m:t>
            </m:r>
            <m:r>
              <w:rPr>
                <w:rFonts w:ascii="Cambria Math" w:hAnsi="Cambria Math"/>
                <w:sz w:val="28"/>
                <w:szCs w:val="24"/>
              </w:rPr>
              <m:t>п</m:t>
            </m:r>
          </m:sub>
        </m:sSub>
      </m:oMath>
      <w:r w:rsidR="001768A3">
        <w:rPr>
          <w:rFonts w:eastAsiaTheme="minorEastAsia"/>
          <w:sz w:val="28"/>
          <w:szCs w:val="24"/>
        </w:rPr>
        <w:t xml:space="preserve">, где </w:t>
      </w:r>
      <m:oMath>
        <m:r>
          <w:rPr>
            <w:rFonts w:ascii="Cambria Math" w:hAnsi="Cambria Math"/>
            <w:sz w:val="28"/>
            <w:szCs w:val="24"/>
          </w:rPr>
          <m:t>ρ</m:t>
        </m:r>
      </m:oMath>
      <w:r w:rsidR="001768A3">
        <w:rPr>
          <w:rFonts w:eastAsiaTheme="minorEastAsia"/>
          <w:sz w:val="28"/>
          <w:szCs w:val="24"/>
        </w:rPr>
        <w:t xml:space="preserve"> – коэффициент отражения объекта;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яп</m:t>
            </m:r>
          </m:sub>
        </m:sSub>
      </m:oMath>
      <w:r w:rsidR="001768A3">
        <w:rPr>
          <w:rFonts w:eastAsiaTheme="minorEastAsia"/>
          <w:sz w:val="28"/>
          <w:szCs w:val="24"/>
        </w:rPr>
        <w:t xml:space="preserve"> – радиояркостная температура подсвечивающего излучения. При увеличении высоты источника </w:t>
      </w:r>
      <w:r w:rsidR="001768A3">
        <w:rPr>
          <w:rFonts w:eastAsiaTheme="minorEastAsia"/>
          <w:sz w:val="28"/>
          <w:szCs w:val="24"/>
        </w:rPr>
        <w:t>подсвечивающего излучения</w:t>
      </w:r>
      <w:r w:rsidR="001768A3">
        <w:rPr>
          <w:rFonts w:eastAsiaTheme="minorEastAsia"/>
          <w:sz w:val="28"/>
          <w:szCs w:val="24"/>
        </w:rPr>
        <w:t xml:space="preserve">, уменьшается </w:t>
      </w:r>
      <w:r w:rsidR="001768A3">
        <w:rPr>
          <w:rFonts w:eastAsiaTheme="minorEastAsia"/>
          <w:sz w:val="28"/>
          <w:szCs w:val="24"/>
        </w:rPr>
        <w:t>радиояркостная температура</w:t>
      </w:r>
      <w:r w:rsidR="001768A3">
        <w:rPr>
          <w:rFonts w:eastAsiaTheme="minorEastAsia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яп</m:t>
            </m:r>
          </m:sub>
        </m:sSub>
      </m:oMath>
      <w:r w:rsidR="001768A3">
        <w:rPr>
          <w:rFonts w:eastAsiaTheme="minorEastAsia"/>
          <w:sz w:val="28"/>
          <w:szCs w:val="24"/>
        </w:rPr>
        <w:t>.</w:t>
      </w:r>
    </w:p>
    <w:sectPr w:rsidR="001768A3" w:rsidRPr="001768A3" w:rsidSect="004A23FA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150" w:rsidRDefault="007A2150" w:rsidP="004A23FA">
      <w:pPr>
        <w:spacing w:after="0" w:line="240" w:lineRule="auto"/>
      </w:pPr>
      <w:r>
        <w:separator/>
      </w:r>
    </w:p>
  </w:endnote>
  <w:endnote w:type="continuationSeparator" w:id="0">
    <w:p w:rsidR="007A2150" w:rsidRDefault="007A2150" w:rsidP="004A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6167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A23FA" w:rsidRPr="004A23FA" w:rsidRDefault="004A23FA" w:rsidP="004A23FA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A23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23F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A23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678BC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A23F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150" w:rsidRDefault="007A2150" w:rsidP="004A23FA">
      <w:pPr>
        <w:spacing w:after="0" w:line="240" w:lineRule="auto"/>
      </w:pPr>
      <w:r>
        <w:separator/>
      </w:r>
    </w:p>
  </w:footnote>
  <w:footnote w:type="continuationSeparator" w:id="0">
    <w:p w:rsidR="007A2150" w:rsidRDefault="007A2150" w:rsidP="004A2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93CE4"/>
    <w:multiLevelType w:val="hybridMultilevel"/>
    <w:tmpl w:val="B7606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5609E"/>
    <w:multiLevelType w:val="hybridMultilevel"/>
    <w:tmpl w:val="1B200CE8"/>
    <w:lvl w:ilvl="0" w:tplc="DDAA66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2C49AE"/>
    <w:multiLevelType w:val="hybridMultilevel"/>
    <w:tmpl w:val="B10492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456427"/>
    <w:multiLevelType w:val="hybridMultilevel"/>
    <w:tmpl w:val="15DA9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42B"/>
    <w:rsid w:val="00025892"/>
    <w:rsid w:val="000A3D6F"/>
    <w:rsid w:val="00131287"/>
    <w:rsid w:val="00153722"/>
    <w:rsid w:val="001548E1"/>
    <w:rsid w:val="001768A3"/>
    <w:rsid w:val="001A432F"/>
    <w:rsid w:val="001B26FC"/>
    <w:rsid w:val="001B4F02"/>
    <w:rsid w:val="001C0595"/>
    <w:rsid w:val="0020645D"/>
    <w:rsid w:val="00211A48"/>
    <w:rsid w:val="0025360A"/>
    <w:rsid w:val="00257E05"/>
    <w:rsid w:val="002E5C3B"/>
    <w:rsid w:val="002F37B8"/>
    <w:rsid w:val="00346AFF"/>
    <w:rsid w:val="00363223"/>
    <w:rsid w:val="003712BA"/>
    <w:rsid w:val="003B43CA"/>
    <w:rsid w:val="003C189D"/>
    <w:rsid w:val="003E5B2E"/>
    <w:rsid w:val="003F3A0F"/>
    <w:rsid w:val="0041464A"/>
    <w:rsid w:val="00430689"/>
    <w:rsid w:val="0046173B"/>
    <w:rsid w:val="004678BC"/>
    <w:rsid w:val="0047722A"/>
    <w:rsid w:val="00495BD7"/>
    <w:rsid w:val="004A23FA"/>
    <w:rsid w:val="004A6E11"/>
    <w:rsid w:val="004E642D"/>
    <w:rsid w:val="004F742B"/>
    <w:rsid w:val="00516B8B"/>
    <w:rsid w:val="00547B32"/>
    <w:rsid w:val="00577D34"/>
    <w:rsid w:val="00577D38"/>
    <w:rsid w:val="005A7376"/>
    <w:rsid w:val="005C6952"/>
    <w:rsid w:val="005D1A82"/>
    <w:rsid w:val="00605BBD"/>
    <w:rsid w:val="00625554"/>
    <w:rsid w:val="00646F5C"/>
    <w:rsid w:val="006512E6"/>
    <w:rsid w:val="006673E3"/>
    <w:rsid w:val="00667DE2"/>
    <w:rsid w:val="00690E7A"/>
    <w:rsid w:val="006C1461"/>
    <w:rsid w:val="006F5E32"/>
    <w:rsid w:val="00722A4B"/>
    <w:rsid w:val="00733D8A"/>
    <w:rsid w:val="00745A60"/>
    <w:rsid w:val="00754635"/>
    <w:rsid w:val="0077675C"/>
    <w:rsid w:val="00776A53"/>
    <w:rsid w:val="007A2150"/>
    <w:rsid w:val="007C3E46"/>
    <w:rsid w:val="007D4B00"/>
    <w:rsid w:val="007E11EE"/>
    <w:rsid w:val="008023AC"/>
    <w:rsid w:val="00817574"/>
    <w:rsid w:val="008A3738"/>
    <w:rsid w:val="008C5861"/>
    <w:rsid w:val="008F05A2"/>
    <w:rsid w:val="008F3AD7"/>
    <w:rsid w:val="00935A16"/>
    <w:rsid w:val="00995DA3"/>
    <w:rsid w:val="00A427AF"/>
    <w:rsid w:val="00A47395"/>
    <w:rsid w:val="00A73064"/>
    <w:rsid w:val="00A8334D"/>
    <w:rsid w:val="00A83E2B"/>
    <w:rsid w:val="00A97512"/>
    <w:rsid w:val="00B228B1"/>
    <w:rsid w:val="00B63095"/>
    <w:rsid w:val="00BD3622"/>
    <w:rsid w:val="00BD4CE9"/>
    <w:rsid w:val="00BE1445"/>
    <w:rsid w:val="00C1128F"/>
    <w:rsid w:val="00C26257"/>
    <w:rsid w:val="00CC1C41"/>
    <w:rsid w:val="00CF24EB"/>
    <w:rsid w:val="00CF2907"/>
    <w:rsid w:val="00D07E4E"/>
    <w:rsid w:val="00D47EDC"/>
    <w:rsid w:val="00D60A05"/>
    <w:rsid w:val="00D81DB0"/>
    <w:rsid w:val="00DB03A8"/>
    <w:rsid w:val="00DC0EAC"/>
    <w:rsid w:val="00E00598"/>
    <w:rsid w:val="00E2346A"/>
    <w:rsid w:val="00E2690D"/>
    <w:rsid w:val="00EA2E25"/>
    <w:rsid w:val="00EB64E0"/>
    <w:rsid w:val="00ED6225"/>
    <w:rsid w:val="00EE60EC"/>
    <w:rsid w:val="00EF2A97"/>
    <w:rsid w:val="00F61D87"/>
    <w:rsid w:val="00FA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D41D"/>
  <w15:chartTrackingRefBased/>
  <w15:docId w15:val="{49E9275D-BDB2-46DD-A399-EF54261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8F3AD7"/>
    <w:pPr>
      <w:spacing w:before="80" w:after="12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8F3AD7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745A60"/>
    <w:rPr>
      <w:color w:val="808080"/>
    </w:rPr>
  </w:style>
  <w:style w:type="paragraph" w:styleId="a8">
    <w:name w:val="header"/>
    <w:basedOn w:val="a"/>
    <w:link w:val="a9"/>
    <w:uiPriority w:val="99"/>
    <w:unhideWhenUsed/>
    <w:rsid w:val="004A2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A23FA"/>
  </w:style>
  <w:style w:type="paragraph" w:styleId="aa">
    <w:name w:val="footer"/>
    <w:basedOn w:val="a"/>
    <w:link w:val="ab"/>
    <w:uiPriority w:val="99"/>
    <w:unhideWhenUsed/>
    <w:rsid w:val="004A2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A2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69</cp:revision>
  <cp:lastPrinted>2020-03-02T20:23:00Z</cp:lastPrinted>
  <dcterms:created xsi:type="dcterms:W3CDTF">2020-02-18T19:43:00Z</dcterms:created>
  <dcterms:modified xsi:type="dcterms:W3CDTF">2020-05-06T21:20:00Z</dcterms:modified>
</cp:coreProperties>
</file>