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C0784" w14:textId="6EC49E73" w:rsidR="00EE490A" w:rsidRPr="00F56488" w:rsidRDefault="00EE490A" w:rsidP="005F4D05">
      <w:pPr>
        <w:ind w:firstLine="0"/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3EC93569" w14:textId="77777777" w:rsidR="00EE490A" w:rsidRDefault="00EE490A" w:rsidP="00CB06D4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«МЭИ»</w:t>
      </w:r>
    </w:p>
    <w:p w14:paraId="4812CA8C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13F128B1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25B2BAE3" w14:textId="77777777" w:rsidR="00EE490A" w:rsidRPr="008F2F3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 w:rsidRPr="00F56488">
        <w:rPr>
          <w:b/>
          <w:color w:val="000000"/>
          <w:sz w:val="32"/>
          <w:szCs w:val="32"/>
          <w:shd w:val="clear" w:color="auto" w:fill="FFFFFF"/>
        </w:rPr>
        <w:t xml:space="preserve">Кафедра </w:t>
      </w:r>
      <w:r>
        <w:rPr>
          <w:b/>
          <w:color w:val="000000"/>
          <w:sz w:val="32"/>
          <w:szCs w:val="32"/>
          <w:shd w:val="clear" w:color="auto" w:fill="FFFFFF"/>
        </w:rPr>
        <w:t>радиотехнических систем</w:t>
      </w:r>
    </w:p>
    <w:p w14:paraId="54B84CDD" w14:textId="77777777" w:rsidR="00EE490A" w:rsidRPr="00F56488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Навигационно-связные радиосистемы</w:t>
      </w:r>
    </w:p>
    <w:p w14:paraId="3D698F2E" w14:textId="77777777" w:rsidR="00EE490A" w:rsidRPr="00B77BE2" w:rsidRDefault="00EE490A" w:rsidP="00EE490A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15A6A9D6" w14:textId="77777777" w:rsidR="00EE490A" w:rsidRPr="00B77BE2" w:rsidRDefault="00EE490A" w:rsidP="00EE490A">
      <w:pPr>
        <w:jc w:val="center"/>
        <w:rPr>
          <w:smallCaps/>
          <w:color w:val="000000"/>
          <w:sz w:val="48"/>
          <w:szCs w:val="48"/>
          <w:shd w:val="clear" w:color="auto" w:fill="FFFFFF"/>
        </w:rPr>
      </w:pPr>
    </w:p>
    <w:p w14:paraId="35CE2D37" w14:textId="2F7771B3" w:rsidR="00EE490A" w:rsidRDefault="00EE490A" w:rsidP="00EE490A">
      <w:pPr>
        <w:jc w:val="center"/>
        <w:rPr>
          <w:color w:val="000000"/>
          <w:sz w:val="48"/>
          <w:szCs w:val="48"/>
          <w:shd w:val="clear" w:color="auto" w:fill="FFFFFF"/>
        </w:rPr>
      </w:pPr>
      <w:r>
        <w:rPr>
          <w:color w:val="000000"/>
          <w:sz w:val="48"/>
          <w:szCs w:val="48"/>
          <w:shd w:val="clear" w:color="auto" w:fill="FFFFFF"/>
        </w:rPr>
        <w:t>Контрольная работа № 3</w:t>
      </w:r>
    </w:p>
    <w:p w14:paraId="09C37608" w14:textId="77777777" w:rsidR="00B40C20" w:rsidRDefault="00B40C20" w:rsidP="00EE490A">
      <w:pPr>
        <w:jc w:val="center"/>
        <w:rPr>
          <w:color w:val="000000"/>
          <w:sz w:val="48"/>
          <w:szCs w:val="48"/>
          <w:shd w:val="clear" w:color="auto" w:fill="FFFFFF"/>
        </w:rPr>
      </w:pPr>
    </w:p>
    <w:p w14:paraId="41A972D8" w14:textId="5499E873" w:rsidR="00EE490A" w:rsidRDefault="00EE490A" w:rsidP="00EE490A">
      <w:pPr>
        <w:jc w:val="center"/>
        <w:rPr>
          <w:color w:val="000000"/>
          <w:sz w:val="32"/>
          <w:szCs w:val="32"/>
          <w:shd w:val="clear" w:color="auto" w:fill="FFFFFF"/>
        </w:rPr>
      </w:pPr>
      <w:r w:rsidRPr="006A2C76">
        <w:rPr>
          <w:color w:val="000000"/>
          <w:sz w:val="32"/>
          <w:szCs w:val="32"/>
          <w:shd w:val="clear" w:color="auto" w:fill="FFFFFF"/>
        </w:rPr>
        <w:t xml:space="preserve">Вариант </w:t>
      </w:r>
      <w:r w:rsidR="00B40C20">
        <w:rPr>
          <w:color w:val="000000"/>
          <w:sz w:val="32"/>
          <w:szCs w:val="32"/>
          <w:shd w:val="clear" w:color="auto" w:fill="FFFFFF"/>
        </w:rPr>
        <w:t>4</w:t>
      </w:r>
    </w:p>
    <w:p w14:paraId="2CC2F52E" w14:textId="04940BF9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19E53AF5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4E449F1B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3998ADE5" w14:textId="77777777" w:rsidR="00EE490A" w:rsidRDefault="00EE490A" w:rsidP="00EE490A">
      <w:pPr>
        <w:jc w:val="center"/>
        <w:rPr>
          <w:smallCaps/>
          <w:color w:val="000000"/>
          <w:sz w:val="20"/>
          <w:szCs w:val="20"/>
          <w:shd w:val="clear" w:color="auto" w:fill="FFFFFF"/>
        </w:rPr>
      </w:pPr>
    </w:p>
    <w:p w14:paraId="3153F0ED" w14:textId="77777777" w:rsidR="00EE490A" w:rsidRPr="00B77BE2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</w:p>
    <w:p w14:paraId="7C4E798E" w14:textId="77777777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Группа: ЭР-15-1</w:t>
      </w:r>
      <w:r w:rsidRPr="008F2F38">
        <w:rPr>
          <w:color w:val="000000"/>
          <w:sz w:val="32"/>
          <w:szCs w:val="32"/>
          <w:shd w:val="clear" w:color="auto" w:fill="FFFFFF"/>
        </w:rPr>
        <w:t>5</w:t>
      </w:r>
    </w:p>
    <w:p w14:paraId="699A2509" w14:textId="3A208AD9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                                    </w:t>
      </w:r>
      <w:r w:rsidRPr="00B77BE2">
        <w:rPr>
          <w:color w:val="000000"/>
          <w:sz w:val="32"/>
          <w:szCs w:val="32"/>
          <w:shd w:val="clear" w:color="auto" w:fill="FFFFFF"/>
        </w:rPr>
        <w:t xml:space="preserve">ФИО студентов: </w:t>
      </w:r>
      <w:r w:rsidR="00B40C20">
        <w:rPr>
          <w:color w:val="000000"/>
          <w:sz w:val="32"/>
          <w:szCs w:val="32"/>
          <w:shd w:val="clear" w:color="auto" w:fill="FFFFFF"/>
        </w:rPr>
        <w:t>Кагин</w:t>
      </w:r>
      <w:r>
        <w:rPr>
          <w:color w:val="000000"/>
          <w:sz w:val="32"/>
          <w:szCs w:val="32"/>
          <w:shd w:val="clear" w:color="auto" w:fill="FFFFFF"/>
        </w:rPr>
        <w:t xml:space="preserve"> </w:t>
      </w:r>
      <w:r w:rsidR="00B40C20">
        <w:rPr>
          <w:color w:val="000000"/>
          <w:sz w:val="32"/>
          <w:szCs w:val="32"/>
          <w:shd w:val="clear" w:color="auto" w:fill="FFFFFF"/>
        </w:rPr>
        <w:t>И</w:t>
      </w:r>
      <w:r>
        <w:rPr>
          <w:color w:val="000000"/>
          <w:sz w:val="32"/>
          <w:szCs w:val="32"/>
          <w:shd w:val="clear" w:color="auto" w:fill="FFFFFF"/>
        </w:rPr>
        <w:t>.</w:t>
      </w:r>
      <w:r w:rsidR="00B40C20">
        <w:rPr>
          <w:color w:val="000000"/>
          <w:sz w:val="32"/>
          <w:szCs w:val="32"/>
          <w:shd w:val="clear" w:color="auto" w:fill="FFFFFF"/>
        </w:rPr>
        <w:t>И</w:t>
      </w:r>
      <w:r>
        <w:rPr>
          <w:color w:val="000000"/>
          <w:sz w:val="32"/>
          <w:szCs w:val="32"/>
          <w:shd w:val="clear" w:color="auto" w:fill="FFFFFF"/>
        </w:rPr>
        <w:t>.</w:t>
      </w:r>
    </w:p>
    <w:p w14:paraId="598BAC33" w14:textId="77777777" w:rsidR="00EE490A" w:rsidRPr="008F2F38" w:rsidRDefault="00EE490A" w:rsidP="00EE490A">
      <w:pPr>
        <w:jc w:val="right"/>
        <w:rPr>
          <w:smallCaps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                 </w:t>
      </w:r>
      <w:r w:rsidRPr="00B77BE2">
        <w:rPr>
          <w:color w:val="000000"/>
          <w:sz w:val="32"/>
          <w:szCs w:val="32"/>
          <w:shd w:val="clear" w:color="auto" w:fill="FFFFFF"/>
        </w:rPr>
        <w:t xml:space="preserve">ФИО преподавателя: </w:t>
      </w:r>
      <w:r>
        <w:rPr>
          <w:color w:val="000000"/>
          <w:sz w:val="32"/>
          <w:szCs w:val="32"/>
          <w:shd w:val="clear" w:color="auto" w:fill="FFFFFF"/>
        </w:rPr>
        <w:t>Захарова Е. В.</w:t>
      </w:r>
    </w:p>
    <w:p w14:paraId="5E5A09E0" w14:textId="77777777" w:rsidR="00EE490A" w:rsidRDefault="00EE490A" w:rsidP="00EE490A">
      <w:pPr>
        <w:jc w:val="right"/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3F39BF0D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2563260C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67B76968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0253ACD4" w14:textId="77777777" w:rsidR="00EE490A" w:rsidRDefault="00EE490A" w:rsidP="00EE490A">
      <w:pPr>
        <w:rPr>
          <w:b/>
          <w:smallCaps/>
          <w:color w:val="000000"/>
          <w:sz w:val="32"/>
          <w:szCs w:val="32"/>
          <w:shd w:val="clear" w:color="auto" w:fill="FFFFFF"/>
        </w:rPr>
      </w:pPr>
    </w:p>
    <w:p w14:paraId="5F19DFA9" w14:textId="77777777" w:rsidR="00EE490A" w:rsidRDefault="00EE490A" w:rsidP="00EE490A">
      <w:pPr>
        <w:jc w:val="center"/>
        <w:rPr>
          <w:b/>
          <w:smallCaps/>
          <w:color w:val="000000"/>
          <w:sz w:val="32"/>
          <w:szCs w:val="32"/>
          <w:shd w:val="clear" w:color="auto" w:fill="FFFFFF"/>
        </w:rPr>
      </w:pPr>
      <w:r>
        <w:rPr>
          <w:b/>
          <w:color w:val="000000"/>
          <w:sz w:val="32"/>
          <w:szCs w:val="32"/>
          <w:shd w:val="clear" w:color="auto" w:fill="FFFFFF"/>
        </w:rPr>
        <w:t>Москва, 20</w:t>
      </w:r>
      <w:r w:rsidRPr="00431EFD">
        <w:rPr>
          <w:b/>
          <w:color w:val="000000"/>
          <w:sz w:val="32"/>
          <w:szCs w:val="32"/>
          <w:shd w:val="clear" w:color="auto" w:fill="FFFFFF"/>
        </w:rPr>
        <w:t>20</w:t>
      </w:r>
      <w:r>
        <w:rPr>
          <w:b/>
          <w:color w:val="000000"/>
          <w:sz w:val="32"/>
          <w:szCs w:val="32"/>
          <w:shd w:val="clear" w:color="auto" w:fill="FFFFFF"/>
        </w:rPr>
        <w:t>г</w:t>
      </w:r>
    </w:p>
    <w:p w14:paraId="37A4E0AC" w14:textId="77777777" w:rsidR="00EE490A" w:rsidRDefault="00EE490A">
      <w:pPr>
        <w:ind w:firstLine="0"/>
        <w:rPr>
          <w:b/>
          <w:shd w:val="clear" w:color="auto" w:fill="FFFFFF"/>
        </w:rPr>
      </w:pPr>
    </w:p>
    <w:p w14:paraId="020FB335" w14:textId="5034F494" w:rsidR="00B40C20" w:rsidRDefault="00B40C20" w:rsidP="00B40C20">
      <w:pPr>
        <w:jc w:val="center"/>
        <w:rPr>
          <w:rFonts w:cs="Times New Roman"/>
          <w:color w:val="000000"/>
        </w:rPr>
      </w:pPr>
      <w:r w:rsidRPr="00B40C20">
        <w:rPr>
          <w:rFonts w:cs="Times New Roman"/>
          <w:color w:val="000000"/>
        </w:rPr>
        <w:lastRenderedPageBreak/>
        <w:t>Построение систем позиционной дальномерной радионавигации на базе стандарта IEEE 802.15.4 (UWB).</w:t>
      </w:r>
    </w:p>
    <w:p w14:paraId="296A0E77" w14:textId="77777777" w:rsidR="006C732E" w:rsidRDefault="006C732E" w:rsidP="006C732E">
      <w:pPr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>UWB-технология (</w:t>
      </w:r>
      <w:proofErr w:type="spellStart"/>
      <w:r w:rsidRPr="006C732E">
        <w:rPr>
          <w:rFonts w:cs="Times New Roman"/>
          <w:color w:val="000000"/>
        </w:rPr>
        <w:t>Ultra</w:t>
      </w:r>
      <w:proofErr w:type="spellEnd"/>
      <w:r w:rsidRPr="006C732E">
        <w:rPr>
          <w:rFonts w:cs="Times New Roman"/>
          <w:color w:val="000000"/>
        </w:rPr>
        <w:t xml:space="preserve"> </w:t>
      </w:r>
      <w:proofErr w:type="spellStart"/>
      <w:r w:rsidRPr="006C732E">
        <w:rPr>
          <w:rFonts w:cs="Times New Roman"/>
          <w:color w:val="000000"/>
        </w:rPr>
        <w:t>Wide</w:t>
      </w:r>
      <w:proofErr w:type="spellEnd"/>
      <w:r w:rsidRPr="006C732E">
        <w:rPr>
          <w:rFonts w:cs="Times New Roman"/>
          <w:color w:val="000000"/>
        </w:rPr>
        <w:t xml:space="preserve"> </w:t>
      </w:r>
      <w:proofErr w:type="spellStart"/>
      <w:r w:rsidRPr="006C732E">
        <w:rPr>
          <w:rFonts w:cs="Times New Roman"/>
          <w:color w:val="000000"/>
        </w:rPr>
        <w:t>Band</w:t>
      </w:r>
      <w:proofErr w:type="spellEnd"/>
      <w:r w:rsidRPr="006C732E">
        <w:rPr>
          <w:rFonts w:cs="Times New Roman"/>
          <w:color w:val="000000"/>
        </w:rPr>
        <w:t xml:space="preserve"> – сверхширокополосная) основана на использовании сверхширокополосных (СШП) импульсов очень короткой длительности с низкой спектральной плотностью мощности. UWB – это все радиочастотные технологии, у которых радиочастотный канал превышает либо 500МГц, либо он содержит 20% от величины центральной частоты модуляции.</w:t>
      </w:r>
      <w:r w:rsidRPr="006C732E">
        <w:t xml:space="preserve"> </w:t>
      </w:r>
      <w:r w:rsidRPr="006C732E">
        <w:rPr>
          <w:rFonts w:cs="Times New Roman"/>
          <w:color w:val="000000"/>
        </w:rPr>
        <w:t xml:space="preserve">Основные преимущества таких сигналов включают: </w:t>
      </w:r>
    </w:p>
    <w:p w14:paraId="4448E68A" w14:textId="77777777" w:rsidR="006C732E" w:rsidRDefault="006C732E" w:rsidP="006C732E">
      <w:pPr>
        <w:ind w:firstLine="0"/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 xml:space="preserve"> – возможность проникновения сквозь стены;  </w:t>
      </w:r>
    </w:p>
    <w:p w14:paraId="28C59948" w14:textId="77777777" w:rsidR="006C732E" w:rsidRDefault="006C732E" w:rsidP="006C732E">
      <w:pPr>
        <w:ind w:firstLine="0"/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 xml:space="preserve">– </w:t>
      </w:r>
      <w:proofErr w:type="spellStart"/>
      <w:r w:rsidRPr="006C732E">
        <w:rPr>
          <w:rFonts w:cs="Times New Roman"/>
          <w:color w:val="000000"/>
        </w:rPr>
        <w:t>дальнометрия</w:t>
      </w:r>
      <w:proofErr w:type="spellEnd"/>
      <w:r w:rsidRPr="006C732E">
        <w:rPr>
          <w:rFonts w:cs="Times New Roman"/>
          <w:color w:val="000000"/>
        </w:rPr>
        <w:t xml:space="preserve">, а, следовательно, позиционирование с высокой точностью;  </w:t>
      </w:r>
    </w:p>
    <w:p w14:paraId="7BA829C7" w14:textId="7D57B4F2" w:rsidR="006C732E" w:rsidRDefault="006C732E" w:rsidP="006C732E">
      <w:pPr>
        <w:ind w:firstLine="0"/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 xml:space="preserve">– высокоскоростная передача данных; </w:t>
      </w:r>
    </w:p>
    <w:p w14:paraId="7B5077D0" w14:textId="3F963241" w:rsidR="006C732E" w:rsidRPr="006C732E" w:rsidRDefault="006C732E" w:rsidP="006C732E">
      <w:pPr>
        <w:ind w:firstLine="0"/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 xml:space="preserve">– низкая стоимость и низкое потребление мощности. </w:t>
      </w:r>
    </w:p>
    <w:p w14:paraId="1A979F9E" w14:textId="591165A4" w:rsidR="006C732E" w:rsidRDefault="006C732E" w:rsidP="006C732E">
      <w:pPr>
        <w:jc w:val="both"/>
        <w:rPr>
          <w:rFonts w:cs="Times New Roman"/>
          <w:color w:val="000000"/>
        </w:rPr>
      </w:pPr>
      <w:r w:rsidRPr="006C732E">
        <w:rPr>
          <w:rFonts w:cs="Times New Roman"/>
          <w:color w:val="000000"/>
        </w:rPr>
        <w:t>Главное преимущество описываемой технологии – способность сохранять эффективность в помещениях со сложной геометрией и большим количеством помех.</w:t>
      </w:r>
    </w:p>
    <w:p w14:paraId="1731248B" w14:textId="2A93C595" w:rsidR="0032479D" w:rsidRDefault="00F54069" w:rsidP="0032479D">
      <w:r>
        <w:t xml:space="preserve">Дальномерный метод позволяет определить пространственные координаты объекта путём измерения дальностей R1, R2, R3 до трёх точек с известными координатами: </w:t>
      </w:r>
      <w:r>
        <w:sym w:font="Symbol" w:char="F07B"/>
      </w:r>
      <w:r>
        <w:t xml:space="preserve">x1 y1 z1 </w:t>
      </w:r>
      <w:r>
        <w:sym w:font="Symbol" w:char="F07D"/>
      </w:r>
      <w:r>
        <w:t xml:space="preserve"> </w:t>
      </w:r>
      <w:r>
        <w:sym w:font="Symbol" w:char="F07B"/>
      </w:r>
      <w:r>
        <w:t>x2 y2 z2</w:t>
      </w:r>
      <w:r>
        <w:sym w:font="Symbol" w:char="F07D"/>
      </w:r>
      <w:r>
        <w:t xml:space="preserve"> </w:t>
      </w:r>
      <w:r>
        <w:sym w:font="Symbol" w:char="F07B"/>
      </w:r>
      <w:r>
        <w:t>x3 y3 z3</w:t>
      </w:r>
      <w:r>
        <w:sym w:font="Symbol" w:char="F07D"/>
      </w:r>
      <w:r w:rsidR="0032479D">
        <w:t xml:space="preserve">, </w:t>
      </w:r>
      <w:r w:rsidR="0032479D" w:rsidRPr="0032479D">
        <w:rPr>
          <w:position w:val="-14"/>
        </w:rPr>
        <w:object w:dxaOrig="1320" w:dyaOrig="480" w14:anchorId="2DF065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6pt;height:27.6pt" o:ole="">
            <v:imagedata r:id="rId6" o:title=""/>
          </v:shape>
          <o:OLEObject Type="Embed" ProgID="Equation.DSMT4" ShapeID="_x0000_i1025" DrawAspect="Content" ObjectID="_1652290543" r:id="rId7"/>
        </w:object>
      </w:r>
      <w:r w:rsidR="0032479D" w:rsidRPr="0032479D">
        <w:t xml:space="preserve"> </w:t>
      </w:r>
      <w:r w:rsidR="0032479D">
        <w:t>- неизвестные координаты объекта, находятся из решения системы уравнений:</w:t>
      </w:r>
      <w:r w:rsidR="0032479D" w:rsidRPr="0032479D">
        <w:t xml:space="preserve"> </w:t>
      </w:r>
    </w:p>
    <w:p w14:paraId="74894C27" w14:textId="79EE167A" w:rsidR="00F54069" w:rsidRDefault="0032479D" w:rsidP="0032479D">
      <w:pPr>
        <w:rPr>
          <w:lang w:val="en-US"/>
        </w:rPr>
      </w:pPr>
      <w:r w:rsidRPr="0032479D">
        <w:rPr>
          <w:position w:val="-60"/>
        </w:rPr>
        <w:object w:dxaOrig="3879" w:dyaOrig="1380" w14:anchorId="5A105C9F">
          <v:shape id="_x0000_i1026" type="#_x0000_t75" style="width:244.8pt;height:87pt" o:ole="">
            <v:imagedata r:id="rId8" o:title=""/>
          </v:shape>
          <o:OLEObject Type="Embed" ProgID="Equation.DSMT4" ShapeID="_x0000_i1026" DrawAspect="Content" ObjectID="_1652290544" r:id="rId9"/>
        </w:object>
      </w:r>
    </w:p>
    <w:p w14:paraId="12787A4B" w14:textId="121C4EC5" w:rsidR="00DD2B5F" w:rsidRDefault="00DD2B5F" w:rsidP="00753CC4">
      <w:r>
        <w:t>Точки с известными координатами – маяки.</w:t>
      </w:r>
      <w:r w:rsidR="0036386D">
        <w:t xml:space="preserve"> Принцип работы следующий:</w:t>
      </w:r>
      <w:r w:rsidR="0036386D" w:rsidRPr="0036386D">
        <w:t xml:space="preserve"> дальности измеряются по разнице задержек импульсов в режиме простого излучения,</w:t>
      </w:r>
      <w:r w:rsidR="0036386D">
        <w:t xml:space="preserve"> далее </w:t>
      </w:r>
      <w:r w:rsidR="0036386D" w:rsidRPr="0036386D">
        <w:t>осуществляется решение навигационной задачи, зная положения маяков</w:t>
      </w:r>
      <w:r w:rsidR="00300F2D">
        <w:t>.</w:t>
      </w:r>
    </w:p>
    <w:p w14:paraId="7C2621BC" w14:textId="38D6CE30" w:rsidR="001302E8" w:rsidRDefault="001302E8" w:rsidP="00300F2D">
      <w:r w:rsidRPr="001302E8">
        <w:rPr>
          <w:u w:val="single"/>
        </w:rPr>
        <w:t>Достоинства:</w:t>
      </w:r>
      <w:r>
        <w:t xml:space="preserve"> </w:t>
      </w:r>
      <w:r w:rsidR="0000101D">
        <w:t>Высокая точность как на малых расстояниях</w:t>
      </w:r>
      <w:r w:rsidR="0000101D" w:rsidRPr="0000101D">
        <w:t>,</w:t>
      </w:r>
      <w:r w:rsidR="0000101D">
        <w:t xml:space="preserve"> так и на больших по сравнению с </w:t>
      </w:r>
      <w:proofErr w:type="spellStart"/>
      <w:r w:rsidR="0000101D">
        <w:t>Bluetooth</w:t>
      </w:r>
      <w:proofErr w:type="spellEnd"/>
      <w:r w:rsidR="006C732E" w:rsidRPr="006C732E">
        <w:t>,</w:t>
      </w:r>
      <w:r w:rsidR="0036386D" w:rsidRPr="0036386D">
        <w:t xml:space="preserve"> </w:t>
      </w:r>
      <w:r>
        <w:t>стоимость и размеры.</w:t>
      </w:r>
    </w:p>
    <w:p w14:paraId="13CA89FB" w14:textId="77777777" w:rsidR="00753CC4" w:rsidRDefault="001302E8" w:rsidP="00753CC4">
      <w:pPr>
        <w:rPr>
          <w:u w:val="single"/>
        </w:rPr>
      </w:pPr>
      <w:r w:rsidRPr="001302E8">
        <w:rPr>
          <w:u w:val="single"/>
        </w:rPr>
        <w:t>Недостатки:</w:t>
      </w:r>
      <w:r>
        <w:rPr>
          <w:u w:val="single"/>
        </w:rPr>
        <w:t xml:space="preserve"> </w:t>
      </w:r>
    </w:p>
    <w:p w14:paraId="05D8E2C5" w14:textId="5C1C0E2A" w:rsidR="00753CC4" w:rsidRDefault="00753CC4" w:rsidP="00753CC4">
      <w:r w:rsidRPr="00753CC4">
        <w:t xml:space="preserve">-В настоящее время отсутствуют технические возможности значительного увеличения мощности передачи. Номинальная мощность передатчика – 50 мкВт, максимальная мощность излучения – 10 мВт.  </w:t>
      </w:r>
    </w:p>
    <w:p w14:paraId="2FAC86C1" w14:textId="7B584EED" w:rsidR="00753CC4" w:rsidRPr="00753CC4" w:rsidRDefault="00753CC4" w:rsidP="00753CC4">
      <w:pPr>
        <w:rPr>
          <w:rFonts w:cs="Times New Roman"/>
          <w:szCs w:val="28"/>
        </w:rPr>
      </w:pPr>
      <w:r w:rsidRPr="00753CC4">
        <w:lastRenderedPageBreak/>
        <w:t>- Возникновение широкополосных помех для других систем при значительном уровне излучения и соответственно ограничения по использованию со стороны органов частотного регулирования.</w:t>
      </w:r>
    </w:p>
    <w:p w14:paraId="21E4D77B" w14:textId="577EB86F" w:rsidR="00F46368" w:rsidRPr="007E0683" w:rsidRDefault="00C51DEC" w:rsidP="007E0683">
      <w:pPr>
        <w:rPr>
          <w:rFonts w:cs="Times New Roman"/>
          <w:szCs w:val="28"/>
        </w:rPr>
      </w:pPr>
      <w:hyperlink r:id="rId10" w:history="1">
        <w:r>
          <w:rPr>
            <w:rStyle w:val="a8"/>
          </w:rPr>
          <w:t>https://www.decawave.com/wp-content/uploads/2018/10/APS013_The-Implementation-of-Two-Way-Ranging-with-the-DW1000_v2.3.pdf</w:t>
        </w:r>
      </w:hyperlink>
    </w:p>
    <w:sectPr w:rsidR="00F46368" w:rsidRPr="007E0683" w:rsidSect="001022F7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E03CB" w14:textId="77777777" w:rsidR="00C911C9" w:rsidRDefault="00C911C9" w:rsidP="001022F7">
      <w:pPr>
        <w:spacing w:after="0" w:line="240" w:lineRule="auto"/>
      </w:pPr>
      <w:r>
        <w:separator/>
      </w:r>
    </w:p>
  </w:endnote>
  <w:endnote w:type="continuationSeparator" w:id="0">
    <w:p w14:paraId="7D6CADDF" w14:textId="77777777" w:rsidR="00C911C9" w:rsidRDefault="00C911C9" w:rsidP="00102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64348222"/>
      <w:docPartObj>
        <w:docPartGallery w:val="Page Numbers (Bottom of Page)"/>
        <w:docPartUnique/>
      </w:docPartObj>
    </w:sdtPr>
    <w:sdtEndPr/>
    <w:sdtContent>
      <w:p w14:paraId="63DC0867" w14:textId="7BC32147" w:rsidR="001022F7" w:rsidRDefault="001022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07D59" w14:textId="77777777" w:rsidR="001022F7" w:rsidRDefault="001022F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392CA" w14:textId="77777777" w:rsidR="00C911C9" w:rsidRDefault="00C911C9" w:rsidP="001022F7">
      <w:pPr>
        <w:spacing w:after="0" w:line="240" w:lineRule="auto"/>
      </w:pPr>
      <w:r>
        <w:separator/>
      </w:r>
    </w:p>
  </w:footnote>
  <w:footnote w:type="continuationSeparator" w:id="0">
    <w:p w14:paraId="238831B1" w14:textId="77777777" w:rsidR="00C911C9" w:rsidRDefault="00C911C9" w:rsidP="001022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5"/>
    <w:rsid w:val="0000101D"/>
    <w:rsid w:val="0001106B"/>
    <w:rsid w:val="0006133C"/>
    <w:rsid w:val="000E732F"/>
    <w:rsid w:val="001022F7"/>
    <w:rsid w:val="001302E8"/>
    <w:rsid w:val="002F7F74"/>
    <w:rsid w:val="00300F2D"/>
    <w:rsid w:val="0032479D"/>
    <w:rsid w:val="0036386D"/>
    <w:rsid w:val="0045193F"/>
    <w:rsid w:val="00526616"/>
    <w:rsid w:val="00530848"/>
    <w:rsid w:val="005F4D05"/>
    <w:rsid w:val="006C732E"/>
    <w:rsid w:val="00753CC4"/>
    <w:rsid w:val="007E0683"/>
    <w:rsid w:val="0080377E"/>
    <w:rsid w:val="00B40C20"/>
    <w:rsid w:val="00B60E47"/>
    <w:rsid w:val="00C51DEC"/>
    <w:rsid w:val="00C911C9"/>
    <w:rsid w:val="00CB06D4"/>
    <w:rsid w:val="00CD3645"/>
    <w:rsid w:val="00DD2B5F"/>
    <w:rsid w:val="00E1340F"/>
    <w:rsid w:val="00EE490A"/>
    <w:rsid w:val="00F46368"/>
    <w:rsid w:val="00F46AF6"/>
    <w:rsid w:val="00F5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CB1B"/>
  <w15:chartTrackingRefBased/>
  <w15:docId w15:val="{BCDEE45A-3414-46D6-B18A-E9804B55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79D"/>
    <w:pPr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2479D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10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022F7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1022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022F7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semiHidden/>
    <w:unhideWhenUsed/>
    <w:rsid w:val="00C51D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decawave.com/wp-content/uploads/2018/10/APS013_The-Implementation-of-Two-Way-Ranging-with-the-DW1000_v2.3.pdf" TargetMode="Externa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Roman</dc:creator>
  <cp:keywords/>
  <dc:description/>
  <cp:lastModifiedBy>Игорь Кагин</cp:lastModifiedBy>
  <cp:revision>3</cp:revision>
  <dcterms:created xsi:type="dcterms:W3CDTF">2020-04-23T17:45:00Z</dcterms:created>
  <dcterms:modified xsi:type="dcterms:W3CDTF">2020-05-29T17:49:00Z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