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A3" w:rsidRDefault="005400A3" w:rsidP="00540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ЭР-15-15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Хвостова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А.</w:t>
      </w:r>
    </w:p>
    <w:p w:rsidR="00430F4F" w:rsidRPr="005400A3" w:rsidRDefault="005400A3" w:rsidP="005400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0A3">
        <w:rPr>
          <w:rFonts w:ascii="Times New Roman" w:hAnsi="Times New Roman" w:cs="Times New Roman"/>
          <w:b/>
          <w:sz w:val="28"/>
          <w:szCs w:val="28"/>
        </w:rPr>
        <w:t>Контрольная работа №2</w:t>
      </w:r>
    </w:p>
    <w:p w:rsidR="005400A3" w:rsidRDefault="005400A3" w:rsidP="005400A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00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Вариант 3: комплексные навигационно-связные системы стандарта IEEE 802.15.4 (UWB), назначение, архитектура, типы сигналов, основные характеристики;</w:t>
      </w:r>
    </w:p>
    <w:p w:rsidR="005400A3" w:rsidRDefault="005400A3" w:rsidP="005400A3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5400A3" w:rsidRDefault="005400A3" w:rsidP="005400A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00A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IEEE 802.15.4</w:t>
      </w:r>
      <w:r w:rsidRPr="005400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стандарт, который определяет физический слой и управление доступом к среде для беспроводных персональных сетей с низким уровнем скорости. Стандарт поддерживается рабочей группой </w:t>
      </w:r>
      <w:hyperlink r:id="rId5" w:tooltip="IEEE 802.15" w:history="1">
        <w:r w:rsidRPr="006274D1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IEEE 802.15</w:t>
        </w:r>
      </w:hyperlink>
      <w:r w:rsidRPr="005400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Аппаратура, построенная на базе данного стандарта, относится к устройствам малого радиуса действия. </w:t>
      </w:r>
    </w:p>
    <w:p w:rsidR="005400A3" w:rsidRDefault="005400A3" w:rsidP="005400A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00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 стандарта IEEE 802.15 — предложить нижние слои основания сети для сетей типа беспроводных персональных сетей, ориентированных на низкую стоимость, низкую скорость повсеместной связи между устройствами (по контрасту с многими более конечно-ориентированных на пользователя сетями, как например 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"https://ru.wikipedia.org/wiki/Wi-Fi" \o "Wi-Fi" </w:instrText>
      </w:r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5400A3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Wi-Fi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400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Акцент делается на очень низкой стоимости связи с ближайшими устройствами, совсем без (или с небольшой) базовой структурой, с целью эксплуатации на доселе небывалом низком уровне энергии.</w:t>
      </w:r>
    </w:p>
    <w:p w:rsidR="005400A3" w:rsidRPr="005400A3" w:rsidRDefault="005400A3" w:rsidP="005400A3">
      <w:pPr>
        <w:spacing w:after="100"/>
        <w:ind w:left="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его основе 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ZigBee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Alliance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разработал спецификацию протоколов сетевого и прикладного уровня, которые анонсировал в декабре 2004 года под названием "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ZigBee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" [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"https://bookasutp.ru/References.aspx" \l "153" </w:instrText>
      </w:r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5400A3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ZigBee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]. </w:t>
      </w:r>
      <w:proofErr w:type="spellStart"/>
      <w:r w:rsidRPr="005400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ZigBee</w:t>
      </w:r>
      <w:proofErr w:type="spellEnd"/>
      <w:r w:rsidRPr="005400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как и </w:t>
      </w:r>
      <w:proofErr w:type="spellStart"/>
      <w:r w:rsidRPr="005400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Bluetooth</w:t>
      </w:r>
      <w:proofErr w:type="spellEnd"/>
      <w:r w:rsidRPr="005400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использует </w:t>
      </w:r>
      <w:proofErr w:type="spellStart"/>
      <w:r w:rsidRPr="005400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нелицензируемый</w:t>
      </w:r>
      <w:proofErr w:type="spellEnd"/>
      <w:r w:rsidRPr="005400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диапазон 2,4 ГГц. Стандарт предусматривает также использование частот 868 МГц в Европе и 915 МГц в США. Максимальная скорость передачи составляет 250 кбит/с в диапазоне 2,4 ГГц. Диапазон 2,4 ГГц разделен на 11...26 каналов шириной по 5 МГц каждый.</w:t>
      </w:r>
    </w:p>
    <w:p w:rsidR="005400A3" w:rsidRDefault="005400A3" w:rsidP="005400A3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0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Несмотря на то, что вся идеология стандарта IEEE 802.15.4 построена в предположении, что типовая связь будет осуществляться на расстоянии около 10 м, стандарт не устанавливает требований к мощности передатчика. Этот параметр регулируется нормативными документами в области радиосвязи, специфическими для каждого государства. Наибольшее распространение на рынке имеют передатчики с мощностью 1 мВт, которые обеспечивают связь на расстоянии до 10 м в помещении, а также передатчики с мощностью 10 мВт, увеличивающие это расстояние до 80 м в помещении и до 1 км в условиях прямой видимости. Дальность связи можно увеличить применением антенн специальной конструкции.</w:t>
      </w:r>
    </w:p>
    <w:p w:rsidR="005400A3" w:rsidRPr="005400A3" w:rsidRDefault="005400A3" w:rsidP="005400A3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ZigBee</w:t>
      </w:r>
      <w:proofErr w:type="spellEnd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имеются три типа устройств:</w:t>
      </w:r>
    </w:p>
    <w:p w:rsidR="005400A3" w:rsidRPr="005400A3" w:rsidRDefault="005400A3" w:rsidP="005400A3">
      <w:pPr>
        <w:numPr>
          <w:ilvl w:val="0"/>
          <w:numId w:val="5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координатор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координатор</w:t>
      </w:r>
      <w:bookmarkEnd w:id="0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формирует топологию сети и может устанавливать мосты </w:t>
      </w:r>
      <w:proofErr w:type="gramStart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</w:t>
      </w:r>
      <w:proofErr w:type="gramEnd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другими сетями. В каждой </w:t>
      </w:r>
      <w:proofErr w:type="spellStart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ZigBee</w:t>
      </w:r>
      <w:proofErr w:type="spellEnd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сети имеется только один координатор;</w:t>
      </w:r>
    </w:p>
    <w:p w:rsidR="005400A3" w:rsidRPr="005400A3" w:rsidRDefault="005400A3" w:rsidP="005400A3">
      <w:pPr>
        <w:numPr>
          <w:ilvl w:val="0"/>
          <w:numId w:val="5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маршрутизатор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маршрутизатор</w:t>
      </w:r>
      <w:bookmarkEnd w:id="1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работает как промежуточное звено, передавая в нужном направлении данные от других устройств;</w:t>
      </w:r>
    </w:p>
    <w:p w:rsidR="005400A3" w:rsidRPr="005400A3" w:rsidRDefault="005400A3" w:rsidP="005400A3">
      <w:pPr>
        <w:numPr>
          <w:ilvl w:val="0"/>
          <w:numId w:val="5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конечное_устройство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конечное устройство</w:t>
      </w:r>
      <w:bookmarkEnd w:id="2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передает данные координатору или </w:t>
      </w:r>
      <w:proofErr w:type="gramStart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маршрутизатору  и</w:t>
      </w:r>
      <w:proofErr w:type="gramEnd"/>
      <w:r w:rsidRPr="005400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может связываться с аналогичными ему устройствами.</w:t>
      </w:r>
    </w:p>
    <w:p w:rsidR="005400A3" w:rsidRDefault="005400A3" w:rsidP="005400A3">
      <w:pPr>
        <w:spacing w:after="100" w:line="240" w:lineRule="auto"/>
        <w:ind w:left="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OSI сети 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ZigBee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в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таблице.</w:t>
      </w:r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 Она включает в себя физический уровень (PHY), канальный уровень, состоящий из подуровня доступа к среде передачи MAC и LLC, которые определяются стандартом IEEE 802.15.4, а также сетевой уровень </w:t>
      </w:r>
      <w:bookmarkStart w:id="3" w:name="NWK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NWK</w:t>
      </w:r>
      <w:bookmarkEnd w:id="3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) и уровень приложений </w:t>
      </w:r>
      <w:bookmarkStart w:id="4" w:name="APL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APL</w:t>
      </w:r>
      <w:bookmarkEnd w:id="4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, состоящий из подуровня поддержки приложений (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Support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sub-</w:t>
      </w:r>
      <w:proofErr w:type="gram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layer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  -</w:t>
      </w:r>
      <w:proofErr w:type="gram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bookmarkStart w:id="5" w:name="APS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APS</w:t>
      </w:r>
      <w:bookmarkEnd w:id="5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подуровня объектов устройств 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ZigBee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ZigBee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Device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 </w:t>
      </w:r>
      <w:bookmarkStart w:id="6" w:name="ZDO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ZDO</w:t>
      </w:r>
      <w:bookmarkEnd w:id="6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объектов 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Objects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определяемых изготовителем </w:t>
      </w:r>
      <w:proofErr w:type="spellStart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ZigBee</w:t>
      </w:r>
      <w:proofErr w:type="spellEnd"/>
      <w:r w:rsidRPr="005400A3">
        <w:rPr>
          <w:rFonts w:ascii="Times New Roman" w:hAnsi="Times New Roman" w:cs="Times New Roman"/>
          <w:color w:val="000000" w:themeColor="text1"/>
          <w:sz w:val="28"/>
          <w:szCs w:val="28"/>
        </w:rPr>
        <w:t>-устройств.</w:t>
      </w:r>
    </w:p>
    <w:p w:rsidR="0007750E" w:rsidRPr="005400A3" w:rsidRDefault="0007750E" w:rsidP="0007750E">
      <w:pPr>
        <w:spacing w:after="100" w:line="240" w:lineRule="auto"/>
        <w:ind w:left="60" w:hanging="48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7627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077" cy="162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A3" w:rsidRDefault="0007750E" w:rsidP="005400A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Подуровень MAC управляет доступом к радиоканалу, используя метод CSMA/CA. Он также отвечает за передачу </w:t>
      </w:r>
      <w:bookmarkStart w:id="7" w:name="маячковый_фрейм"/>
      <w:proofErr w:type="spellStart"/>
      <w:r w:rsidRPr="0007750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маячковых</w:t>
      </w:r>
      <w:proofErr w:type="spellEnd"/>
      <w:r w:rsidRPr="0007750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фреймов</w:t>
      </w:r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синхронизацию и обеспечение надежных методов передачи информации. Подуровень </w:t>
      </w:r>
      <w:bookmarkStart w:id="8" w:name="SSCS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SSCS</w:t>
      </w:r>
      <w:bookmarkEnd w:id="8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Service</w:t>
      </w:r>
      <w:proofErr w:type="spellEnd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Specific</w:t>
      </w:r>
      <w:proofErr w:type="spellEnd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Convergence</w:t>
      </w:r>
      <w:proofErr w:type="spellEnd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Sublayer</w:t>
      </w:r>
      <w:proofErr w:type="spellEnd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"подуровень сближения специфических сервисов") выполняет роль интерфейса между подуровнями LLC и MAC. Подуровень </w:t>
      </w:r>
      <w:proofErr w:type="gramStart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LLC  выполняет</w:t>
      </w:r>
      <w:proofErr w:type="gramEnd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связь сетевого уровня с уровнем MAC.</w:t>
      </w:r>
    </w:p>
    <w:p w:rsidR="0007750E" w:rsidRPr="0007750E" w:rsidRDefault="0007750E" w:rsidP="0007750E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Физический уровень модели OSI обеспечивает интерфейс между стеком протоколов и средой передачи информации (эфиром). Физический (PHY) и канал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ьный (MAC) уровни модели OSI </w:t>
      </w: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определены в стандарте IEEE 802.15.4. Они имеют следующие основные характеристики:</w:t>
      </w:r>
    </w:p>
    <w:p w:rsidR="0007750E" w:rsidRPr="0007750E" w:rsidRDefault="0007750E" w:rsidP="0007750E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 передачи: 250 кбит/с;</w:t>
      </w:r>
    </w:p>
    <w:p w:rsidR="0007750E" w:rsidRPr="0007750E" w:rsidRDefault="0007750E" w:rsidP="0007750E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короткий 16-битный адрес или расширенный длиной 64-бита;</w:t>
      </w:r>
    </w:p>
    <w:p w:rsidR="0007750E" w:rsidRPr="0007750E" w:rsidRDefault="0007750E" w:rsidP="0007750E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выделение интервала времени для передачи информации каждый узлом;</w:t>
      </w:r>
    </w:p>
    <w:p w:rsidR="0007750E" w:rsidRPr="0007750E" w:rsidRDefault="0007750E" w:rsidP="0007750E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 доступа к каналу типа CSMA/ CA;</w:t>
      </w:r>
    </w:p>
    <w:p w:rsidR="0007750E" w:rsidRPr="0007750E" w:rsidRDefault="0007750E" w:rsidP="0007750E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протокол обмена с уведомлением о получении;</w:t>
      </w:r>
    </w:p>
    <w:p w:rsidR="0007750E" w:rsidRPr="0007750E" w:rsidRDefault="0007750E" w:rsidP="0007750E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малое потребление мощности;</w:t>
      </w:r>
    </w:p>
    <w:p w:rsidR="0007750E" w:rsidRPr="0007750E" w:rsidRDefault="0007750E" w:rsidP="0007750E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уровня энергии;</w:t>
      </w:r>
    </w:p>
    <w:p w:rsidR="0007750E" w:rsidRPr="0007750E" w:rsidRDefault="0007750E" w:rsidP="0007750E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наличие индикатора качества связи;</w:t>
      </w:r>
    </w:p>
    <w:p w:rsidR="0007750E" w:rsidRPr="0007750E" w:rsidRDefault="0007750E" w:rsidP="0007750E">
      <w:pPr>
        <w:numPr>
          <w:ilvl w:val="0"/>
          <w:numId w:val="6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16 каналов в диапазоне 2,45 ГГц.</w:t>
      </w:r>
    </w:p>
    <w:p w:rsidR="0007750E" w:rsidRPr="0007750E" w:rsidRDefault="0007750E" w:rsidP="0007750E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 IEEE 802.15.4 использует модуляцию типа </w:t>
      </w:r>
      <w:bookmarkStart w:id="9" w:name="OQPSK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OQPSK</w:t>
      </w:r>
      <w:bookmarkEnd w:id="9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"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Offset-Quadrature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Phase-Shift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Keying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 - "смещенная квадратурная фазовая </w:t>
      </w:r>
      <w:bookmarkStart w:id="10" w:name="манипуляция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манипуляция</w:t>
      </w:r>
      <w:bookmarkEnd w:id="10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".</w:t>
      </w:r>
    </w:p>
    <w:p w:rsidR="0007750E" w:rsidRPr="0007750E" w:rsidRDefault="0007750E" w:rsidP="0007750E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 назначением физического уровня является прием и передача данных через радиоканал. Здесь также измеряется мощность радиосигнала, оценивается качество связи и чистота канала, осуществляется выбор канала.</w:t>
      </w:r>
    </w:p>
    <w:p w:rsidR="0007750E" w:rsidRPr="0007750E" w:rsidRDefault="0007750E" w:rsidP="0007750E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Подуровень MAC управляет маячком, доступом к каналу, выделяет гарантированные слоты времени, проверяет достоверность передачи фреймов, передает фрейм подтверждения о получении, выполняет часть работы по обеспечению защиты информации.</w:t>
      </w:r>
    </w:p>
    <w:p w:rsidR="0007750E" w:rsidRPr="0007750E" w:rsidRDefault="0007750E" w:rsidP="0007750E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Стандарт допускает опциональное использование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суперфреймовой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структуры сообщений (</w:t>
      </w:r>
      <w:hyperlink r:id="rId7" w:anchor="%D1%80%D0%B8%D1%81.%202.38" w:tooltip="рис. 2.38. Структура суперфрейма с гарантированными временными слотами ..." w:history="1">
        <w:r w:rsidRPr="0007750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рис. 1</w:t>
        </w:r>
      </w:hyperlink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Формат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суперфрейма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определяется сетевым координатором. </w:t>
      </w:r>
      <w:bookmarkStart w:id="11" w:name="суперфрейм"/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Суперфрейм</w:t>
      </w:r>
      <w:bookmarkEnd w:id="11"/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с двух сторон ограничивается маячками, делится на 16 равных по длине слотов и посылается сетевым координатором. Маячок помещается на место первого слота каждого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суперфрейма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Координатор может отключить режим сообщений с маячками. Маячки используются для синхронизации присоединенных устройств, для идентификации сети и для описания структуры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суперфрейма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Любые устройства, желающие начать процесс коммуникации в промежуток времени между двумя маячками, должны использовать </w:t>
      </w:r>
      <w:bookmarkStart w:id="12" w:name="слотовый_механизм_доступа"/>
      <w:proofErr w:type="spellStart"/>
      <w:r w:rsidRPr="0007750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слотовый</w:t>
      </w:r>
      <w:proofErr w:type="spellEnd"/>
      <w:r w:rsidRPr="0007750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 </w:t>
      </w: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механизм доступа</w:t>
      </w:r>
      <w:bookmarkEnd w:id="12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CSMA/CA. Передача сообщений должна быть закончена до прихода следующего маячка.</w:t>
      </w:r>
    </w:p>
    <w:tbl>
      <w:tblPr>
        <w:tblW w:w="9198" w:type="dxa"/>
        <w:tblCellSpacing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8"/>
      </w:tblGrid>
      <w:tr w:rsidR="0007750E" w:rsidRPr="0007750E" w:rsidTr="0007750E">
        <w:trPr>
          <w:tblCellSpacing w:w="0" w:type="dxa"/>
        </w:trPr>
        <w:tc>
          <w:tcPr>
            <w:tcW w:w="91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50E" w:rsidRPr="0007750E" w:rsidRDefault="0007750E" w:rsidP="0007750E">
            <w:pPr>
              <w:spacing w:after="100" w:line="360" w:lineRule="atLeast"/>
              <w:ind w:left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bookmarkStart w:id="13" w:name="рис._2.38"/>
            <w:bookmarkEnd w:id="13"/>
            <w:r w:rsidRPr="0007750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>
                  <wp:extent cx="2962275" cy="1552575"/>
                  <wp:effectExtent l="0" t="0" r="9525" b="9525"/>
                  <wp:docPr id="2" name="Рисунок 2" descr="https://bookasutp.ru/Chapter2.files/image1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bookasutp.ru/Chapter2.files/image1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50E" w:rsidRPr="0007750E" w:rsidTr="0007750E">
        <w:trPr>
          <w:tblCellSpacing w:w="0" w:type="dxa"/>
        </w:trPr>
        <w:tc>
          <w:tcPr>
            <w:tcW w:w="91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50E" w:rsidRPr="0007750E" w:rsidRDefault="0007750E" w:rsidP="0007750E">
            <w:pPr>
              <w:spacing w:before="120" w:after="12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775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Рис.1. Структура </w:t>
            </w:r>
            <w:proofErr w:type="spellStart"/>
            <w:r w:rsidRPr="000775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суперфрейма</w:t>
            </w:r>
            <w:proofErr w:type="spellEnd"/>
            <w:r w:rsidRPr="000775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 гарантированными временными слотами</w:t>
            </w:r>
          </w:p>
        </w:tc>
      </w:tr>
    </w:tbl>
    <w:p w:rsidR="0007750E" w:rsidRPr="0007750E" w:rsidRDefault="0007750E" w:rsidP="0007750E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IEEE 802.15.4 устанавливает два м</w:t>
      </w:r>
      <w:r w:rsidR="006274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еханизма доступа к каналу CSMA/</w:t>
      </w: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CA, в зависимости от типа конфигурации сети. В сети без маячков используется обычный (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бесс</w:t>
      </w:r>
      <w:r w:rsidR="006274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лотовый</w:t>
      </w:r>
      <w:proofErr w:type="spellEnd"/>
      <w:r w:rsidR="006274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механизм доступа CSMA/</w:t>
      </w: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CA. Каждый раз, когда устройство собирается начать передачу, оно должно выдержать </w:t>
      </w:r>
      <w:r w:rsidRPr="0007750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паузу случайной </w:t>
      </w:r>
      <w:r w:rsidRPr="0007750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lastRenderedPageBreak/>
        <w:t>величины</w:t>
      </w:r>
      <w:r w:rsidRPr="0007750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 </w:t>
      </w: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того, как канал освободится. Случайная задержка нужна потому, что очень вероятно, что многие устройства сети ждут освобождения канала и поэтому после его освобождения могут начать передачу одновременно. Если канал занят, то устройство может повторить попытку после повторной случайной задержки. Фреймы подтверждения о получении посылаются сразу, без использования описанного алгоритма.</w:t>
      </w:r>
    </w:p>
    <w:p w:rsidR="0007750E" w:rsidRPr="0007750E" w:rsidRDefault="0007750E" w:rsidP="0007750E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сети с маячками используется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слотовый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(тактированный) механизм доступа CSMA/CA, в котором начало временного слота должно совпадать с границей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суперфрейма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bookmarkStart w:id="14" w:name="сетевой:координатор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сетевого координатора</w:t>
      </w:r>
      <w:bookmarkEnd w:id="14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т.е. начало слота для каждого устройства должно быть синхронизировано с началом передачи маячка сетевым координатором. Поскольку устройство не может начать передачу, пока не найдет маячок, а маячки рассылаются только сетевым координатором, то сетевой координатор с помощью маячков выполняет тактирование актов обмена во всей сети. При этом PHY уровень должен обеспечить, чтобы все передачи в сети начинались одновременно с началом слотов. Введение описанной синхронизации позволяет уменьшить вероятность одновременной передачи сообщений несколькими узлами сети.</w:t>
      </w:r>
    </w:p>
    <w:p w:rsidR="0007750E" w:rsidRDefault="0007750E" w:rsidP="005400A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устройств, которые требуют срочной доставки или большой пропускной способности канала, сетевой координатор может зарезервировать часть </w:t>
      </w:r>
      <w:proofErr w:type="spellStart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суперфрейма</w:t>
      </w:r>
      <w:proofErr w:type="spellEnd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будет отс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утствовать конкуренция за канал (как это показано на рис. 1)</w:t>
      </w:r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поскольку в это время сетевой координатор запрещает любую передачу всем другим устройствам. Эта часть слотов </w:t>
      </w:r>
      <w:proofErr w:type="spellStart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суперфрейма</w:t>
      </w:r>
      <w:proofErr w:type="spellEnd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называется гарантированными временными слотами (</w:t>
      </w:r>
      <w:proofErr w:type="spellStart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Guaranteed</w:t>
      </w:r>
      <w:proofErr w:type="spellEnd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 </w:t>
      </w:r>
      <w:bookmarkStart w:id="15" w:name="GTSs"/>
      <w:proofErr w:type="spellStart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GTSs</w:t>
      </w:r>
      <w:bookmarkEnd w:id="15"/>
      <w:proofErr w:type="spellEnd"/>
      <w:r w:rsidRPr="0007750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7750E" w:rsidRPr="0007750E" w:rsidRDefault="0007750E" w:rsidP="0007750E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IEEE 802.15.4 существует три типа обменных процессов:</w:t>
      </w:r>
    </w:p>
    <w:p w:rsidR="0007750E" w:rsidRPr="0007750E" w:rsidRDefault="0007750E" w:rsidP="0007750E">
      <w:pPr>
        <w:numPr>
          <w:ilvl w:val="0"/>
          <w:numId w:val="7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передача от устройства к сетевому координатору;</w:t>
      </w:r>
    </w:p>
    <w:p w:rsidR="0007750E" w:rsidRPr="0007750E" w:rsidRDefault="0007750E" w:rsidP="0007750E">
      <w:pPr>
        <w:numPr>
          <w:ilvl w:val="0"/>
          <w:numId w:val="7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передача от сетевого координатора к устройству;</w:t>
      </w:r>
    </w:p>
    <w:p w:rsidR="0007750E" w:rsidRPr="0007750E" w:rsidRDefault="0007750E" w:rsidP="0007750E">
      <w:pPr>
        <w:numPr>
          <w:ilvl w:val="0"/>
          <w:numId w:val="7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передача между двумя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одноранговыми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устройствами.</w:t>
      </w:r>
    </w:p>
    <w:p w:rsidR="0007750E" w:rsidRPr="0007750E" w:rsidRDefault="0007750E" w:rsidP="0007750E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Когда устройство собирается передать данные координатору в сети с маячками, оно сначала пытается обнаружить маячок. Когда маячок найден, устройство подстраивается к структуре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суперфрейма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Устройство передает данные координатору, используя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слотовый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механизм CSMA/ CA. В ответ координатор отсылает фрейм уведомления о получении. На этом цикл обмена заканчивается. Если устройство собирается передать данные в сети без маячков, оно передает данные, используя </w:t>
      </w:r>
      <w:bookmarkStart w:id="16" w:name="бесслотовый_метод_CSMA/CA"/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бесслотовый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метод CSMA/CA</w:t>
      </w:r>
      <w:bookmarkEnd w:id="16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tbl>
      <w:tblPr>
        <w:tblW w:w="9198" w:type="dxa"/>
        <w:tblCellSpacing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8"/>
      </w:tblGrid>
      <w:tr w:rsidR="0007750E" w:rsidRPr="0007750E" w:rsidTr="0007750E">
        <w:trPr>
          <w:tblCellSpacing w:w="0" w:type="dxa"/>
        </w:trPr>
        <w:tc>
          <w:tcPr>
            <w:tcW w:w="91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50E" w:rsidRPr="0007750E" w:rsidRDefault="0007750E" w:rsidP="0007750E">
            <w:pPr>
              <w:spacing w:after="100" w:line="360" w:lineRule="atLeast"/>
              <w:ind w:left="6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bookmarkStart w:id="17" w:name="рис._2.39"/>
            <w:bookmarkEnd w:id="17"/>
            <w:r w:rsidRPr="0007750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2581275" cy="2124075"/>
                  <wp:effectExtent l="0" t="0" r="9525" b="9525"/>
                  <wp:docPr id="3" name="Рисунок 3" descr="https://bookasutp.ru/Chapter2.files/image1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bookasutp.ru/Chapter2.files/image1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50E" w:rsidRPr="0007750E" w:rsidTr="0007750E">
        <w:trPr>
          <w:tblCellSpacing w:w="0" w:type="dxa"/>
        </w:trPr>
        <w:tc>
          <w:tcPr>
            <w:tcW w:w="91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50E" w:rsidRPr="0007750E" w:rsidRDefault="0007750E" w:rsidP="0007750E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775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Рис. 2. Процесс передачи данных от координатора к устройству</w:t>
            </w:r>
          </w:p>
        </w:tc>
      </w:tr>
    </w:tbl>
    <w:p w:rsidR="0007750E" w:rsidRPr="0007750E" w:rsidRDefault="0007750E" w:rsidP="0007750E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Когда координатор желает передать дынные устройству в сети с маячками, он помещает в маячок информацию о том, что имеются данные, готовые к передаче (</w:t>
      </w:r>
      <w:hyperlink r:id="rId10" w:anchor="%D1%80%D0%B8%D1%81.%202.39" w:history="1">
        <w:r w:rsidRPr="0007750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рис. 2</w:t>
        </w:r>
      </w:hyperlink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Устройство периодически анализирует содержание маячка и, если в нем имеется информация о наличии сообщения, готового к передаче, устройство передает команду запроса данных, используя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слотовый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метод CSMA/ CA. Координатор подтверждает прием запроса данных с помощью фрейма уведомления. Вслед за этим координатор отсылает данные, используя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слотовый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метод доступа CSMA/CA. Устройство подтверждает прием данных отправкой уведомления.</w:t>
      </w:r>
    </w:p>
    <w:p w:rsidR="0007750E" w:rsidRDefault="0007750E" w:rsidP="0007750E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координатор собирается передать данные без использования маячка, он запоминает данные и ждет запроса от устройства. Устройство может передать команду запроса данных координатору, используя </w:t>
      </w:r>
      <w:proofErr w:type="spellStart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бесслотовый</w:t>
      </w:r>
      <w:proofErr w:type="spellEnd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метод CSMA/CA. Координатор сначала посылает уведомление о получении (в том же цикле обмена), затем, используя CSMA/CA, отсылает данные и получает уведомление о получении от устройства.</w:t>
      </w:r>
    </w:p>
    <w:p w:rsidR="0007750E" w:rsidRPr="0007750E" w:rsidRDefault="0007750E" w:rsidP="0007750E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Структура фреймов была спроектирована по критерию минимальной сложности, обеспечивающей надежную передачу данных в зашумленном канале. В соответствии с моделью OSI, каждый нижележащий уровень добавляет к протоколу свой заголовок. Стандарт предусматривает четыре типа фреймов:</w:t>
      </w:r>
    </w:p>
    <w:p w:rsidR="0007750E" w:rsidRPr="0007750E" w:rsidRDefault="0007750E" w:rsidP="0007750E">
      <w:pPr>
        <w:numPr>
          <w:ilvl w:val="0"/>
          <w:numId w:val="8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 маячка;</w:t>
      </w:r>
    </w:p>
    <w:p w:rsidR="0007750E" w:rsidRPr="0007750E" w:rsidRDefault="0007750E" w:rsidP="0007750E">
      <w:pPr>
        <w:numPr>
          <w:ilvl w:val="0"/>
          <w:numId w:val="8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 данных;</w:t>
      </w:r>
    </w:p>
    <w:p w:rsidR="0007750E" w:rsidRPr="0007750E" w:rsidRDefault="0007750E" w:rsidP="0007750E">
      <w:pPr>
        <w:numPr>
          <w:ilvl w:val="0"/>
          <w:numId w:val="8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 уведомления о получении;</w:t>
      </w:r>
    </w:p>
    <w:p w:rsidR="0007750E" w:rsidRPr="0007750E" w:rsidRDefault="0007750E" w:rsidP="0007750E">
      <w:pPr>
        <w:numPr>
          <w:ilvl w:val="0"/>
          <w:numId w:val="8"/>
        </w:numPr>
        <w:spacing w:after="10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 команд MAC-подуровня</w:t>
      </w:r>
    </w:p>
    <w:tbl>
      <w:tblPr>
        <w:tblW w:w="9750" w:type="dxa"/>
        <w:tblCellSpacing w:w="0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07750E" w:rsidRPr="0007750E" w:rsidTr="0007750E">
        <w:trPr>
          <w:tblCellSpacing w:w="0" w:type="dxa"/>
        </w:trPr>
        <w:tc>
          <w:tcPr>
            <w:tcW w:w="74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50E" w:rsidRPr="0007750E" w:rsidRDefault="0007750E" w:rsidP="0007750E">
            <w:pPr>
              <w:spacing w:after="100" w:line="360" w:lineRule="atLeast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bookmarkStart w:id="18" w:name="рис._2.40"/>
            <w:bookmarkEnd w:id="18"/>
            <w:r w:rsidRPr="0007750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5838825" cy="962025"/>
                  <wp:effectExtent l="0" t="0" r="9525" b="9525"/>
                  <wp:docPr id="4" name="Рисунок 4" descr="https://bookasutp.ru/Chapter2.files/image1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bookasutp.ru/Chapter2.files/image1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50E" w:rsidRPr="0007750E" w:rsidTr="0007750E">
        <w:trPr>
          <w:tblCellSpacing w:w="0" w:type="dxa"/>
        </w:trPr>
        <w:tc>
          <w:tcPr>
            <w:tcW w:w="741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50E" w:rsidRPr="0007750E" w:rsidRDefault="0007750E" w:rsidP="0007750E">
            <w:pPr>
              <w:spacing w:before="120" w:after="12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Рис. 3</w:t>
            </w:r>
            <w:r w:rsidRPr="0007750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 Формат фрейма данных по стандарту IEEE 802.15.4</w:t>
            </w:r>
          </w:p>
        </w:tc>
      </w:tr>
    </w:tbl>
    <w:p w:rsidR="0007750E" w:rsidRPr="0007750E" w:rsidRDefault="0007750E" w:rsidP="0007750E">
      <w:pPr>
        <w:spacing w:after="100" w:line="240" w:lineRule="auto"/>
        <w:ind w:left="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9" w:name="фрейм:данных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 данных</w:t>
      </w:r>
      <w:bookmarkEnd w:id="19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(рис. 3</w:t>
      </w:r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начинается с преамбулы, которая совместно с полем "Старт" служит для синхронизации данных в приемнике, поле "Длина" содержит длину поля MAC подуровня в 8-битовых байтах (октетах). Поле "Управление" содержит служебную информацию об управлении фреймами, поле "Номер" содержит порядковый номер данных, поле "Адрес" содержит адресную информацию, в том числе 16-битный короткий или 64-битный расширенный адрес. Завершается фрейм полем контрольной суммы </w:t>
      </w:r>
      <w:bookmarkStart w:id="20" w:name="КС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</w:t>
      </w:r>
      <w:bookmarkEnd w:id="20"/>
      <w:r w:rsidRPr="0007750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7750E" w:rsidRDefault="006274D1" w:rsidP="0007750E">
      <w:pPr>
        <w:spacing w:after="100" w:line="240" w:lineRule="auto"/>
        <w:ind w:left="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4D1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Несколько взаимодействующих устройств могут образовывать автоматизированную систему управления, например, АСУ "Умный дом". В такой системе подуровень APS модели OSI обеспечивает распределение информации, поставляемой пользовательским приложением, между устройствами. Такой информацией могут быть, например, команды "Включить свет", посылаемые от приложения разным устройствам по радиоканалу.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 показан на рисунке ниже.</w:t>
      </w:r>
    </w:p>
    <w:p w:rsidR="005400A3" w:rsidRPr="006274D1" w:rsidRDefault="006274D1" w:rsidP="006274D1">
      <w:pPr>
        <w:spacing w:after="100" w:line="240" w:lineRule="auto"/>
        <w:ind w:left="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33875" cy="3919811"/>
            <wp:effectExtent l="0" t="0" r="0" b="5080"/>
            <wp:docPr id="6" name="Рисунок 6" descr="https://bookasutp.ru/Chapter2.files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ookasutp.ru/Chapter2.files/image12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40" cy="393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5400A3" w:rsidRPr="005400A3" w:rsidRDefault="005400A3" w:rsidP="005400A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400A3" w:rsidRPr="005400A3" w:rsidSect="005C752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143A2"/>
    <w:multiLevelType w:val="multilevel"/>
    <w:tmpl w:val="AF7A83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794F8D"/>
    <w:multiLevelType w:val="multilevel"/>
    <w:tmpl w:val="40A2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900C7"/>
    <w:multiLevelType w:val="multilevel"/>
    <w:tmpl w:val="E3BEB3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3900BC9"/>
    <w:multiLevelType w:val="hybridMultilevel"/>
    <w:tmpl w:val="AE08F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A50DE"/>
    <w:multiLevelType w:val="hybridMultilevel"/>
    <w:tmpl w:val="51CEA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B2C7D"/>
    <w:multiLevelType w:val="hybridMultilevel"/>
    <w:tmpl w:val="87A8A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01F69"/>
    <w:multiLevelType w:val="multilevel"/>
    <w:tmpl w:val="5046F0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E8731A9"/>
    <w:multiLevelType w:val="multilevel"/>
    <w:tmpl w:val="C3DEA2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49"/>
    <w:rsid w:val="0007750E"/>
    <w:rsid w:val="000B1982"/>
    <w:rsid w:val="001C6BBA"/>
    <w:rsid w:val="0028723A"/>
    <w:rsid w:val="003E1DDF"/>
    <w:rsid w:val="00430F4F"/>
    <w:rsid w:val="00491B8F"/>
    <w:rsid w:val="004B3149"/>
    <w:rsid w:val="005400A3"/>
    <w:rsid w:val="00545FC7"/>
    <w:rsid w:val="00586401"/>
    <w:rsid w:val="00610F28"/>
    <w:rsid w:val="006274D1"/>
    <w:rsid w:val="007772AF"/>
    <w:rsid w:val="007B0E8F"/>
    <w:rsid w:val="007D7341"/>
    <w:rsid w:val="00855993"/>
    <w:rsid w:val="00936E49"/>
    <w:rsid w:val="009B5DD7"/>
    <w:rsid w:val="00A058B8"/>
    <w:rsid w:val="00B60B6C"/>
    <w:rsid w:val="00B745BF"/>
    <w:rsid w:val="00DC2FF5"/>
    <w:rsid w:val="00E13B04"/>
    <w:rsid w:val="00E76463"/>
    <w:rsid w:val="00E90A5E"/>
    <w:rsid w:val="00ED3CA8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943C2-9DEE-4D2D-9D17-12E35522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23A"/>
    <w:pPr>
      <w:ind w:left="720"/>
      <w:contextualSpacing/>
    </w:pPr>
  </w:style>
  <w:style w:type="table" w:styleId="a4">
    <w:name w:val="Table Grid"/>
    <w:basedOn w:val="a1"/>
    <w:uiPriority w:val="39"/>
    <w:rsid w:val="003E1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D7341"/>
    <w:rPr>
      <w:color w:val="808080"/>
    </w:rPr>
  </w:style>
  <w:style w:type="character" w:styleId="a6">
    <w:name w:val="Hyperlink"/>
    <w:basedOn w:val="a0"/>
    <w:uiPriority w:val="99"/>
    <w:semiHidden/>
    <w:unhideWhenUsed/>
    <w:rsid w:val="005400A3"/>
    <w:rPr>
      <w:color w:val="0000FF"/>
      <w:u w:val="single"/>
    </w:rPr>
  </w:style>
  <w:style w:type="paragraph" w:customStyle="1" w:styleId="underpicture">
    <w:name w:val="underpicture"/>
    <w:basedOn w:val="a"/>
    <w:rsid w:val="00077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asutp.ru/Chapter2_11_2.aspx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hyperlink" Target="https://ru.wikipedia.org/wiki/IEEE_802.15" TargetMode="External"/><Relationship Id="rId10" Type="http://schemas.openxmlformats.org/officeDocument/2006/relationships/hyperlink" Target="https://bookasutp.ru/Chapter2_11_2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2020-04-23T22:48:00Z</dcterms:created>
  <dcterms:modified xsi:type="dcterms:W3CDTF">2020-04-23T22:48:00Z</dcterms:modified>
</cp:coreProperties>
</file>