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881AEE">
      <w:pPr>
        <w:pStyle w:val="a3"/>
        <w:rPr>
          <w:smallCaps/>
          <w:shd w:val="clear" w:color="auto" w:fill="FFFFFF"/>
        </w:rPr>
      </w:pPr>
      <w:bookmarkStart w:id="0" w:name="_GoBack"/>
      <w:bookmarkEnd w:id="0"/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881AEE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D37242" w:rsidP="00620BFC">
      <w:pPr>
        <w:pStyle w:val="a3"/>
        <w:spacing w:line="360" w:lineRule="auto"/>
        <w:rPr>
          <w:b/>
        </w:rPr>
      </w:pPr>
      <w:r>
        <w:rPr>
          <w:b/>
        </w:rPr>
        <w:t xml:space="preserve">Лабораторная работа № </w:t>
      </w:r>
      <w:r w:rsidR="00620BFC" w:rsidRPr="00DC0716">
        <w:rPr>
          <w:b/>
        </w:rPr>
        <w:t>2</w:t>
      </w:r>
    </w:p>
    <w:p w:rsidR="00D37242" w:rsidRPr="00D37242" w:rsidRDefault="00D37242" w:rsidP="008E7579">
      <w:pPr>
        <w:pStyle w:val="a3"/>
      </w:pPr>
      <w:r w:rsidRPr="00D37242">
        <w:t>ОЦЕНКА ОПАСНОСТИ ПОРАЖЕНИЯ ТОКОМ В ТРЁХФАЗНЫХ</w:t>
      </w:r>
    </w:p>
    <w:p w:rsidR="00D37242" w:rsidRPr="00D37242" w:rsidRDefault="00D37242" w:rsidP="008E7579">
      <w:pPr>
        <w:pStyle w:val="a3"/>
        <w:rPr>
          <w:bCs/>
        </w:rPr>
      </w:pPr>
      <w:r w:rsidRPr="00D37242">
        <w:rPr>
          <w:bCs/>
        </w:rPr>
        <w:t>ЭЛЕКТРИЧЕСКИХ СЕТЯХ НАПРЯЖЕНИЕМ ДО 1000 В.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881AEE" w:rsidRDefault="00881AEE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881AEE" w:rsidRDefault="00881AEE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881AEE" w:rsidRPr="00520085" w:rsidRDefault="00881AEE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620BFC" w:rsidRDefault="00620BFC" w:rsidP="00881AEE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№1</w:t>
      </w:r>
    </w:p>
    <w:p w:rsidR="00620BFC" w:rsidRDefault="00620BFC" w:rsidP="00881AEE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881AEE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881AEE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881AEE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881AEE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8E7579" w:rsidRDefault="008E7579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881AEE" w:rsidRDefault="00881AE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Москва</w:t>
      </w:r>
    </w:p>
    <w:p w:rsidR="00620BFC" w:rsidRDefault="00620BFC" w:rsidP="00620BFC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520085">
        <w:rPr>
          <w:rFonts w:cs="Times New Roman"/>
          <w:color w:val="000000"/>
          <w:szCs w:val="28"/>
          <w:shd w:val="clear" w:color="auto" w:fill="FFFFFF"/>
        </w:rPr>
        <w:t>201</w:t>
      </w:r>
      <w:r>
        <w:rPr>
          <w:rFonts w:cs="Times New Roman"/>
          <w:color w:val="000000"/>
          <w:szCs w:val="28"/>
          <w:shd w:val="clear" w:color="auto" w:fill="FFFFFF"/>
        </w:rPr>
        <w:t>7</w:t>
      </w:r>
    </w:p>
    <w:p w:rsidR="00D37242" w:rsidRPr="00D37242" w:rsidRDefault="00D37242" w:rsidP="00D37242">
      <w:pPr>
        <w:pStyle w:val="9"/>
        <w:rPr>
          <w:rFonts w:ascii="Times New Roman" w:hAnsi="Times New Roman" w:cs="Times New Roman"/>
          <w:b/>
          <w:i w:val="0"/>
          <w:sz w:val="28"/>
          <w:szCs w:val="28"/>
        </w:rPr>
      </w:pPr>
      <w:r w:rsidRPr="00D37242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i w:val="0"/>
          <w:sz w:val="28"/>
          <w:szCs w:val="28"/>
        </w:rPr>
        <w:t>:</w:t>
      </w:r>
    </w:p>
    <w:p w:rsidR="00D37242" w:rsidRPr="00D37242" w:rsidRDefault="00D37242" w:rsidP="00D37242">
      <w:pPr>
        <w:tabs>
          <w:tab w:val="left" w:pos="0"/>
        </w:tabs>
        <w:ind w:firstLine="720"/>
        <w:jc w:val="both"/>
        <w:rPr>
          <w:rFonts w:cs="Times New Roman"/>
          <w:szCs w:val="28"/>
        </w:rPr>
      </w:pPr>
      <w:r w:rsidRPr="00D37242">
        <w:rPr>
          <w:rFonts w:cs="Times New Roman"/>
          <w:szCs w:val="28"/>
        </w:rPr>
        <w:t xml:space="preserve">Оценить опасность прикосновения человека к токоведущим частям трёхфазных сетей напряжением до 1000 В. </w:t>
      </w:r>
    </w:p>
    <w:p w:rsidR="00D37242" w:rsidRPr="00D37242" w:rsidRDefault="00D37242" w:rsidP="00D37242">
      <w:pPr>
        <w:pStyle w:val="a9"/>
        <w:tabs>
          <w:tab w:val="left" w:pos="0"/>
        </w:tabs>
        <w:ind w:firstLine="720"/>
        <w:jc w:val="both"/>
        <w:rPr>
          <w:rFonts w:ascii="Times New Roman" w:hAnsi="Times New Roman"/>
          <w:sz w:val="28"/>
          <w:szCs w:val="28"/>
        </w:rPr>
      </w:pPr>
      <w:r w:rsidRPr="00D37242">
        <w:rPr>
          <w:rFonts w:ascii="Times New Roman" w:hAnsi="Times New Roman"/>
          <w:sz w:val="28"/>
          <w:szCs w:val="28"/>
        </w:rPr>
        <w:t>Изучить влияние параметров сетей (режима нейтрали, сопротивлений изоляции и ёмкости фазных проводников относительно земли) на опасность поражения человека электрическим током.</w:t>
      </w:r>
    </w:p>
    <w:p w:rsidR="00A171B0" w:rsidRDefault="00A171B0"/>
    <w:p w:rsidR="00D37242" w:rsidRDefault="00D37242">
      <w:r>
        <w:rPr>
          <w:noProof/>
          <w:lang w:eastAsia="ru-RU"/>
        </w:rPr>
        <w:drawing>
          <wp:inline distT="0" distB="0" distL="0" distR="0">
            <wp:extent cx="5940425" cy="2808201"/>
            <wp:effectExtent l="0" t="0" r="3175" b="0"/>
            <wp:docPr id="1" name="Рисунок 1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42" w:rsidRDefault="00D37242" w:rsidP="00881AEE">
      <w:pPr>
        <w:jc w:val="center"/>
      </w:pPr>
      <w:r>
        <w:t>Рис.2.6. Схема лицевой панели стенда</w:t>
      </w:r>
    </w:p>
    <w:p w:rsidR="00772E17" w:rsidRDefault="00772E17" w:rsidP="00772E17">
      <w:pPr>
        <w:pStyle w:val="a3"/>
      </w:pPr>
      <w:r>
        <w:t xml:space="preserve">Таблица 2.1 </w:t>
      </w:r>
    </w:p>
    <w:p w:rsidR="00881AEE" w:rsidRPr="00772E17" w:rsidRDefault="00772E17" w:rsidP="00772E17">
      <w:pPr>
        <w:pStyle w:val="a3"/>
      </w:pPr>
      <w:r>
        <w:t>Заданные значения для бригады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7242" w:rsidTr="00D37242">
        <w:tc>
          <w:tcPr>
            <w:tcW w:w="2336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iCs/>
                <w:szCs w:val="28"/>
              </w:rPr>
              <w:t>№ бригады</w:t>
            </w:r>
          </w:p>
        </w:tc>
        <w:tc>
          <w:tcPr>
            <w:tcW w:w="2336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i/>
                <w:szCs w:val="28"/>
                <w:lang w:val="en-US"/>
              </w:rPr>
              <w:t>R</w:t>
            </w:r>
            <w:r w:rsidRPr="00D37242">
              <w:rPr>
                <w:rFonts w:cs="Times New Roman"/>
                <w:i/>
                <w:szCs w:val="28"/>
                <w:vertAlign w:val="subscript"/>
              </w:rPr>
              <w:t>1</w:t>
            </w:r>
            <w:r w:rsidRPr="00D37242">
              <w:rPr>
                <w:rFonts w:cs="Times New Roman"/>
                <w:i/>
                <w:szCs w:val="28"/>
              </w:rPr>
              <w:t>=</w:t>
            </w:r>
            <w:r w:rsidRPr="00D37242">
              <w:rPr>
                <w:rFonts w:cs="Times New Roman"/>
                <w:i/>
                <w:szCs w:val="28"/>
                <w:lang w:val="en-US"/>
              </w:rPr>
              <w:t>R</w:t>
            </w:r>
            <w:r w:rsidRPr="00D37242">
              <w:rPr>
                <w:rFonts w:cs="Times New Roman"/>
                <w:i/>
                <w:szCs w:val="28"/>
                <w:vertAlign w:val="subscript"/>
              </w:rPr>
              <w:t>2</w:t>
            </w:r>
            <w:r w:rsidRPr="00D37242">
              <w:rPr>
                <w:rFonts w:cs="Times New Roman"/>
                <w:i/>
                <w:szCs w:val="28"/>
              </w:rPr>
              <w:t>=</w:t>
            </w:r>
            <w:r w:rsidRPr="00D37242">
              <w:rPr>
                <w:rFonts w:cs="Times New Roman"/>
                <w:i/>
                <w:szCs w:val="28"/>
                <w:lang w:val="en-US"/>
              </w:rPr>
              <w:t>R</w:t>
            </w:r>
            <w:r w:rsidRPr="00D37242">
              <w:rPr>
                <w:rFonts w:cs="Times New Roman"/>
                <w:i/>
                <w:szCs w:val="28"/>
                <w:vertAlign w:val="subscript"/>
              </w:rPr>
              <w:t>3</w:t>
            </w:r>
            <w:r w:rsidRPr="00D37242">
              <w:rPr>
                <w:rFonts w:cs="Times New Roman"/>
                <w:iCs/>
                <w:szCs w:val="28"/>
              </w:rPr>
              <w:t>, кОм</w:t>
            </w:r>
          </w:p>
        </w:tc>
        <w:tc>
          <w:tcPr>
            <w:tcW w:w="2336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i/>
                <w:szCs w:val="28"/>
              </w:rPr>
              <w:t>С</w:t>
            </w:r>
            <w:r w:rsidRPr="00D37242">
              <w:rPr>
                <w:rFonts w:cs="Times New Roman"/>
                <w:i/>
                <w:szCs w:val="28"/>
                <w:vertAlign w:val="subscript"/>
              </w:rPr>
              <w:t>1</w:t>
            </w:r>
            <w:r w:rsidRPr="00D37242">
              <w:rPr>
                <w:rFonts w:cs="Times New Roman"/>
                <w:i/>
                <w:szCs w:val="28"/>
              </w:rPr>
              <w:t>=С</w:t>
            </w:r>
            <w:r w:rsidRPr="00D37242">
              <w:rPr>
                <w:rFonts w:cs="Times New Roman"/>
                <w:i/>
                <w:szCs w:val="28"/>
                <w:vertAlign w:val="subscript"/>
              </w:rPr>
              <w:t>2</w:t>
            </w:r>
            <w:r w:rsidRPr="00D37242">
              <w:rPr>
                <w:rFonts w:cs="Times New Roman"/>
                <w:i/>
                <w:szCs w:val="28"/>
              </w:rPr>
              <w:t>=С</w:t>
            </w:r>
            <w:r w:rsidRPr="00D37242">
              <w:rPr>
                <w:rFonts w:cs="Times New Roman"/>
                <w:i/>
                <w:szCs w:val="28"/>
                <w:vertAlign w:val="subscript"/>
              </w:rPr>
              <w:t>3</w:t>
            </w:r>
            <w:r w:rsidRPr="00D37242">
              <w:rPr>
                <w:rFonts w:cs="Times New Roman"/>
                <w:i/>
                <w:szCs w:val="28"/>
              </w:rPr>
              <w:t xml:space="preserve">, </w:t>
            </w:r>
            <w:r w:rsidRPr="00D37242">
              <w:rPr>
                <w:rFonts w:cs="Times New Roman"/>
                <w:iCs/>
                <w:szCs w:val="28"/>
              </w:rPr>
              <w:t>мкФ</w:t>
            </w:r>
          </w:p>
        </w:tc>
        <w:tc>
          <w:tcPr>
            <w:tcW w:w="2337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iCs/>
                <w:szCs w:val="28"/>
                <w:lang w:val="en-US"/>
              </w:rPr>
              <w:t>R</w:t>
            </w:r>
            <w:r w:rsidRPr="00D37242">
              <w:rPr>
                <w:rFonts w:cs="Times New Roman"/>
                <w:iCs/>
                <w:szCs w:val="28"/>
                <w:vertAlign w:val="subscript"/>
                <w:lang w:val="en-US"/>
              </w:rPr>
              <w:t>h</w:t>
            </w:r>
            <w:r w:rsidRPr="00D37242">
              <w:rPr>
                <w:rFonts w:cs="Times New Roman"/>
                <w:iCs/>
                <w:szCs w:val="28"/>
              </w:rPr>
              <w:t>+</w:t>
            </w:r>
            <w:r w:rsidRPr="00D37242">
              <w:rPr>
                <w:rFonts w:cs="Times New Roman"/>
                <w:iCs/>
                <w:szCs w:val="28"/>
                <w:lang w:val="en-US"/>
              </w:rPr>
              <w:t>R</w:t>
            </w:r>
            <w:r w:rsidRPr="00D37242">
              <w:rPr>
                <w:rFonts w:cs="Times New Roman"/>
                <w:iCs/>
                <w:szCs w:val="28"/>
                <w:vertAlign w:val="subscript"/>
              </w:rPr>
              <w:t>осн</w:t>
            </w:r>
            <w:r w:rsidRPr="00D37242">
              <w:rPr>
                <w:rFonts w:cs="Times New Roman"/>
                <w:iCs/>
                <w:szCs w:val="28"/>
              </w:rPr>
              <w:t>, кОм</w:t>
            </w:r>
          </w:p>
        </w:tc>
      </w:tr>
      <w:tr w:rsidR="00D37242" w:rsidTr="00D37242">
        <w:tc>
          <w:tcPr>
            <w:tcW w:w="2336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2336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szCs w:val="28"/>
              </w:rPr>
              <w:t>10</w:t>
            </w:r>
          </w:p>
        </w:tc>
        <w:tc>
          <w:tcPr>
            <w:tcW w:w="2336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szCs w:val="28"/>
              </w:rPr>
              <w:t>0</w:t>
            </w:r>
          </w:p>
        </w:tc>
        <w:tc>
          <w:tcPr>
            <w:tcW w:w="2337" w:type="dxa"/>
          </w:tcPr>
          <w:p w:rsidR="00D37242" w:rsidRPr="00D37242" w:rsidRDefault="00D37242" w:rsidP="00D37242">
            <w:pPr>
              <w:jc w:val="center"/>
              <w:rPr>
                <w:rFonts w:cs="Times New Roman"/>
                <w:szCs w:val="28"/>
              </w:rPr>
            </w:pPr>
            <w:r w:rsidRPr="00D37242">
              <w:rPr>
                <w:rFonts w:cs="Times New Roman"/>
                <w:szCs w:val="28"/>
              </w:rPr>
              <w:t>1</w:t>
            </w:r>
          </w:p>
        </w:tc>
      </w:tr>
    </w:tbl>
    <w:p w:rsidR="00D37242" w:rsidRDefault="00D37242"/>
    <w:p w:rsidR="00D37242" w:rsidRDefault="00D37242"/>
    <w:p w:rsidR="00D37242" w:rsidRDefault="00D37242"/>
    <w:p w:rsidR="00881AEE" w:rsidRDefault="00881AEE"/>
    <w:p w:rsidR="00881AEE" w:rsidRDefault="00881AEE"/>
    <w:p w:rsidR="00881AEE" w:rsidRDefault="00881AEE"/>
    <w:p w:rsidR="00881AEE" w:rsidRDefault="00881AEE"/>
    <w:p w:rsidR="00881AEE" w:rsidRDefault="00881AEE"/>
    <w:p w:rsidR="00881AEE" w:rsidRDefault="00881AEE"/>
    <w:p w:rsidR="00881AEE" w:rsidRDefault="00881AEE"/>
    <w:p w:rsidR="00881AEE" w:rsidRDefault="00881AEE"/>
    <w:p w:rsidR="00881AEE" w:rsidRDefault="00AD35EC" w:rsidP="00AD35EC">
      <w:pPr>
        <w:jc w:val="center"/>
      </w:pPr>
      <w:r>
        <w:lastRenderedPageBreak/>
        <w:t>Таблица 2.2</w:t>
      </w:r>
    </w:p>
    <w:tbl>
      <w:tblPr>
        <w:tblStyle w:val="ab"/>
        <w:tblpPr w:leftFromText="180" w:rightFromText="180" w:vertAnchor="text" w:horzAnchor="margin" w:tblpXSpec="right" w:tblpY="-35"/>
        <w:tblW w:w="10440" w:type="dxa"/>
        <w:tblLayout w:type="fixed"/>
        <w:tblLook w:val="04A0" w:firstRow="1" w:lastRow="0" w:firstColumn="1" w:lastColumn="0" w:noHBand="0" w:noVBand="1"/>
      </w:tblPr>
      <w:tblGrid>
        <w:gridCol w:w="445"/>
        <w:gridCol w:w="2363"/>
        <w:gridCol w:w="1156"/>
        <w:gridCol w:w="851"/>
        <w:gridCol w:w="850"/>
        <w:gridCol w:w="815"/>
        <w:gridCol w:w="1260"/>
        <w:gridCol w:w="689"/>
        <w:gridCol w:w="689"/>
        <w:gridCol w:w="690"/>
        <w:gridCol w:w="632"/>
      </w:tblGrid>
      <w:tr w:rsidR="00AD35EC" w:rsidTr="00AD35EC">
        <w:trPr>
          <w:trHeight w:val="1319"/>
        </w:trPr>
        <w:tc>
          <w:tcPr>
            <w:tcW w:w="445" w:type="dxa"/>
            <w:vMerge w:val="restart"/>
            <w:vAlign w:val="center"/>
            <w:hideMark/>
          </w:tcPr>
          <w:p w:rsidR="00AD35EC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363" w:type="dxa"/>
            <w:vMerge w:val="restart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Электрическая сеть</w:t>
            </w:r>
          </w:p>
        </w:tc>
        <w:tc>
          <w:tcPr>
            <w:tcW w:w="1156" w:type="dxa"/>
            <w:vMerge w:val="restart"/>
            <w:vAlign w:val="center"/>
            <w:hideMark/>
          </w:tcPr>
          <w:p w:rsidR="00AD35EC" w:rsidRPr="00D37242" w:rsidRDefault="00AD35EC" w:rsidP="00AD35EC">
            <w:pPr>
              <w:jc w:val="center"/>
              <w:rPr>
                <w:rFonts w:asciiTheme="minorHAnsi" w:hAnsiTheme="minorHAnsi"/>
                <w:sz w:val="22"/>
              </w:rPr>
            </w:pPr>
            <w:r>
              <w:t xml:space="preserve">Режим </w:t>
            </w:r>
            <w:r w:rsidRPr="00D37242">
              <w:rPr>
                <w:rFonts w:cs="Times New Roman"/>
                <w:iCs/>
                <w:sz w:val="24"/>
                <w:szCs w:val="24"/>
              </w:rPr>
              <w:t>работы</w:t>
            </w:r>
          </w:p>
        </w:tc>
        <w:tc>
          <w:tcPr>
            <w:tcW w:w="2516" w:type="dxa"/>
            <w:gridSpan w:val="3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Сопротивление</w:t>
            </w:r>
            <w:r>
              <w:rPr>
                <w:rFonts w:cs="Times New Roman"/>
                <w:iCs/>
                <w:sz w:val="24"/>
                <w:szCs w:val="24"/>
              </w:rPr>
              <w:t xml:space="preserve"> </w:t>
            </w:r>
            <w:r w:rsidRPr="00D37242">
              <w:rPr>
                <w:rFonts w:cs="Times New Roman"/>
                <w:iCs/>
                <w:sz w:val="24"/>
                <w:szCs w:val="24"/>
              </w:rPr>
              <w:t>изоляции фазных проводников, кОм</w:t>
            </w:r>
          </w:p>
        </w:tc>
        <w:tc>
          <w:tcPr>
            <w:tcW w:w="1260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Сопротивление замыкания, Ом</w:t>
            </w:r>
          </w:p>
        </w:tc>
        <w:tc>
          <w:tcPr>
            <w:tcW w:w="2700" w:type="dxa"/>
            <w:gridSpan w:val="4"/>
            <w:vAlign w:val="center"/>
            <w:hideMark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Ток через человека при поочередном прикосновении к проводникам, мА</w:t>
            </w:r>
          </w:p>
        </w:tc>
      </w:tr>
      <w:tr w:rsidR="00AD35EC" w:rsidTr="00AD35EC">
        <w:trPr>
          <w:trHeight w:val="1319"/>
        </w:trPr>
        <w:tc>
          <w:tcPr>
            <w:tcW w:w="445" w:type="dxa"/>
            <w:vMerge/>
            <w:vAlign w:val="center"/>
            <w:hideMark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363" w:type="dxa"/>
            <w:vMerge/>
            <w:vAlign w:val="center"/>
            <w:hideMark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156" w:type="dxa"/>
            <w:vMerge/>
            <w:vAlign w:val="center"/>
            <w:hideMark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51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15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0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</w:rPr>
              <w:t>зм</w:t>
            </w:r>
          </w:p>
        </w:tc>
        <w:tc>
          <w:tcPr>
            <w:tcW w:w="689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I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h1</w:t>
            </w:r>
          </w:p>
        </w:tc>
        <w:tc>
          <w:tcPr>
            <w:tcW w:w="689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I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h2</w:t>
            </w:r>
          </w:p>
        </w:tc>
        <w:tc>
          <w:tcPr>
            <w:tcW w:w="690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I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32" w:type="dxa"/>
            <w:vAlign w:val="center"/>
            <w:hideMark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I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  <w:lang w:val="en-US"/>
              </w:rPr>
              <w:t>N</w:t>
            </w:r>
          </w:p>
        </w:tc>
      </w:tr>
      <w:tr w:rsidR="00AD35EC" w:rsidTr="00AD35EC">
        <w:trPr>
          <w:trHeight w:val="794"/>
        </w:trPr>
        <w:tc>
          <w:tcPr>
            <w:tcW w:w="445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2363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с изолированной нейтралью</w:t>
            </w:r>
          </w:p>
        </w:tc>
        <w:tc>
          <w:tcPr>
            <w:tcW w:w="1156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Нормальный</w:t>
            </w:r>
          </w:p>
        </w:tc>
        <w:tc>
          <w:tcPr>
            <w:tcW w:w="851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AD35EC" w:rsidRPr="00D37242" w:rsidRDefault="00AD35EC" w:rsidP="00AD35EC">
            <w:pPr>
              <w:ind w:left="49" w:right="-1" w:hanging="49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9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2" w:type="dxa"/>
            <w:vAlign w:val="center"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AD35EC" w:rsidTr="00AD35EC">
        <w:trPr>
          <w:trHeight w:val="794"/>
        </w:trPr>
        <w:tc>
          <w:tcPr>
            <w:tcW w:w="445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2363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с изолированной нейтралью</w:t>
            </w:r>
          </w:p>
        </w:tc>
        <w:tc>
          <w:tcPr>
            <w:tcW w:w="1156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Аварийный</w:t>
            </w:r>
          </w:p>
        </w:tc>
        <w:tc>
          <w:tcPr>
            <w:tcW w:w="851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100</w:t>
            </w: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9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2" w:type="dxa"/>
            <w:vAlign w:val="center"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AD35EC" w:rsidTr="00AD35EC">
        <w:trPr>
          <w:trHeight w:val="794"/>
        </w:trPr>
        <w:tc>
          <w:tcPr>
            <w:tcW w:w="445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2363" w:type="dxa"/>
            <w:vAlign w:val="center"/>
            <w:hideMark/>
          </w:tcPr>
          <w:p w:rsidR="00AD35EC" w:rsidRPr="00D37242" w:rsidRDefault="00AD35EC" w:rsidP="00AD35EC">
            <w:pPr>
              <w:ind w:left="-85" w:right="-3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с глухозаземленной нейтралью (</w:t>
            </w: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</w:rPr>
              <w:t>0</w:t>
            </w:r>
            <w:r w:rsidRPr="00D37242">
              <w:rPr>
                <w:rFonts w:cs="Times New Roman"/>
                <w:iCs/>
                <w:sz w:val="24"/>
                <w:szCs w:val="24"/>
              </w:rPr>
              <w:t>=4 Ом)</w:t>
            </w:r>
          </w:p>
        </w:tc>
        <w:tc>
          <w:tcPr>
            <w:tcW w:w="1156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Нормальный</w:t>
            </w:r>
          </w:p>
        </w:tc>
        <w:tc>
          <w:tcPr>
            <w:tcW w:w="851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9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2" w:type="dxa"/>
            <w:vAlign w:val="center"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AD35EC" w:rsidTr="00AD35EC">
        <w:trPr>
          <w:trHeight w:val="794"/>
        </w:trPr>
        <w:tc>
          <w:tcPr>
            <w:tcW w:w="445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2363" w:type="dxa"/>
            <w:vAlign w:val="center"/>
            <w:hideMark/>
          </w:tcPr>
          <w:p w:rsidR="00AD35EC" w:rsidRPr="00D37242" w:rsidRDefault="00AD35EC" w:rsidP="00AD35EC">
            <w:pPr>
              <w:ind w:left="-85"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с глухозаземленной нейтралью (</w:t>
            </w:r>
            <w:r w:rsidRPr="00D37242"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 w:rsidRPr="00D37242">
              <w:rPr>
                <w:rFonts w:cs="Times New Roman"/>
                <w:iCs/>
                <w:sz w:val="24"/>
                <w:szCs w:val="24"/>
                <w:vertAlign w:val="subscript"/>
              </w:rPr>
              <w:t>0</w:t>
            </w:r>
            <w:r w:rsidRPr="00D37242">
              <w:rPr>
                <w:rFonts w:cs="Times New Roman"/>
                <w:iCs/>
                <w:sz w:val="24"/>
                <w:szCs w:val="24"/>
              </w:rPr>
              <w:t>=4 Ом)</w:t>
            </w:r>
          </w:p>
        </w:tc>
        <w:tc>
          <w:tcPr>
            <w:tcW w:w="1156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Аварийный</w:t>
            </w:r>
          </w:p>
        </w:tc>
        <w:tc>
          <w:tcPr>
            <w:tcW w:w="851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  <w:hideMark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D37242">
              <w:rPr>
                <w:rFonts w:cs="Times New Roman"/>
                <w:iCs/>
                <w:sz w:val="24"/>
                <w:szCs w:val="24"/>
              </w:rPr>
              <w:t>100</w:t>
            </w: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90" w:type="dxa"/>
            <w:vAlign w:val="center"/>
          </w:tcPr>
          <w:p w:rsidR="00AD35EC" w:rsidRPr="00D37242" w:rsidRDefault="00AD35EC" w:rsidP="00AD35EC">
            <w:pPr>
              <w:ind w:right="-1"/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2" w:type="dxa"/>
            <w:vAlign w:val="center"/>
          </w:tcPr>
          <w:p w:rsidR="00AD35EC" w:rsidRPr="00D37242" w:rsidRDefault="00AD35EC" w:rsidP="00AD35EC">
            <w:pPr>
              <w:jc w:val="center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AD35EC" w:rsidRDefault="00AD35EC" w:rsidP="00AD35EC">
      <w:pPr>
        <w:jc w:val="center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8E7579" w:rsidRDefault="008E7579" w:rsidP="008E7579">
      <w:pPr>
        <w:pStyle w:val="a3"/>
      </w:pPr>
    </w:p>
    <w:p w:rsidR="00772E17" w:rsidRDefault="00772E17" w:rsidP="008E7579">
      <w:pPr>
        <w:pStyle w:val="a3"/>
      </w:pPr>
    </w:p>
    <w:p w:rsidR="00772E17" w:rsidRDefault="00772E17" w:rsidP="008E7579">
      <w:pPr>
        <w:pStyle w:val="a3"/>
      </w:pPr>
    </w:p>
    <w:p w:rsidR="00772E17" w:rsidRDefault="00772E17" w:rsidP="008E7579">
      <w:pPr>
        <w:pStyle w:val="a3"/>
      </w:pPr>
    </w:p>
    <w:p w:rsidR="00772E17" w:rsidRDefault="00772E17" w:rsidP="008E7579">
      <w:pPr>
        <w:pStyle w:val="a3"/>
      </w:pPr>
    </w:p>
    <w:p w:rsidR="00772E17" w:rsidRDefault="00772E17" w:rsidP="008E7579">
      <w:pPr>
        <w:pStyle w:val="a3"/>
      </w:pPr>
    </w:p>
    <w:p w:rsidR="00772E17" w:rsidRDefault="00772E17" w:rsidP="008E7579">
      <w:pPr>
        <w:pStyle w:val="a3"/>
      </w:pPr>
    </w:p>
    <w:p w:rsidR="008E7579" w:rsidRDefault="008E7579" w:rsidP="008E7579">
      <w:pPr>
        <w:pStyle w:val="a3"/>
      </w:pPr>
      <w:r>
        <w:t xml:space="preserve">Таблица 2.3 </w:t>
      </w:r>
    </w:p>
    <w:p w:rsidR="008E7579" w:rsidRPr="008E7579" w:rsidRDefault="008E7579" w:rsidP="008E7579">
      <w:pPr>
        <w:pStyle w:val="a3"/>
      </w:pPr>
      <w:r>
        <w:t>Зависимость тока через человека от сопротивления изоляции проводников трёхфазной сети с изолированной нейтралью</w:t>
      </w:r>
    </w:p>
    <w:tbl>
      <w:tblPr>
        <w:tblW w:w="9975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001"/>
        <w:gridCol w:w="1002"/>
        <w:gridCol w:w="1002"/>
        <w:gridCol w:w="1002"/>
        <w:gridCol w:w="1002"/>
        <w:gridCol w:w="2736"/>
      </w:tblGrid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  <w:rPr>
                <w:sz w:val="24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3</w:t>
            </w:r>
            <w:r>
              <w:rPr>
                <w:iCs/>
              </w:rPr>
              <w:t>, кОм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25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50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200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rPr>
                <w:i/>
              </w:rPr>
              <w:t>С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мкФ</w:t>
            </w:r>
          </w:p>
        </w:tc>
      </w:tr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I</w:t>
            </w:r>
            <w:r>
              <w:rPr>
                <w:vertAlign w:val="subscript"/>
              </w:rPr>
              <w:t>h</w:t>
            </w:r>
            <w:r>
              <w:t>,мА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pStyle w:val="a5"/>
              <w:tabs>
                <w:tab w:val="left" w:pos="708"/>
              </w:tabs>
            </w:pPr>
          </w:p>
        </w:tc>
      </w:tr>
    </w:tbl>
    <w:p w:rsidR="008E7579" w:rsidRDefault="008E7579"/>
    <w:p w:rsidR="008E7579" w:rsidRDefault="008E7579" w:rsidP="008E7579">
      <w:pPr>
        <w:pStyle w:val="a3"/>
      </w:pPr>
      <w:r>
        <w:t>Таблица 2.4</w:t>
      </w:r>
    </w:p>
    <w:p w:rsidR="008E7579" w:rsidRDefault="008E7579" w:rsidP="008E7579">
      <w:pPr>
        <w:pStyle w:val="a3"/>
      </w:pPr>
      <w:r>
        <w:t>Зависимость тока через человека от ёмкости проводников на землю трёхфазной сети с изолированной нейтралью</w:t>
      </w:r>
    </w:p>
    <w:tbl>
      <w:tblPr>
        <w:tblW w:w="9975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001"/>
        <w:gridCol w:w="1002"/>
        <w:gridCol w:w="1002"/>
        <w:gridCol w:w="1002"/>
        <w:gridCol w:w="1002"/>
        <w:gridCol w:w="2736"/>
      </w:tblGrid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  <w:rPr>
                <w:sz w:val="24"/>
              </w:rPr>
            </w:pPr>
            <w:r>
              <w:rPr>
                <w:i/>
              </w:rPr>
              <w:t>С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мкФ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5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15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20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3</w:t>
            </w:r>
            <w:r>
              <w:rPr>
                <w:iCs/>
              </w:rPr>
              <w:t>, кОм</w:t>
            </w:r>
          </w:p>
        </w:tc>
      </w:tr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I</w:t>
            </w:r>
            <w:r>
              <w:rPr>
                <w:vertAlign w:val="subscript"/>
              </w:rPr>
              <w:t>h</w:t>
            </w:r>
            <w:r>
              <w:t>,мА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pStyle w:val="a5"/>
              <w:tabs>
                <w:tab w:val="left" w:pos="708"/>
              </w:tabs>
            </w:pPr>
          </w:p>
        </w:tc>
      </w:tr>
    </w:tbl>
    <w:p w:rsidR="008E7579" w:rsidRDefault="008E7579"/>
    <w:p w:rsidR="008E7579" w:rsidRDefault="008E7579" w:rsidP="008E7579">
      <w:pPr>
        <w:pStyle w:val="a3"/>
      </w:pPr>
      <w:r>
        <w:t>Таблица 2.5</w:t>
      </w:r>
    </w:p>
    <w:p w:rsidR="008E7579" w:rsidRDefault="008E7579" w:rsidP="008E7579">
      <w:pPr>
        <w:pStyle w:val="a3"/>
      </w:pPr>
      <w:r>
        <w:t>Зависимость тока через человека от сопротивления изоляции проводников трёхфазной сети с глухозаземленной нейтралью</w:t>
      </w:r>
    </w:p>
    <w:tbl>
      <w:tblPr>
        <w:tblW w:w="9615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001"/>
        <w:gridCol w:w="1002"/>
        <w:gridCol w:w="1002"/>
        <w:gridCol w:w="1002"/>
        <w:gridCol w:w="1002"/>
        <w:gridCol w:w="2376"/>
      </w:tblGrid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  <w:rPr>
                <w:sz w:val="24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3</w:t>
            </w:r>
            <w:r>
              <w:rPr>
                <w:iCs/>
              </w:rPr>
              <w:t>, кОм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25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50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200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rPr>
                <w:i/>
              </w:rPr>
              <w:t>С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мкФ</w:t>
            </w:r>
          </w:p>
        </w:tc>
      </w:tr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I</w:t>
            </w:r>
            <w:r>
              <w:rPr>
                <w:vertAlign w:val="subscript"/>
              </w:rPr>
              <w:t>h</w:t>
            </w:r>
            <w:r>
              <w:t>,мА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pStyle w:val="a5"/>
              <w:tabs>
                <w:tab w:val="left" w:pos="708"/>
              </w:tabs>
            </w:pPr>
          </w:p>
        </w:tc>
      </w:tr>
    </w:tbl>
    <w:p w:rsidR="008E7579" w:rsidRDefault="008E7579"/>
    <w:p w:rsidR="008E7579" w:rsidRDefault="008E7579" w:rsidP="008E7579">
      <w:pPr>
        <w:pStyle w:val="a3"/>
      </w:pPr>
      <w:r>
        <w:t>Таблица 2.6</w:t>
      </w:r>
    </w:p>
    <w:p w:rsidR="008E7579" w:rsidRDefault="008E7579" w:rsidP="008E7579">
      <w:pPr>
        <w:pStyle w:val="a3"/>
      </w:pPr>
      <w:r>
        <w:t>Зависимость тока через человека от ёмкости проводников относительно земли трёхфазной сети с глухозаземленной нейтралью</w:t>
      </w:r>
    </w:p>
    <w:tbl>
      <w:tblPr>
        <w:tblW w:w="9615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001"/>
        <w:gridCol w:w="1002"/>
        <w:gridCol w:w="1002"/>
        <w:gridCol w:w="1002"/>
        <w:gridCol w:w="1002"/>
        <w:gridCol w:w="2376"/>
      </w:tblGrid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  <w:rPr>
                <w:sz w:val="24"/>
              </w:rPr>
            </w:pPr>
            <w:r>
              <w:rPr>
                <w:i/>
              </w:rPr>
              <w:t>С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=С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мкФ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5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15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20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=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3</w:t>
            </w:r>
            <w:r>
              <w:rPr>
                <w:iCs/>
              </w:rPr>
              <w:t>, кОм</w:t>
            </w:r>
          </w:p>
        </w:tc>
      </w:tr>
      <w:tr w:rsidR="008E7579" w:rsidTr="008E7579">
        <w:trPr>
          <w:cantSplit/>
          <w:jc w:val="right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7579" w:rsidRDefault="008E7579">
            <w:pPr>
              <w:jc w:val="center"/>
            </w:pPr>
            <w:r>
              <w:t>I</w:t>
            </w:r>
            <w:r>
              <w:rPr>
                <w:vertAlign w:val="subscript"/>
              </w:rPr>
              <w:t>h</w:t>
            </w:r>
            <w:r>
              <w:t>,мА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jc w:val="center"/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579" w:rsidRDefault="008E7579">
            <w:pPr>
              <w:pStyle w:val="a5"/>
              <w:tabs>
                <w:tab w:val="left" w:pos="708"/>
              </w:tabs>
            </w:pPr>
          </w:p>
        </w:tc>
      </w:tr>
    </w:tbl>
    <w:p w:rsidR="00881AEE" w:rsidRDefault="00881AEE"/>
    <w:p w:rsidR="00881AEE" w:rsidRDefault="00881AEE"/>
    <w:p w:rsidR="00881AEE" w:rsidRDefault="00881AEE"/>
    <w:p w:rsidR="00881AEE" w:rsidRDefault="00881AEE"/>
    <w:sectPr w:rsidR="0088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23" w:rsidRDefault="007B0023" w:rsidP="00620BFC">
      <w:pPr>
        <w:spacing w:after="0" w:line="240" w:lineRule="auto"/>
      </w:pPr>
      <w:r>
        <w:separator/>
      </w:r>
    </w:p>
  </w:endnote>
  <w:endnote w:type="continuationSeparator" w:id="0">
    <w:p w:rsidR="007B0023" w:rsidRDefault="007B0023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23" w:rsidRDefault="007B0023" w:rsidP="00620BFC">
      <w:pPr>
        <w:spacing w:after="0" w:line="240" w:lineRule="auto"/>
      </w:pPr>
      <w:r>
        <w:separator/>
      </w:r>
    </w:p>
  </w:footnote>
  <w:footnote w:type="continuationSeparator" w:id="0">
    <w:p w:rsidR="007B0023" w:rsidRDefault="007B0023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A4145"/>
    <w:rsid w:val="00175DE1"/>
    <w:rsid w:val="00432DA8"/>
    <w:rsid w:val="00620BFC"/>
    <w:rsid w:val="00772E17"/>
    <w:rsid w:val="007B0023"/>
    <w:rsid w:val="00881AEE"/>
    <w:rsid w:val="008D3E75"/>
    <w:rsid w:val="008E7579"/>
    <w:rsid w:val="00A171B0"/>
    <w:rsid w:val="00AD35EC"/>
    <w:rsid w:val="00D37242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620BFC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620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</cp:revision>
  <dcterms:created xsi:type="dcterms:W3CDTF">2017-09-24T19:26:00Z</dcterms:created>
  <dcterms:modified xsi:type="dcterms:W3CDTF">2017-09-24T20:20:00Z</dcterms:modified>
</cp:coreProperties>
</file>