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3A8" w:rsidRP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>Вопрос 1</w:t>
      </w:r>
    </w:p>
    <w:p w:rsidR="005F035F" w:rsidRDefault="00DA1D26" w:rsidP="00502E11">
      <w:pPr>
        <w:pStyle w:val="-12"/>
        <w:jc w:val="both"/>
        <w:rPr>
          <w:b/>
          <w:bCs/>
        </w:rPr>
      </w:pPr>
      <w:r w:rsidRPr="00DA1D26">
        <w:rPr>
          <w:b/>
          <w:bCs/>
        </w:rPr>
        <w:t>Место систем спутниковой связи (ССС) в системах электросвязи.</w:t>
      </w:r>
      <w:r w:rsidRPr="00DA1D26">
        <w:rPr>
          <w:b/>
          <w:bCs/>
        </w:rPr>
        <w:t xml:space="preserve"> </w:t>
      </w:r>
      <w:r w:rsidRPr="00DA1D26">
        <w:rPr>
          <w:b/>
          <w:bCs/>
        </w:rPr>
        <w:t>Классификация ССС. Определение ССС типа VSAT.</w:t>
      </w:r>
    </w:p>
    <w:p w:rsidR="00901430" w:rsidRPr="00901430" w:rsidRDefault="00901430" w:rsidP="00901430">
      <w:pPr>
        <w:pStyle w:val="-12"/>
        <w:ind w:firstLine="0"/>
      </w:pPr>
      <w:r>
        <w:rPr>
          <w:noProof/>
        </w:rPr>
        <w:drawing>
          <wp:inline distT="0" distB="0" distL="0" distR="0" wp14:anchorId="59DCE0E0" wp14:editId="3F229AA9">
            <wp:extent cx="5940425" cy="3903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502E11" w:rsidTr="004F3BFC">
        <w:tc>
          <w:tcPr>
            <w:tcW w:w="9345" w:type="dxa"/>
            <w:gridSpan w:val="2"/>
          </w:tcPr>
          <w:p w:rsidR="00502E11" w:rsidRPr="00AC0C62" w:rsidRDefault="00502E11" w:rsidP="00AC0C62">
            <w:pPr>
              <w:pStyle w:val="-12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Системы спутниковой связи (ССС)</w:t>
            </w:r>
          </w:p>
        </w:tc>
      </w:tr>
      <w:tr w:rsidR="00010B4C" w:rsidTr="00AC0C62">
        <w:tc>
          <w:tcPr>
            <w:tcW w:w="5524" w:type="dxa"/>
          </w:tcPr>
          <w:p w:rsidR="00010B4C" w:rsidRPr="00AC0C62" w:rsidRDefault="00010B4C" w:rsidP="00AC0C62">
            <w:pPr>
              <w:pStyle w:val="-12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C0C62">
              <w:rPr>
                <w:b/>
                <w:bCs/>
              </w:rPr>
              <w:t>Космический комплекс</w:t>
            </w:r>
          </w:p>
          <w:p w:rsidR="00010B4C" w:rsidRDefault="00010B4C" w:rsidP="00AC0C62">
            <w:pPr>
              <w:pStyle w:val="-12"/>
              <w:numPr>
                <w:ilvl w:val="0"/>
                <w:numId w:val="1"/>
              </w:numPr>
              <w:spacing w:line="240" w:lineRule="auto"/>
            </w:pPr>
            <w:r>
              <w:t>КА с БРТР на орбите</w:t>
            </w:r>
          </w:p>
          <w:p w:rsidR="00010B4C" w:rsidRDefault="00010B4C" w:rsidP="00AC0C62">
            <w:pPr>
              <w:pStyle w:val="-12"/>
              <w:numPr>
                <w:ilvl w:val="0"/>
                <w:numId w:val="1"/>
              </w:numPr>
              <w:spacing w:line="240" w:lineRule="auto"/>
            </w:pPr>
            <w:r>
              <w:t>Средство выведения КА (ракетоноситель)</w:t>
            </w:r>
          </w:p>
          <w:p w:rsidR="00010B4C" w:rsidRDefault="00AC0C62" w:rsidP="00AC0C62">
            <w:pPr>
              <w:pStyle w:val="-12"/>
              <w:numPr>
                <w:ilvl w:val="0"/>
                <w:numId w:val="1"/>
              </w:numPr>
              <w:spacing w:line="240" w:lineRule="auto"/>
            </w:pPr>
            <w:r>
              <w:t>Центр управления КА (распложен на Земле)</w:t>
            </w:r>
          </w:p>
          <w:p w:rsidR="00AC0C62" w:rsidRDefault="00AC0C62" w:rsidP="00AC0C62">
            <w:pPr>
              <w:pStyle w:val="-12"/>
              <w:numPr>
                <w:ilvl w:val="0"/>
                <w:numId w:val="1"/>
              </w:numPr>
              <w:spacing w:line="240" w:lineRule="auto"/>
            </w:pPr>
            <w:r>
              <w:t>Командная радиолиния управления КА</w:t>
            </w:r>
          </w:p>
          <w:p w:rsidR="00AC0C62" w:rsidRDefault="00AC0C62" w:rsidP="00AC0C62">
            <w:pPr>
              <w:pStyle w:val="-12"/>
              <w:numPr>
                <w:ilvl w:val="0"/>
                <w:numId w:val="1"/>
              </w:numPr>
              <w:spacing w:line="240" w:lineRule="auto"/>
            </w:pPr>
            <w:r>
              <w:t>Стартовый комплекс средств выведения КА на орбиту</w:t>
            </w:r>
          </w:p>
        </w:tc>
        <w:tc>
          <w:tcPr>
            <w:tcW w:w="3821" w:type="dxa"/>
          </w:tcPr>
          <w:p w:rsidR="00010B4C" w:rsidRPr="00AC0C62" w:rsidRDefault="00010B4C" w:rsidP="00AC0C62">
            <w:pPr>
              <w:pStyle w:val="-12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C0C62">
              <w:rPr>
                <w:b/>
                <w:bCs/>
              </w:rPr>
              <w:t>Земной комплекс</w:t>
            </w:r>
          </w:p>
          <w:p w:rsidR="00AC0C62" w:rsidRDefault="00AC0C62" w:rsidP="00AC0C62">
            <w:pPr>
              <w:pStyle w:val="-12"/>
              <w:numPr>
                <w:ilvl w:val="0"/>
                <w:numId w:val="2"/>
              </w:numPr>
              <w:spacing w:line="240" w:lineRule="auto"/>
            </w:pPr>
            <w:r>
              <w:t>Земные станции спутниковой связи</w:t>
            </w:r>
          </w:p>
          <w:p w:rsidR="00AC0C62" w:rsidRDefault="00AC0C62" w:rsidP="00AC0C62">
            <w:pPr>
              <w:pStyle w:val="-12"/>
              <w:numPr>
                <w:ilvl w:val="0"/>
                <w:numId w:val="2"/>
              </w:numPr>
              <w:spacing w:line="240" w:lineRule="auto"/>
            </w:pPr>
            <w:r>
              <w:t>Центр управления ЗССС</w:t>
            </w:r>
          </w:p>
          <w:p w:rsidR="00AC0C62" w:rsidRDefault="00AC0C62" w:rsidP="00AC0C62">
            <w:pPr>
              <w:pStyle w:val="-12"/>
              <w:numPr>
                <w:ilvl w:val="0"/>
                <w:numId w:val="2"/>
              </w:numPr>
              <w:spacing w:line="240" w:lineRule="auto"/>
            </w:pPr>
            <w:r>
              <w:t>Наземные линии сопряжения ЗССС с наземными сетями электросвязи.</w:t>
            </w:r>
          </w:p>
        </w:tc>
      </w:tr>
    </w:tbl>
    <w:p w:rsidR="00010B4C" w:rsidRPr="00502E11" w:rsidRDefault="00502E11" w:rsidP="00502E11">
      <w:pPr>
        <w:pStyle w:val="-12"/>
        <w:jc w:val="both"/>
      </w:pPr>
      <w:r>
        <w:rPr>
          <w:lang w:val="en-US"/>
        </w:rPr>
        <w:t>VSAT</w:t>
      </w:r>
      <w:r w:rsidRPr="00502E11">
        <w:t xml:space="preserve"> </w:t>
      </w:r>
      <w:r>
        <w:t>связывают с ССС с терминалом малых габаритом и массой, преимущественно работающие с фиксированными по времени сеанса связи абонентами.</w:t>
      </w:r>
    </w:p>
    <w:p w:rsidR="00DA1D26" w:rsidRP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 xml:space="preserve">Вопрос </w:t>
      </w:r>
      <w:r w:rsidRPr="00DA1D26">
        <w:rPr>
          <w:b/>
          <w:bCs/>
        </w:rPr>
        <w:t>2</w:t>
      </w:r>
    </w:p>
    <w:p w:rsidR="00DA1D26" w:rsidRPr="00DA1D26" w:rsidRDefault="00DA1D26" w:rsidP="00DA1D26">
      <w:pPr>
        <w:pStyle w:val="-12"/>
        <w:jc w:val="both"/>
        <w:rPr>
          <w:b/>
          <w:bCs/>
          <w:lang w:eastAsia="ru-RU"/>
        </w:rPr>
      </w:pPr>
      <w:r w:rsidRPr="00DA1D26">
        <w:rPr>
          <w:b/>
          <w:bCs/>
          <w:lang w:eastAsia="ru-RU"/>
        </w:rPr>
        <w:t>Свойства (качества) ССС и их числовые характеристики. Показатель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качества (ПК), векторный ПК. Критерии выбора вариантов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проектирования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(приемлемости/допустимости;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безусловный;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условный). Постановка задачи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проектирования ССС</w:t>
      </w:r>
      <w:r>
        <w:rPr>
          <w:b/>
          <w:bCs/>
          <w:lang w:eastAsia="ru-RU"/>
        </w:rPr>
        <w:t>.</w:t>
      </w:r>
    </w:p>
    <w:p w:rsidR="00DA1D26" w:rsidRP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lastRenderedPageBreak/>
        <w:t xml:space="preserve">Вопрос </w:t>
      </w:r>
      <w:r w:rsidRPr="00DA1D26">
        <w:rPr>
          <w:b/>
          <w:bCs/>
        </w:rPr>
        <w:t>3</w:t>
      </w:r>
    </w:p>
    <w:p w:rsidR="00DA1D26" w:rsidRDefault="00DA1D26" w:rsidP="00DA1D26">
      <w:pPr>
        <w:pStyle w:val="-12"/>
        <w:jc w:val="both"/>
        <w:rPr>
          <w:b/>
          <w:bCs/>
        </w:rPr>
      </w:pPr>
      <w:r w:rsidRPr="00DA1D26">
        <w:rPr>
          <w:b/>
          <w:bCs/>
        </w:rPr>
        <w:t>Вещательная, фиксированная, подвижная службы спутниковой связи.</w:t>
      </w:r>
      <w:r w:rsidRPr="00DA1D26">
        <w:rPr>
          <w:b/>
          <w:bCs/>
        </w:rPr>
        <w:t xml:space="preserve"> </w:t>
      </w:r>
      <w:r w:rsidRPr="00DA1D26">
        <w:rPr>
          <w:b/>
          <w:bCs/>
        </w:rPr>
        <w:t>Место VSAT-систем на рынке услуг электросвязи.</w:t>
      </w:r>
    </w:p>
    <w:p w:rsidR="00DA1D26" w:rsidRDefault="00DA1D26" w:rsidP="00901430">
      <w:pPr>
        <w:pStyle w:val="-12"/>
        <w:jc w:val="both"/>
      </w:pPr>
      <w:r>
        <w:t>Вещательная служба описывает класс ССС с односторонним режимом передачи сообщения от одного источника к множеству абонентов в режиме приема сообщения</w:t>
      </w:r>
    </w:p>
    <w:p w:rsidR="00DA1D26" w:rsidRDefault="00DA1D26" w:rsidP="00901430">
      <w:pPr>
        <w:pStyle w:val="-12"/>
        <w:jc w:val="both"/>
      </w:pPr>
      <w:r>
        <w:t>Фиксированная служба описывает класс ССС с двусторонним обменом сообщениями между абонентами стационарного типа.</w:t>
      </w:r>
    </w:p>
    <w:p w:rsidR="00DA1D26" w:rsidRDefault="00DA1D26" w:rsidP="00901430">
      <w:pPr>
        <w:pStyle w:val="-12"/>
        <w:jc w:val="both"/>
      </w:pPr>
      <w:r>
        <w:t>Подвижная служба описывает класс ССС с двусторонний передачей сообщений между абонентами, изменяющими свое пространственное положение в течении времени сеанса связи.</w:t>
      </w:r>
    </w:p>
    <w:p w:rsidR="00901430" w:rsidRPr="00901430" w:rsidRDefault="00901430" w:rsidP="00901430">
      <w:pPr>
        <w:pStyle w:val="-12"/>
        <w:jc w:val="both"/>
      </w:pPr>
      <w:r>
        <w:t xml:space="preserve">Общее число производителей оборудования </w:t>
      </w:r>
      <w:r>
        <w:rPr>
          <w:lang w:val="en-US"/>
        </w:rPr>
        <w:t>VSAT</w:t>
      </w:r>
      <w:r w:rsidRPr="00901430">
        <w:t xml:space="preserve"> </w:t>
      </w:r>
      <w:r>
        <w:t>составляет 320 компаний. Количество компаний, предоставляющих услуги, составляет более 6,5 тысяч.</w:t>
      </w:r>
    </w:p>
    <w:p w:rsidR="00DA1D26" w:rsidRP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 xml:space="preserve">Вопрос </w:t>
      </w:r>
      <w:r w:rsidRPr="00DA1D26">
        <w:rPr>
          <w:b/>
          <w:bCs/>
        </w:rPr>
        <w:t>4</w:t>
      </w:r>
    </w:p>
    <w:p w:rsidR="00DA1D26" w:rsidRDefault="00DA1D26" w:rsidP="005F035F">
      <w:pPr>
        <w:pStyle w:val="-12"/>
        <w:jc w:val="both"/>
        <w:rPr>
          <w:b/>
          <w:bCs/>
          <w:lang w:eastAsia="ru-RU"/>
        </w:rPr>
      </w:pPr>
      <w:r w:rsidRPr="00DA1D26">
        <w:rPr>
          <w:b/>
          <w:bCs/>
          <w:lang w:eastAsia="ru-RU"/>
        </w:rPr>
        <w:t>Расчет энергетических и частотных ресурсов спутников связи для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работы VSAT-систем (уравнение радиосвязи для одного участка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симплексной радиолинии).</w:t>
      </w:r>
    </w:p>
    <w:p w:rsidR="005F035F" w:rsidRPr="00AE729D" w:rsidRDefault="005F035F" w:rsidP="005F035F">
      <w:pPr>
        <w:pStyle w:val="-12"/>
        <w:jc w:val="both"/>
      </w:pPr>
      <w:r>
        <w:t>Отношение мощности полезного сигнала к мощности шума для каждого из участков радиолинии:</w:t>
      </w:r>
    </w:p>
    <w:p w:rsidR="005F035F" w:rsidRPr="005F035F" w:rsidRDefault="005F035F" w:rsidP="005F0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прд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прм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∆f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ш</m:t>
                  </m:r>
                </m:sub>
              </m:sSub>
            </m:den>
          </m:f>
        </m:oMath>
      </m:oMathPara>
    </w:p>
    <w:p w:rsidR="005F035F" w:rsidRPr="00AE729D" w:rsidRDefault="005F035F" w:rsidP="005F035F">
      <w:pPr>
        <w:pStyle w:val="-12"/>
        <w:jc w:val="both"/>
      </w:pPr>
      <w:r w:rsidRPr="00AE729D">
        <w:t xml:space="preserve">Где </w:t>
      </w:r>
      <w:r>
        <w:t>КНД</w:t>
      </w:r>
      <w:r w:rsidRPr="00AE729D">
        <w:t xml:space="preserve"> </w:t>
      </w:r>
      <w:r>
        <w:t xml:space="preserve">в направлении максимума для </w:t>
      </w:r>
      <w:r w:rsidRPr="00AE729D">
        <w:t>зеркальной антенны:</w:t>
      </w:r>
    </w:p>
    <w:p w:rsidR="005F035F" w:rsidRPr="005F035F" w:rsidRDefault="005F035F" w:rsidP="005F035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КИП</m:t>
          </m:r>
        </m:oMath>
      </m:oMathPara>
    </w:p>
    <w:p w:rsid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 xml:space="preserve">Вопрос </w:t>
      </w:r>
      <w:r>
        <w:rPr>
          <w:b/>
          <w:bCs/>
        </w:rPr>
        <w:t>5</w:t>
      </w:r>
    </w:p>
    <w:p w:rsidR="00DA1D26" w:rsidRDefault="00DA1D26" w:rsidP="00DA1D26">
      <w:pPr>
        <w:pStyle w:val="-12"/>
        <w:jc w:val="both"/>
        <w:rPr>
          <w:b/>
          <w:bCs/>
          <w:lang w:eastAsia="ru-RU"/>
        </w:rPr>
      </w:pPr>
      <w:r w:rsidRPr="00DA1D26">
        <w:rPr>
          <w:b/>
          <w:bCs/>
          <w:lang w:eastAsia="ru-RU"/>
        </w:rPr>
        <w:t>Расчет энергетических и частотных ресурсов спутников связи для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работы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VSAT-систем (уравнение радиосвязи для симплексной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радиолинии с учетом участков «вверх», «вниз»).</w:t>
      </w:r>
    </w:p>
    <w:p w:rsidR="005F035F" w:rsidRDefault="005F035F" w:rsidP="005F035F">
      <w:pPr>
        <w:pStyle w:val="-12"/>
        <w:jc w:val="both"/>
      </w:pPr>
      <w:r>
        <w:t>Уравнение для полной радиолинии при работе ствола БРТР режиме «прямой» ретрансляции в линейном режиме:</w:t>
      </w:r>
    </w:p>
    <w:p w:rsidR="005F035F" w:rsidRPr="005F035F" w:rsidRDefault="005F035F" w:rsidP="005F035F">
      <w:pPr>
        <w:pStyle w:val="-12"/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с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ш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ш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II</m:t>
                  </m:r>
                </m:sub>
              </m:sSub>
            </m:den>
          </m:f>
        </m:oMath>
      </m:oMathPara>
    </w:p>
    <w:p w:rsid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lastRenderedPageBreak/>
        <w:t xml:space="preserve">Вопрос </w:t>
      </w:r>
      <w:r>
        <w:rPr>
          <w:b/>
          <w:bCs/>
        </w:rPr>
        <w:t>6</w:t>
      </w:r>
    </w:p>
    <w:p w:rsidR="00DA1D26" w:rsidRDefault="00DA1D26" w:rsidP="00DA1D26">
      <w:pPr>
        <w:pStyle w:val="-12"/>
        <w:jc w:val="both"/>
        <w:rPr>
          <w:b/>
          <w:bCs/>
          <w:lang w:eastAsia="ru-RU"/>
        </w:rPr>
      </w:pPr>
      <w:r w:rsidRPr="00DA1D26">
        <w:rPr>
          <w:b/>
          <w:bCs/>
          <w:lang w:eastAsia="ru-RU"/>
        </w:rPr>
        <w:t>Структура сети первичных каналов связи VSAT-систем – радиальная;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«каждый-с каждым». Состав оборудования систем типа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VSAT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(радиочастотная часть; оборудование модуляции/демодуляции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сигналов; подсистема управления сетью; подсистема условного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доступа/авторизации абонентов</w:t>
      </w:r>
      <w:r>
        <w:rPr>
          <w:b/>
          <w:bCs/>
          <w:lang w:eastAsia="ru-RU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01430" w:rsidTr="00901430">
        <w:tc>
          <w:tcPr>
            <w:tcW w:w="4672" w:type="dxa"/>
          </w:tcPr>
          <w:p w:rsidR="00901430" w:rsidRPr="00901430" w:rsidRDefault="00901430" w:rsidP="00901430">
            <w:pPr>
              <w:pStyle w:val="-12"/>
              <w:ind w:firstLine="0"/>
              <w:jc w:val="center"/>
              <w:rPr>
                <w:lang w:val="en-US"/>
              </w:rPr>
            </w:pPr>
            <w:r>
              <w:t>Радиальная структура сети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4CECFB" wp14:editId="69BFD518">
                  <wp:extent cx="2558270" cy="208800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27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901430" w:rsidRPr="00901430" w:rsidRDefault="00901430" w:rsidP="00901430">
            <w:pPr>
              <w:pStyle w:val="-12"/>
              <w:ind w:firstLine="0"/>
              <w:jc w:val="center"/>
              <w:rPr>
                <w:noProof/>
              </w:rPr>
            </w:pPr>
            <w:r>
              <w:t>Смешанная структура сети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1EA5BB" wp14:editId="77951252">
                  <wp:extent cx="2342418" cy="2088000"/>
                  <wp:effectExtent l="0" t="0" r="127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41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1430" w:rsidRPr="00901430" w:rsidRDefault="00901430" w:rsidP="00901430">
      <w:pPr>
        <w:pStyle w:val="-12"/>
        <w:ind w:firstLine="0"/>
      </w:pPr>
      <w:r>
        <w:t>Состав оборудования</w:t>
      </w:r>
      <w:r w:rsidR="00462CAA">
        <w:t>: Блок антенный, блок передающий, блок приемный, адаптер электропитания.</w:t>
      </w:r>
    </w:p>
    <w:p w:rsid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 xml:space="preserve">Вопрос </w:t>
      </w:r>
      <w:r>
        <w:rPr>
          <w:b/>
          <w:bCs/>
        </w:rPr>
        <w:t>7</w:t>
      </w:r>
    </w:p>
    <w:p w:rsidR="00DA1D26" w:rsidRDefault="00DA1D26" w:rsidP="00DA1D26">
      <w:pPr>
        <w:pStyle w:val="-12"/>
        <w:jc w:val="both"/>
        <w:rPr>
          <w:b/>
          <w:bCs/>
          <w:lang w:eastAsia="ru-RU"/>
        </w:rPr>
      </w:pPr>
      <w:r w:rsidRPr="00DA1D26">
        <w:rPr>
          <w:b/>
          <w:bCs/>
          <w:lang w:eastAsia="ru-RU"/>
        </w:rPr>
        <w:t>Типы орбит искусственных спутников связи (ИСЗ) в ССС (модель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кеплеровского движения). Свойства геостационарной орбиты. Зона</w:t>
      </w:r>
      <w:r w:rsidRPr="00DA1D26"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охвата/обслуживания в ССС; расчет угловых размеров зоны охвата.</w:t>
      </w:r>
    </w:p>
    <w:p w:rsidR="00462CAA" w:rsidRDefault="00462CAA" w:rsidP="00462CAA">
      <w:pPr>
        <w:pStyle w:val="-12"/>
      </w:pPr>
      <w:r>
        <w:t>М</w:t>
      </w:r>
      <w:r>
        <w:t>одель Кеплеровского движения</w:t>
      </w:r>
      <w:r>
        <w:t>:</w:t>
      </w:r>
    </w:p>
    <w:p w:rsidR="00462CAA" w:rsidRDefault="00462CAA" w:rsidP="00462CAA">
      <w:pPr>
        <w:pStyle w:val="-12"/>
        <w:ind w:firstLine="0"/>
        <w:jc w:val="both"/>
      </w:pPr>
      <w:r>
        <w:t>Свойства модел</w:t>
      </w:r>
      <w:r>
        <w:t>и</w:t>
      </w:r>
      <w:r>
        <w:t>:</w:t>
      </w:r>
    </w:p>
    <w:p w:rsidR="00462CAA" w:rsidRDefault="00462CAA" w:rsidP="00462CAA">
      <w:pPr>
        <w:pStyle w:val="-12"/>
        <w:numPr>
          <w:ilvl w:val="0"/>
          <w:numId w:val="3"/>
        </w:numPr>
        <w:spacing w:line="240" w:lineRule="auto"/>
        <w:jc w:val="both"/>
      </w:pPr>
      <w:r>
        <w:t>Поле тяготения Земли имеет центральный характер с центром в центре Земли, как следствие поле тяготения изотропно.</w:t>
      </w:r>
    </w:p>
    <w:p w:rsidR="00462CAA" w:rsidRDefault="00462CAA" w:rsidP="00462CAA">
      <w:pPr>
        <w:pStyle w:val="-12"/>
        <w:numPr>
          <w:ilvl w:val="0"/>
          <w:numId w:val="3"/>
        </w:numPr>
        <w:spacing w:line="240" w:lineRule="auto"/>
        <w:jc w:val="both"/>
      </w:pPr>
      <w:r>
        <w:t>Влияние полей тяготения других небесных тел не учитывается.</w:t>
      </w:r>
    </w:p>
    <w:p w:rsidR="00462CAA" w:rsidRDefault="00462CAA" w:rsidP="00462CAA">
      <w:pPr>
        <w:pStyle w:val="-12"/>
        <w:numPr>
          <w:ilvl w:val="0"/>
          <w:numId w:val="3"/>
        </w:numPr>
        <w:spacing w:line="240" w:lineRule="auto"/>
        <w:jc w:val="both"/>
      </w:pPr>
      <w:r>
        <w:t>Силовые воздействия околоземной среды не учитываются.</w:t>
      </w:r>
    </w:p>
    <w:p w:rsidR="00462CAA" w:rsidRDefault="00462CAA" w:rsidP="00462CAA">
      <w:pPr>
        <w:pStyle w:val="-12"/>
        <w:ind w:firstLine="0"/>
        <w:jc w:val="both"/>
      </w:pPr>
      <w:r>
        <w:t>Законы Кеплеровского движения:</w:t>
      </w:r>
    </w:p>
    <w:p w:rsidR="00462CAA" w:rsidRDefault="00462CAA" w:rsidP="00462CAA">
      <w:pPr>
        <w:pStyle w:val="-12"/>
        <w:numPr>
          <w:ilvl w:val="0"/>
          <w:numId w:val="4"/>
        </w:numPr>
        <w:spacing w:line="240" w:lineRule="auto"/>
        <w:jc w:val="both"/>
      </w:pPr>
      <w:r>
        <w:t>Траектория движения ИСЗ в поле Земли лежит в неизменной по времени плоскости, проходящей через центр Земли и представляет собой эллипс, в одном из фокусов которого находится центр Земли.</w:t>
      </w:r>
    </w:p>
    <w:p w:rsidR="00462CAA" w:rsidRDefault="00462CAA" w:rsidP="00462CAA">
      <w:pPr>
        <w:pStyle w:val="-12"/>
        <w:numPr>
          <w:ilvl w:val="0"/>
          <w:numId w:val="4"/>
        </w:numPr>
        <w:spacing w:line="240" w:lineRule="auto"/>
        <w:jc w:val="both"/>
      </w:pPr>
      <w:r>
        <w:t>Радиус-вектор ИСЗ движением по околоземной орбите за равные промежутки времени описывает равные площади.</w:t>
      </w:r>
    </w:p>
    <w:p w:rsidR="00462CAA" w:rsidRDefault="00462CAA" w:rsidP="00462CAA">
      <w:pPr>
        <w:pStyle w:val="-12"/>
        <w:numPr>
          <w:ilvl w:val="0"/>
          <w:numId w:val="4"/>
        </w:numPr>
        <w:spacing w:line="240" w:lineRule="auto"/>
        <w:jc w:val="both"/>
      </w:pPr>
      <w:r>
        <w:lastRenderedPageBreak/>
        <w:t>Отношение квадратов периодов обращения ИСЗ на орбите равен отношению кубов больших полуосей эллипсов соответствующих орбит.</w:t>
      </w:r>
    </w:p>
    <w:p w:rsidR="00462CAA" w:rsidRDefault="00462CAA" w:rsidP="00462CAA">
      <w:pPr>
        <w:pStyle w:val="-12"/>
        <w:spacing w:line="240" w:lineRule="auto"/>
        <w:ind w:firstLine="0"/>
        <w:jc w:val="both"/>
      </w:pPr>
      <w:r>
        <w:t>Свойства геостационарной орбиты:</w:t>
      </w:r>
    </w:p>
    <w:p w:rsidR="00462CAA" w:rsidRDefault="00462CAA" w:rsidP="00462CAA">
      <w:pPr>
        <w:pStyle w:val="-12"/>
        <w:numPr>
          <w:ilvl w:val="0"/>
          <w:numId w:val="5"/>
        </w:numPr>
        <w:spacing w:line="240" w:lineRule="auto"/>
        <w:jc w:val="both"/>
      </w:pPr>
      <w:r>
        <w:t>Круговая орбита (е = 0)</w:t>
      </w:r>
    </w:p>
    <w:p w:rsidR="00462CAA" w:rsidRDefault="00462CAA" w:rsidP="00462CAA">
      <w:pPr>
        <w:pStyle w:val="-12"/>
        <w:numPr>
          <w:ilvl w:val="0"/>
          <w:numId w:val="5"/>
        </w:numPr>
        <w:spacing w:line="240" w:lineRule="auto"/>
        <w:jc w:val="both"/>
      </w:pPr>
      <w:r>
        <w:t>Лежит в плоскости экватора (</w:t>
      </w:r>
      <w:r>
        <w:rPr>
          <w:lang w:val="en-US"/>
        </w:rPr>
        <w:t>i</w:t>
      </w:r>
      <w:r w:rsidRPr="00462CAA">
        <w:t xml:space="preserve"> = 0</w:t>
      </w:r>
      <w:r>
        <w:t>)</w:t>
      </w:r>
    </w:p>
    <w:p w:rsidR="00462CAA" w:rsidRDefault="00462CAA" w:rsidP="00462CAA">
      <w:pPr>
        <w:pStyle w:val="-12"/>
        <w:numPr>
          <w:ilvl w:val="0"/>
          <w:numId w:val="5"/>
        </w:numPr>
      </w:pPr>
      <w:r>
        <w:t>П</w:t>
      </w:r>
      <w:r>
        <w:t>ериод обращения КА вокруг Земли равен звездным суткам Земли</w:t>
      </w:r>
      <w:r>
        <w:t>.</w:t>
      </w:r>
    </w:p>
    <w:p w:rsidR="00462CAA" w:rsidRDefault="00462CAA" w:rsidP="00462CAA">
      <w:pPr>
        <w:pStyle w:val="-12"/>
        <w:ind w:firstLine="0"/>
      </w:pPr>
      <w:r>
        <w:t>Свойство высокоэллиптической орбиты:</w:t>
      </w:r>
    </w:p>
    <w:p w:rsidR="00462CAA" w:rsidRDefault="00462CAA" w:rsidP="00462CAA">
      <w:pPr>
        <w:pStyle w:val="-12"/>
        <w:numPr>
          <w:ilvl w:val="0"/>
          <w:numId w:val="6"/>
        </w:numPr>
        <w:spacing w:line="240" w:lineRule="auto"/>
        <w:jc w:val="both"/>
      </w:pPr>
      <w:r>
        <w:t>Эллиптическая орбита</w:t>
      </w:r>
      <w:r>
        <w:t xml:space="preserve"> (</w:t>
      </w:r>
      <w:r>
        <w:rPr>
          <w:lang w:val="en-US"/>
        </w:rPr>
        <w:t xml:space="preserve">0 &lt; </w:t>
      </w:r>
      <w:r>
        <w:t xml:space="preserve">е </w:t>
      </w:r>
      <w:r>
        <w:rPr>
          <w:lang w:val="en-US"/>
        </w:rPr>
        <w:t>&lt;</w:t>
      </w:r>
      <w:r>
        <w:t xml:space="preserve"> </w:t>
      </w:r>
      <w:r>
        <w:t>1</w:t>
      </w:r>
      <w:r>
        <w:t>)</w:t>
      </w:r>
    </w:p>
    <w:p w:rsidR="00462CAA" w:rsidRDefault="00462CAA" w:rsidP="00462CAA">
      <w:pPr>
        <w:pStyle w:val="-12"/>
        <w:numPr>
          <w:ilvl w:val="0"/>
          <w:numId w:val="6"/>
        </w:numPr>
        <w:spacing w:line="240" w:lineRule="auto"/>
        <w:jc w:val="both"/>
      </w:pPr>
      <w:r>
        <w:t>Наклон</w:t>
      </w:r>
      <w:r>
        <w:t xml:space="preserve"> (</w:t>
      </w:r>
      <w:r>
        <w:rPr>
          <w:lang w:val="en-US"/>
        </w:rPr>
        <w:t>i</w:t>
      </w:r>
      <w:r w:rsidRPr="00462CAA">
        <w:t xml:space="preserve"> = </w:t>
      </w:r>
      <w:r>
        <w:t>63</w:t>
      </w:r>
      <w:r>
        <w:t>)</w:t>
      </w:r>
    </w:p>
    <w:p w:rsidR="00462CAA" w:rsidRDefault="00462CAA" w:rsidP="00462CAA">
      <w:pPr>
        <w:pStyle w:val="-12"/>
        <w:numPr>
          <w:ilvl w:val="0"/>
          <w:numId w:val="6"/>
        </w:numPr>
      </w:pPr>
      <w:r>
        <w:t xml:space="preserve">Период обращения КА </w:t>
      </w:r>
      <w:r>
        <w:t>12 часов</w:t>
      </w:r>
    </w:p>
    <w:p w:rsidR="00462CAA" w:rsidRDefault="00590CAC" w:rsidP="00462CAA">
      <w:pPr>
        <w:pStyle w:val="-12"/>
        <w:ind w:firstLine="0"/>
        <w:rPr>
          <w:rFonts w:eastAsiaTheme="minorEastAsia"/>
        </w:rPr>
      </w:pPr>
      <w:r>
        <w:t xml:space="preserve">Зона видимости ИСЗ – это геометрическое место точек на поверхности Земли, у которых угол места линии визирования на ИЗС больше заданного </w:t>
      </w:r>
      <m:oMath>
        <m:r>
          <w:rPr>
            <w:rFonts w:ascii="Cambria Math" w:hAnsi="Cambria Math"/>
          </w:rPr>
          <m:t>β≥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min</m:t>
            </m:r>
          </m:sub>
        </m:sSub>
      </m:oMath>
      <w:r>
        <w:rPr>
          <w:rFonts w:eastAsiaTheme="minorEastAsia"/>
        </w:rPr>
        <w:t>.</w:t>
      </w:r>
    </w:p>
    <w:p w:rsidR="00590CAC" w:rsidRPr="00590CAC" w:rsidRDefault="00590CAC" w:rsidP="00590CAC">
      <w:pPr>
        <w:pStyle w:val="-12"/>
        <w:ind w:firstLine="0"/>
        <w:jc w:val="both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2γ=2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З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min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h+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З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 xml:space="preserve">Вопрос </w:t>
      </w:r>
      <w:r>
        <w:rPr>
          <w:b/>
          <w:bCs/>
        </w:rPr>
        <w:t>8</w:t>
      </w:r>
    </w:p>
    <w:p w:rsidR="00DA1D26" w:rsidRDefault="00DA1D26" w:rsidP="00DA1D26">
      <w:pPr>
        <w:pStyle w:val="-12"/>
        <w:jc w:val="both"/>
        <w:rPr>
          <w:b/>
          <w:bCs/>
          <w:lang w:eastAsia="ru-RU"/>
        </w:rPr>
      </w:pPr>
      <w:r w:rsidRPr="00DA1D26">
        <w:rPr>
          <w:b/>
          <w:bCs/>
          <w:lang w:eastAsia="ru-RU"/>
        </w:rPr>
        <w:t>Многостанционный доступ с разделением сигналов по частоте. Режим</w:t>
      </w:r>
      <w:r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работы ретранслятора для частотных режимов разделения; потери</w:t>
      </w:r>
      <w:r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мощности на излучение продуктов нелинейных искажений,</w:t>
      </w:r>
      <w:r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перекрестные искажения. Процедуры выделения ресурса по запросу и</w:t>
      </w:r>
      <w:r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синхронизации процессов передачи и приема для режима «один канал</w:t>
      </w:r>
      <w:r>
        <w:rPr>
          <w:b/>
          <w:bCs/>
          <w:lang w:eastAsia="ru-RU"/>
        </w:rPr>
        <w:t xml:space="preserve"> </w:t>
      </w:r>
      <w:r w:rsidRPr="00DA1D26">
        <w:rPr>
          <w:b/>
          <w:bCs/>
          <w:lang w:eastAsia="ru-RU"/>
        </w:rPr>
        <w:t>на несущей» (SCPC).</w:t>
      </w:r>
    </w:p>
    <w:p w:rsidR="00F978E9" w:rsidRDefault="00F978E9" w:rsidP="00CC28BF">
      <w:pPr>
        <w:pStyle w:val="-12"/>
        <w:jc w:val="both"/>
      </w:pPr>
      <w:r>
        <w:t xml:space="preserve">МДЧР – многосигнальный режим работы, при котором в каждый момент времени </w:t>
      </w:r>
      <w:r w:rsidR="00CC28BF">
        <w:t>ресурс связи может содержать одновременно несколько сигналов, разнесенных в спектре.</w:t>
      </w:r>
    </w:p>
    <w:p w:rsidR="00CC28BF" w:rsidRDefault="00CC28BF" w:rsidP="00CC28BF">
      <w:pPr>
        <w:pStyle w:val="-12"/>
        <w:jc w:val="both"/>
      </w:pPr>
      <w:r>
        <w:t>Для сохранения линейности режима работы ретранслятора необходимо снижение уровня РТ ствола, относительно режима насыщения с учетом пик-фактора.</w:t>
      </w:r>
    </w:p>
    <w:p w:rsidR="00CC28BF" w:rsidRPr="00F978E9" w:rsidRDefault="00CC28BF" w:rsidP="00CC28BF">
      <w:pPr>
        <w:pStyle w:val="-12"/>
        <w:ind w:firstLine="0"/>
      </w:pPr>
    </w:p>
    <w:p w:rsid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 xml:space="preserve">Вопрос </w:t>
      </w:r>
      <w:r>
        <w:rPr>
          <w:b/>
          <w:bCs/>
        </w:rPr>
        <w:t>9</w:t>
      </w:r>
    </w:p>
    <w:p w:rsidR="00DA1D26" w:rsidRDefault="00DA1D26" w:rsidP="005F035F">
      <w:pPr>
        <w:pStyle w:val="-12"/>
        <w:jc w:val="both"/>
        <w:rPr>
          <w:b/>
          <w:bCs/>
          <w:lang w:eastAsia="ru-RU"/>
        </w:rPr>
      </w:pPr>
      <w:r w:rsidRPr="005F035F">
        <w:rPr>
          <w:b/>
          <w:bCs/>
          <w:lang w:eastAsia="ru-RU"/>
        </w:rPr>
        <w:t>Многостанционный доступ с разделением сигналов по времени</w:t>
      </w:r>
      <w:r w:rsidR="005F035F">
        <w:rPr>
          <w:b/>
          <w:bCs/>
          <w:lang w:eastAsia="ru-RU"/>
        </w:rPr>
        <w:t>.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Процедуры выделения</w:t>
      </w:r>
      <w:r w:rsidR="005F035F"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ресурса по запросу и синхронизация процессов</w:t>
      </w:r>
      <w:r w:rsidR="005F035F"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приема и передачи информации для режима частотно-временного</w:t>
      </w:r>
      <w:r w:rsidR="005F035F"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доступа (MF-TDMA). Временная синхронизация.</w:t>
      </w:r>
      <w:r w:rsidR="005F035F"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Особенности работы</w:t>
      </w:r>
      <w:r w:rsidR="005F035F"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ретранслятора при</w:t>
      </w:r>
      <w:r w:rsidR="005F035F"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многостанционном доступе с временным</w:t>
      </w:r>
      <w:r w:rsidR="005F035F"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разделением.</w:t>
      </w:r>
    </w:p>
    <w:p w:rsidR="00583123" w:rsidRDefault="00CC28BF" w:rsidP="00583123">
      <w:pPr>
        <w:pStyle w:val="-12"/>
        <w:jc w:val="both"/>
      </w:pPr>
      <w:r>
        <w:lastRenderedPageBreak/>
        <w:t>МДВР организуется за счет синхронизации во времени моментов начала и конца передачи множества сигналов ЗССС между собой.</w:t>
      </w:r>
      <w:r w:rsidR="00583123">
        <w:t xml:space="preserve"> </w:t>
      </w:r>
    </w:p>
    <w:p w:rsidR="00583123" w:rsidRDefault="00583123" w:rsidP="00583123">
      <w:pPr>
        <w:pStyle w:val="-12"/>
        <w:jc w:val="both"/>
      </w:pPr>
      <w:r>
        <w:t>Полоса разделяется на служебные каналы и на полосу для сигналов.</w:t>
      </w:r>
    </w:p>
    <w:p w:rsidR="00030EEE" w:rsidRDefault="00583123" w:rsidP="00583123">
      <w:pPr>
        <w:pStyle w:val="-12"/>
        <w:jc w:val="both"/>
      </w:pPr>
      <w:r>
        <w:t xml:space="preserve">Из-за разброса </w:t>
      </w:r>
      <w:r>
        <w:t>ЗССС</w:t>
      </w:r>
      <w:r>
        <w:t xml:space="preserve"> по пространству в пределах зоны обслуживания разные временные задержки, для устранения этого используют единую шкалу времени. </w:t>
      </w:r>
      <w:r>
        <w:t>Защитные кадры защищают от нестабильности ОГ, и нестабильность положения КА.</w:t>
      </w:r>
      <w:r>
        <w:t xml:space="preserve"> </w:t>
      </w:r>
    </w:p>
    <w:p w:rsidR="00583123" w:rsidRPr="00CC28BF" w:rsidRDefault="00583123" w:rsidP="00583123">
      <w:pPr>
        <w:pStyle w:val="-12"/>
        <w:jc w:val="both"/>
      </w:pPr>
      <w:r>
        <w:t>Режим МДВР имеет наивысшую эффективность использования ствола БРТР.</w:t>
      </w:r>
    </w:p>
    <w:p w:rsid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 xml:space="preserve">Вопрос </w:t>
      </w:r>
      <w:r>
        <w:rPr>
          <w:b/>
          <w:bCs/>
        </w:rPr>
        <w:t>10</w:t>
      </w:r>
    </w:p>
    <w:p w:rsidR="005F035F" w:rsidRDefault="005F035F" w:rsidP="005F035F">
      <w:pPr>
        <w:pStyle w:val="-12"/>
        <w:jc w:val="both"/>
        <w:rPr>
          <w:b/>
          <w:bCs/>
          <w:lang w:eastAsia="ru-RU"/>
        </w:rPr>
      </w:pPr>
      <w:r w:rsidRPr="005F035F">
        <w:rPr>
          <w:b/>
          <w:bCs/>
          <w:lang w:eastAsia="ru-RU"/>
        </w:rPr>
        <w:t>Многостанционный доступ с кодовым разделением сигналов.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Сведения о кодовом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разделении сигналов (широкополосные сигналы).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Особенности работы ретранслятора при кодовом многостанционном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доступе.</w:t>
      </w:r>
    </w:p>
    <w:p w:rsidR="00583123" w:rsidRDefault="006E5331" w:rsidP="006E5331">
      <w:pPr>
        <w:pStyle w:val="-12"/>
        <w:jc w:val="both"/>
      </w:pPr>
      <w:r w:rsidRPr="006E5331">
        <w:t xml:space="preserve">МДКР организуется за счет разделения радиосигналов по форме, с применением попарно-ортогональных радиосигналов. Происходит перекрытие сигналов и во времени и по спектру. </w:t>
      </w:r>
      <w:r w:rsidRPr="006E5331">
        <w:t>При кодовом разделении в качестве кодов используют</w:t>
      </w:r>
      <w:r w:rsidRPr="006E5331">
        <w:t xml:space="preserve"> периодические широкополосные последовательности.</w:t>
      </w:r>
    </w:p>
    <w:p w:rsidR="006E5331" w:rsidRPr="006E5331" w:rsidRDefault="006E5331" w:rsidP="006E5331">
      <w:pPr>
        <w:pStyle w:val="-12"/>
        <w:jc w:val="both"/>
      </w:pPr>
      <w:r>
        <w:t>МДКР имеет худшую эффективность использования ресурсов ствола, примерно равную с МДЧР</w:t>
      </w:r>
    </w:p>
    <w:p w:rsid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t xml:space="preserve">Вопрос </w:t>
      </w:r>
      <w:r>
        <w:rPr>
          <w:b/>
          <w:bCs/>
        </w:rPr>
        <w:t>11</w:t>
      </w:r>
    </w:p>
    <w:p w:rsidR="005F035F" w:rsidRDefault="005F035F" w:rsidP="005F035F">
      <w:pPr>
        <w:pStyle w:val="-12"/>
        <w:jc w:val="both"/>
        <w:rPr>
          <w:b/>
          <w:bCs/>
          <w:lang w:eastAsia="ru-RU"/>
        </w:rPr>
      </w:pPr>
      <w:r w:rsidRPr="005F035F">
        <w:rPr>
          <w:b/>
          <w:bCs/>
          <w:lang w:eastAsia="ru-RU"/>
        </w:rPr>
        <w:t>Многостанционный доступ сигналов случайного типа. Основные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сведения о протоколе ALOHA (режим CSMA|CD). Особенности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работы ретранслятора при случайном многостанционном доступе</w:t>
      </w:r>
      <w:r>
        <w:rPr>
          <w:b/>
          <w:bCs/>
          <w:lang w:eastAsia="ru-RU"/>
        </w:rPr>
        <w:t>.</w:t>
      </w:r>
    </w:p>
    <w:p w:rsidR="00030EEE" w:rsidRPr="00030EEE" w:rsidRDefault="00460D09" w:rsidP="00030EEE">
      <w:pPr>
        <w:pStyle w:val="-12"/>
      </w:pPr>
      <w:r>
        <w:rPr>
          <w:noProof/>
        </w:rPr>
        <w:drawing>
          <wp:inline distT="0" distB="0" distL="0" distR="0" wp14:anchorId="3CEAB57C" wp14:editId="5D410416">
            <wp:extent cx="5572125" cy="2905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26" w:rsidRDefault="00DA1D26" w:rsidP="00DA1D26">
      <w:pPr>
        <w:pStyle w:val="-12"/>
        <w:ind w:firstLine="0"/>
        <w:jc w:val="center"/>
        <w:rPr>
          <w:b/>
          <w:bCs/>
        </w:rPr>
      </w:pPr>
      <w:r w:rsidRPr="00DA1D26">
        <w:rPr>
          <w:b/>
          <w:bCs/>
        </w:rPr>
        <w:lastRenderedPageBreak/>
        <w:t xml:space="preserve">Вопрос </w:t>
      </w:r>
      <w:r>
        <w:rPr>
          <w:b/>
          <w:bCs/>
        </w:rPr>
        <w:t>12</w:t>
      </w:r>
    </w:p>
    <w:p w:rsidR="00DA1D26" w:rsidRDefault="005F035F" w:rsidP="005F035F">
      <w:pPr>
        <w:pStyle w:val="-12"/>
        <w:jc w:val="both"/>
        <w:rPr>
          <w:b/>
          <w:bCs/>
          <w:lang w:eastAsia="ru-RU"/>
        </w:rPr>
      </w:pPr>
      <w:r w:rsidRPr="005F035F">
        <w:rPr>
          <w:b/>
          <w:bCs/>
          <w:lang w:eastAsia="ru-RU"/>
        </w:rPr>
        <w:t>Диапазоны частот, применяемых в ССС. Влияние диапазона частот на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пропускную способность ССС. Глобальное и зональное обслуживание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зоны видимости в ССС.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Многократное (повторное) использование</w:t>
      </w:r>
      <w:r w:rsidRPr="005F035F">
        <w:rPr>
          <w:b/>
          <w:bCs/>
          <w:lang w:eastAsia="ru-RU"/>
        </w:rPr>
        <w:t xml:space="preserve"> </w:t>
      </w:r>
      <w:r w:rsidRPr="005F035F">
        <w:rPr>
          <w:b/>
          <w:bCs/>
          <w:lang w:eastAsia="ru-RU"/>
        </w:rPr>
        <w:t>частот в ССС.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460D09" w:rsidTr="00E01384">
        <w:tc>
          <w:tcPr>
            <w:tcW w:w="1413" w:type="dxa"/>
          </w:tcPr>
          <w:p w:rsidR="00460D09" w:rsidRPr="00E01384" w:rsidRDefault="00460D09" w:rsidP="00E01384">
            <w:pPr>
              <w:pStyle w:val="-12"/>
              <w:spacing w:line="240" w:lineRule="auto"/>
              <w:ind w:firstLine="0"/>
            </w:pPr>
            <w:r>
              <w:t>Диапазон</w:t>
            </w:r>
          </w:p>
        </w:tc>
        <w:tc>
          <w:tcPr>
            <w:tcW w:w="1843" w:type="dxa"/>
          </w:tcPr>
          <w:p w:rsidR="00460D09" w:rsidRDefault="00460D09" w:rsidP="00E01384">
            <w:pPr>
              <w:pStyle w:val="-12"/>
              <w:spacing w:line="240" w:lineRule="auto"/>
              <w:ind w:firstLine="0"/>
            </w:pPr>
            <w:r>
              <w:t>Частоты, ГГ</w:t>
            </w:r>
            <w:r w:rsidR="00E01384">
              <w:t>ц</w:t>
            </w:r>
          </w:p>
        </w:tc>
      </w:tr>
      <w:tr w:rsidR="00E01384" w:rsidTr="00E01384">
        <w:tc>
          <w:tcPr>
            <w:tcW w:w="1413" w:type="dxa"/>
          </w:tcPr>
          <w:p w:rsidR="00E01384" w:rsidRDefault="00E01384" w:rsidP="00E01384">
            <w:pPr>
              <w:pStyle w:val="-12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:rsidR="00E01384" w:rsidRDefault="00E01384" w:rsidP="00E01384">
            <w:pPr>
              <w:pStyle w:val="-12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  <w:p w:rsidR="00E01384" w:rsidRDefault="00E01384" w:rsidP="00E01384">
            <w:pPr>
              <w:pStyle w:val="-12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E01384" w:rsidRDefault="00E01384" w:rsidP="00E01384">
            <w:pPr>
              <w:pStyle w:val="-12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Ku</w:t>
            </w:r>
          </w:p>
          <w:p w:rsidR="00E01384" w:rsidRDefault="00E01384" w:rsidP="00E01384">
            <w:pPr>
              <w:pStyle w:val="-12"/>
              <w:spacing w:line="240" w:lineRule="auto"/>
              <w:ind w:firstLine="0"/>
            </w:pPr>
            <w:r>
              <w:rPr>
                <w:lang w:val="en-US"/>
              </w:rPr>
              <w:t>Ka</w:t>
            </w:r>
          </w:p>
        </w:tc>
        <w:tc>
          <w:tcPr>
            <w:tcW w:w="1843" w:type="dxa"/>
          </w:tcPr>
          <w:p w:rsidR="00E01384" w:rsidRDefault="00E01384" w:rsidP="00E01384">
            <w:pPr>
              <w:pStyle w:val="-12"/>
              <w:spacing w:line="240" w:lineRule="auto"/>
              <w:ind w:firstLine="0"/>
            </w:pPr>
            <w:r>
              <w:t>1,5/1,6</w:t>
            </w:r>
          </w:p>
          <w:p w:rsidR="00E01384" w:rsidRDefault="00E01384" w:rsidP="00E01384">
            <w:pPr>
              <w:pStyle w:val="-12"/>
              <w:spacing w:line="240" w:lineRule="auto"/>
              <w:ind w:firstLine="0"/>
            </w:pPr>
            <w:r>
              <w:t>1,9/2,2</w:t>
            </w:r>
          </w:p>
          <w:p w:rsidR="00E01384" w:rsidRDefault="00E01384" w:rsidP="00E01384">
            <w:pPr>
              <w:pStyle w:val="-12"/>
              <w:spacing w:line="240" w:lineRule="auto"/>
              <w:ind w:firstLine="0"/>
            </w:pPr>
            <w:r>
              <w:t>4/6</w:t>
            </w:r>
          </w:p>
          <w:p w:rsidR="00E01384" w:rsidRDefault="00E01384" w:rsidP="00E01384">
            <w:pPr>
              <w:pStyle w:val="-12"/>
              <w:spacing w:line="240" w:lineRule="auto"/>
              <w:ind w:firstLine="0"/>
            </w:pPr>
            <w:r>
              <w:t>11/14</w:t>
            </w:r>
          </w:p>
          <w:p w:rsidR="00E01384" w:rsidRDefault="00E01384" w:rsidP="00E01384">
            <w:pPr>
              <w:pStyle w:val="-12"/>
              <w:spacing w:line="240" w:lineRule="auto"/>
              <w:ind w:firstLine="0"/>
            </w:pPr>
            <w:r>
              <w:t>20/30</w:t>
            </w:r>
          </w:p>
        </w:tc>
      </w:tr>
    </w:tbl>
    <w:p w:rsidR="00E01384" w:rsidRDefault="00E01384" w:rsidP="00E01384">
      <w:pPr>
        <w:pStyle w:val="-12"/>
        <w:spacing w:line="240" w:lineRule="auto"/>
        <w:ind w:firstLine="0"/>
        <w:jc w:val="center"/>
      </w:pPr>
      <w:r>
        <w:t>Частота передачи с КА на ЗССС</w:t>
      </w:r>
    </w:p>
    <w:p w:rsidR="00E01384" w:rsidRDefault="00E01384" w:rsidP="00E01384">
      <w:pPr>
        <w:pStyle w:val="-12"/>
        <w:spacing w:line="240" w:lineRule="auto"/>
        <w:ind w:firstLine="0"/>
        <w:jc w:val="center"/>
      </w:pPr>
      <w:r>
        <w:t>/</w:t>
      </w:r>
    </w:p>
    <w:p w:rsidR="00460D09" w:rsidRDefault="00E01384" w:rsidP="00E01384">
      <w:pPr>
        <w:pStyle w:val="-12"/>
        <w:spacing w:line="240" w:lineRule="auto"/>
        <w:ind w:firstLine="0"/>
        <w:jc w:val="center"/>
      </w:pPr>
      <w:r>
        <w:t>частота передачи с ЗССС на КА</w:t>
      </w:r>
      <w:r>
        <w:br w:type="textWrapping" w:clear="all"/>
      </w:r>
    </w:p>
    <w:p w:rsidR="00E01384" w:rsidRPr="00E01384" w:rsidRDefault="00E01384" w:rsidP="00E01384">
      <w:pPr>
        <w:pStyle w:val="-12"/>
      </w:pPr>
      <w:r>
        <w:t>При увеличении частотного диапазона увеличивается и пропускная способность.</w:t>
      </w:r>
    </w:p>
    <w:p w:rsidR="00460D09" w:rsidRDefault="00460D09" w:rsidP="00460D09">
      <w:pPr>
        <w:pStyle w:val="-12"/>
        <w:jc w:val="both"/>
      </w:pPr>
      <w:r>
        <w:t>Глобальное обслуживание зоны видимости КА называется метод, при котором ширина ДНА БРТР равна угловому размеру зоны видимости.</w:t>
      </w:r>
    </w:p>
    <w:p w:rsidR="00460D09" w:rsidRDefault="00460D09" w:rsidP="00460D09">
      <w:pPr>
        <w:pStyle w:val="-12"/>
        <w:jc w:val="both"/>
      </w:pPr>
      <w:r>
        <w:t>Зональное обслуживание зоны видимости КА называется метод, при котором обслуживание зоны видимости обеспечивается несколькими парциальными лучами ДНА БРТР.</w:t>
      </w:r>
    </w:p>
    <w:p w:rsidR="00E01384" w:rsidRPr="00E01384" w:rsidRDefault="00E01384" w:rsidP="00460D09">
      <w:pPr>
        <w:pStyle w:val="-12"/>
        <w:jc w:val="both"/>
      </w:pPr>
      <w:r>
        <w:t xml:space="preserve">Для ЗО характерно многократное использование частот. Доступная полоса частот в таком случае делится на </w:t>
      </w:r>
      <w:r>
        <w:rPr>
          <w:lang w:val="en-US"/>
        </w:rPr>
        <w:t>m</w:t>
      </w:r>
      <w:r w:rsidRPr="00E01384">
        <w:t xml:space="preserve"> </w:t>
      </w:r>
      <w:r>
        <w:t xml:space="preserve">подполос. Таким образом получаем выигрыш в </w:t>
      </w:r>
      <w:r>
        <w:rPr>
          <w:lang w:val="en-US"/>
        </w:rPr>
        <w:t>N</w:t>
      </w:r>
      <w:r w:rsidRPr="00E01384">
        <w:t>/</w:t>
      </w:r>
      <w:r>
        <w:rPr>
          <w:lang w:val="en-US"/>
        </w:rPr>
        <w:t>m</w:t>
      </w:r>
      <w:r w:rsidRPr="00E01384">
        <w:t xml:space="preserve"> </w:t>
      </w:r>
      <w:r>
        <w:t xml:space="preserve">раз. </w:t>
      </w:r>
      <w:r>
        <w:rPr>
          <w:lang w:val="en-US"/>
        </w:rPr>
        <w:t>N</w:t>
      </w:r>
      <w:r w:rsidRPr="00E01384">
        <w:t xml:space="preserve"> –</w:t>
      </w:r>
      <w:r>
        <w:t xml:space="preserve"> общее число лучей.</w:t>
      </w:r>
      <w:bookmarkStart w:id="0" w:name="_GoBack"/>
      <w:bookmarkEnd w:id="0"/>
    </w:p>
    <w:sectPr w:rsidR="00E01384" w:rsidRPr="00E01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E2B8F"/>
    <w:multiLevelType w:val="hybridMultilevel"/>
    <w:tmpl w:val="2E8ABEA0"/>
    <w:lvl w:ilvl="0" w:tplc="F2289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0A38"/>
    <w:multiLevelType w:val="hybridMultilevel"/>
    <w:tmpl w:val="4F0E28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4326A0"/>
    <w:multiLevelType w:val="hybridMultilevel"/>
    <w:tmpl w:val="1416E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80504"/>
    <w:multiLevelType w:val="hybridMultilevel"/>
    <w:tmpl w:val="1416E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A1858"/>
    <w:multiLevelType w:val="hybridMultilevel"/>
    <w:tmpl w:val="2DCE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C47C0"/>
    <w:multiLevelType w:val="hybridMultilevel"/>
    <w:tmpl w:val="99B2C978"/>
    <w:lvl w:ilvl="0" w:tplc="548CD1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662009"/>
    <w:multiLevelType w:val="hybridMultilevel"/>
    <w:tmpl w:val="5C06C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26"/>
    <w:rsid w:val="00010B4C"/>
    <w:rsid w:val="00030EEE"/>
    <w:rsid w:val="00460D09"/>
    <w:rsid w:val="00462CAA"/>
    <w:rsid w:val="00502E11"/>
    <w:rsid w:val="00583123"/>
    <w:rsid w:val="00590CAC"/>
    <w:rsid w:val="005F035F"/>
    <w:rsid w:val="006E5331"/>
    <w:rsid w:val="00901430"/>
    <w:rsid w:val="00995DA3"/>
    <w:rsid w:val="00A43557"/>
    <w:rsid w:val="00AC0C62"/>
    <w:rsid w:val="00C26257"/>
    <w:rsid w:val="00CC28BF"/>
    <w:rsid w:val="00DA1D26"/>
    <w:rsid w:val="00DB03A8"/>
    <w:rsid w:val="00E01384"/>
    <w:rsid w:val="00F9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9CB5"/>
  <w15:chartTrackingRefBased/>
  <w15:docId w15:val="{3CFCDD3D-A305-45BE-88C4-14012A27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C26257"/>
    <w:pPr>
      <w:spacing w:before="80" w:after="120" w:line="36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C2625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01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5697E-EE51-4218-BEFF-07DB8CB3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8</cp:revision>
  <dcterms:created xsi:type="dcterms:W3CDTF">2019-12-29T22:01:00Z</dcterms:created>
  <dcterms:modified xsi:type="dcterms:W3CDTF">2019-12-30T00:03:00Z</dcterms:modified>
</cp:coreProperties>
</file>