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FE076" w14:textId="77777777" w:rsidR="00B6017B" w:rsidRDefault="00B6017B" w:rsidP="00B6017B">
      <w:pPr>
        <w:spacing w:after="0"/>
        <w:jc w:val="both"/>
      </w:pPr>
      <w:bookmarkStart w:id="0" w:name="_GoBack"/>
      <w:bookmarkEnd w:id="0"/>
      <w:r>
        <w:t>Объекты</w:t>
      </w:r>
    </w:p>
    <w:p w14:paraId="7862D3DF" w14:textId="77777777" w:rsidR="00B6017B" w:rsidRDefault="00B6017B" w:rsidP="00B6017B">
      <w:pPr>
        <w:spacing w:after="0"/>
        <w:jc w:val="both"/>
      </w:pPr>
    </w:p>
    <w:p w14:paraId="02671D62" w14:textId="77777777" w:rsidR="00B6017B" w:rsidRDefault="00B6017B" w:rsidP="00B6017B">
      <w:pPr>
        <w:spacing w:after="0"/>
        <w:jc w:val="both"/>
      </w:pPr>
      <w:r>
        <w:t>Взаиморасчеты с покупателями ведутся в разрезе договоров</w:t>
      </w:r>
    </w:p>
    <w:p w14:paraId="48DEE662" w14:textId="77777777" w:rsidR="00B6017B" w:rsidRDefault="00B6017B" w:rsidP="00B6017B">
      <w:pPr>
        <w:spacing w:after="0"/>
        <w:jc w:val="both"/>
      </w:pPr>
      <w:r>
        <w:t xml:space="preserve">    ВидСубконто: Договоры</w:t>
      </w:r>
    </w:p>
    <w:p w14:paraId="2A3916C5" w14:textId="77777777" w:rsidR="00B6017B" w:rsidRDefault="00B6017B" w:rsidP="00B6017B">
      <w:pPr>
        <w:spacing w:after="0"/>
        <w:jc w:val="both"/>
      </w:pPr>
      <w:r>
        <w:t xml:space="preserve">    ВидСубконто: Документы (РасходныеНакладные) с детализацией до документа отгрузки.</w:t>
      </w:r>
    </w:p>
    <w:p w14:paraId="6B2B53E3" w14:textId="77777777" w:rsidR="00B6017B" w:rsidRDefault="00B6017B" w:rsidP="00B6017B">
      <w:pPr>
        <w:spacing w:after="0"/>
        <w:jc w:val="both"/>
      </w:pPr>
    </w:p>
    <w:p w14:paraId="783E20E0" w14:textId="77777777" w:rsidR="00B6017B" w:rsidRDefault="00B6017B" w:rsidP="00B6017B">
      <w:pPr>
        <w:spacing w:after="0"/>
        <w:jc w:val="both"/>
      </w:pPr>
      <w:r>
        <w:t>С каждым контрагентом может быть заключено произвольное количество договоров (наличие Табличной Части).</w:t>
      </w:r>
    </w:p>
    <w:p w14:paraId="0280237F" w14:textId="77777777" w:rsidR="00B6017B" w:rsidRDefault="00B6017B" w:rsidP="00B6017B">
      <w:pPr>
        <w:spacing w:after="0"/>
        <w:jc w:val="both"/>
      </w:pPr>
    </w:p>
    <w:p w14:paraId="08DE64D4" w14:textId="77777777" w:rsidR="00B6017B" w:rsidRDefault="00B6017B" w:rsidP="00B6017B">
      <w:pPr>
        <w:spacing w:after="0"/>
        <w:jc w:val="both"/>
      </w:pPr>
      <w:r>
        <w:t>В каждом договоре указывается дата окончания действия этого договора. 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 (договор вместе с контрагентом указывается в шапке документа). Пользователю должно быть запрещено указывать не соответствующий контрагенту договор.</w:t>
      </w:r>
    </w:p>
    <w:p w14:paraId="56CEDA81" w14:textId="77777777" w:rsidR="00B6017B" w:rsidRDefault="00B6017B" w:rsidP="00B6017B">
      <w:pPr>
        <w:spacing w:after="0"/>
        <w:jc w:val="both"/>
      </w:pPr>
    </w:p>
    <w:p w14:paraId="58A16E41" w14:textId="77777777" w:rsidR="00B6017B" w:rsidRDefault="00B6017B" w:rsidP="00B6017B">
      <w:pPr>
        <w:spacing w:after="0"/>
        <w:jc w:val="both"/>
      </w:pPr>
      <w:r>
        <w:t>Документ «Расходная накладная» формирует следующую проводку:</w:t>
      </w:r>
    </w:p>
    <w:p w14:paraId="440F97A5" w14:textId="77777777" w:rsidR="00B6017B" w:rsidRDefault="00B6017B" w:rsidP="00B6017B">
      <w:pPr>
        <w:spacing w:after="0"/>
        <w:jc w:val="both"/>
      </w:pPr>
      <w:r>
        <w:t xml:space="preserve">    Дт «Покупатели» - Кт «Прибыли и убытки» на сумму продажи</w:t>
      </w:r>
    </w:p>
    <w:p w14:paraId="25395B3A" w14:textId="77777777" w:rsidR="00B6017B" w:rsidRDefault="00B6017B" w:rsidP="00B6017B">
      <w:pPr>
        <w:spacing w:after="0"/>
        <w:jc w:val="both"/>
      </w:pPr>
    </w:p>
    <w:p w14:paraId="000367BB" w14:textId="246D8216" w:rsidR="00F12C76" w:rsidRDefault="00B6017B" w:rsidP="00B6017B">
      <w:pPr>
        <w:spacing w:after="0"/>
        <w:jc w:val="both"/>
      </w:pPr>
      <w:r>
        <w:t>Погашение задолженности (оплата переданного покупателю товара) регистрируется с помощью документа «Приход денег». В реквизитах документа указывается контрагент и сумма оплаты. Погашение задолженности происходит в первую очередь по тем договорам, у которых</w:t>
      </w:r>
    </w:p>
    <w:p w14:paraId="41A8961F" w14:textId="77777777" w:rsidR="00B6017B" w:rsidRDefault="00B6017B" w:rsidP="00B6017B">
      <w:pPr>
        <w:spacing w:after="0"/>
        <w:jc w:val="both"/>
      </w:pPr>
      <w:r>
        <w:t>срок окончания действия самый ранний.</w:t>
      </w:r>
    </w:p>
    <w:p w14:paraId="7B93F036" w14:textId="77777777" w:rsidR="00B6017B" w:rsidRDefault="00B6017B" w:rsidP="00B6017B">
      <w:pPr>
        <w:spacing w:after="0"/>
        <w:jc w:val="both"/>
      </w:pPr>
    </w:p>
    <w:p w14:paraId="7573365C" w14:textId="77777777" w:rsidR="00B6017B" w:rsidRDefault="00B6017B" w:rsidP="00B6017B">
      <w:pPr>
        <w:spacing w:after="0"/>
        <w:jc w:val="both"/>
      </w:pPr>
      <w:r>
        <w:t>В рамках каждого договора задолженность погашается в хронологическом порядке, начиная с самой первой недооплаченной накладной.</w:t>
      </w:r>
    </w:p>
    <w:p w14:paraId="5FF9533E" w14:textId="77777777" w:rsidR="00B6017B" w:rsidRDefault="00B6017B" w:rsidP="00B6017B">
      <w:pPr>
        <w:spacing w:after="0"/>
        <w:jc w:val="both"/>
      </w:pPr>
    </w:p>
    <w:p w14:paraId="7AFB5A0C" w14:textId="77777777" w:rsidR="00B6017B" w:rsidRDefault="00B6017B" w:rsidP="00B6017B">
      <w:pPr>
        <w:spacing w:after="0"/>
        <w:jc w:val="both"/>
      </w:pPr>
      <w:r>
        <w:t>Сумма оплаты не может превосходить сумму задолженности. ПЕРЕПЛАТЫ НЕТ.</w:t>
      </w:r>
    </w:p>
    <w:p w14:paraId="17BA671D" w14:textId="77777777" w:rsidR="00B6017B" w:rsidRDefault="00B6017B" w:rsidP="00B6017B">
      <w:pPr>
        <w:spacing w:after="0"/>
        <w:jc w:val="both"/>
      </w:pPr>
    </w:p>
    <w:p w14:paraId="6512749C" w14:textId="77777777" w:rsidR="00B6017B" w:rsidRDefault="00B6017B" w:rsidP="00B6017B">
      <w:pPr>
        <w:spacing w:after="0"/>
        <w:jc w:val="both"/>
      </w:pPr>
      <w:r>
        <w:t>В том случае, если сумма оплаты больше суммы общей задолженности, то документ не должен проводиться. ПРОВЕРКА ОПЛАТЫ НА СООТВЕТСТВИЕ СУММЕ ДОЛГА</w:t>
      </w:r>
    </w:p>
    <w:p w14:paraId="101083E7" w14:textId="77777777" w:rsidR="00B6017B" w:rsidRDefault="00B6017B" w:rsidP="00B6017B">
      <w:pPr>
        <w:spacing w:after="0"/>
        <w:jc w:val="both"/>
      </w:pPr>
    </w:p>
    <w:p w14:paraId="64A0F8BA" w14:textId="77777777" w:rsidR="00B6017B" w:rsidRDefault="00B6017B" w:rsidP="00B6017B">
      <w:pPr>
        <w:spacing w:after="0"/>
        <w:jc w:val="both"/>
      </w:pPr>
      <w:r>
        <w:t>Документ «Приход денег» формирует следующую проводку:</w:t>
      </w:r>
    </w:p>
    <w:p w14:paraId="5ACEA4AB" w14:textId="0E72E02C" w:rsidR="00B6017B" w:rsidRDefault="00B6017B" w:rsidP="00B6017B">
      <w:pPr>
        <w:spacing w:after="0"/>
        <w:jc w:val="both"/>
      </w:pPr>
      <w:r>
        <w:t xml:space="preserve">    Дт «Касса» - Кт «Покупатели» на расчетную сумму оплат</w:t>
      </w:r>
    </w:p>
    <w:p w14:paraId="191BF9C7" w14:textId="77777777" w:rsidR="00B6017B" w:rsidRDefault="00B6017B" w:rsidP="00B6017B">
      <w:pPr>
        <w:spacing w:after="0"/>
        <w:jc w:val="both"/>
      </w:pPr>
    </w:p>
    <w:p w14:paraId="07265D0A" w14:textId="77777777" w:rsidR="00B6017B" w:rsidRDefault="00B6017B">
      <w:pPr>
        <w:spacing w:line="259" w:lineRule="auto"/>
      </w:pPr>
      <w:r>
        <w:br w:type="page"/>
      </w:r>
    </w:p>
    <w:p w14:paraId="71B8401C" w14:textId="477C506E" w:rsidR="00B6017B" w:rsidRDefault="00B6017B" w:rsidP="00B6017B">
      <w:pPr>
        <w:spacing w:after="0"/>
        <w:jc w:val="both"/>
      </w:pPr>
      <w:r>
        <w:lastRenderedPageBreak/>
        <w:t>Справочник      Договоры     ВЛАДЕЛЕЦ    справочник Контрагенты</w:t>
      </w:r>
    </w:p>
    <w:p w14:paraId="5AE76E9F" w14:textId="3A4077E4" w:rsidR="00B6017B" w:rsidRDefault="00B6017B" w:rsidP="00B6017B">
      <w:pPr>
        <w:spacing w:after="0"/>
        <w:jc w:val="both"/>
      </w:pPr>
      <w:r>
        <w:rPr>
          <w:noProof/>
        </w:rPr>
        <w:drawing>
          <wp:inline distT="0" distB="0" distL="0" distR="0" wp14:anchorId="56442BE3" wp14:editId="00ABFCE5">
            <wp:extent cx="5939790" cy="2988310"/>
            <wp:effectExtent l="0" t="0" r="3810" b="2540"/>
            <wp:docPr id="142679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99416" name="Рисунок 1426799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E709" w14:textId="77777777" w:rsidR="00B6017B" w:rsidRDefault="00B6017B" w:rsidP="00B6017B">
      <w:pPr>
        <w:spacing w:after="0"/>
        <w:jc w:val="both"/>
      </w:pPr>
    </w:p>
    <w:p w14:paraId="015938E9" w14:textId="4233F510" w:rsidR="00B6017B" w:rsidRDefault="00B6017B" w:rsidP="00B6017B">
      <w:pPr>
        <w:spacing w:after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4D4FC9" wp14:editId="7DB338B9">
            <wp:extent cx="5939790" cy="3758565"/>
            <wp:effectExtent l="0" t="0" r="3810" b="0"/>
            <wp:docPr id="11227988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8852" name="Рисунок 11227988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7BAF" w14:textId="40B6D6B8" w:rsidR="00B6017B" w:rsidRDefault="00B6017B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1582B22" w14:textId="6F636773" w:rsidR="00B6017B" w:rsidRDefault="00B6017B" w:rsidP="00B6017B">
      <w:pPr>
        <w:spacing w:after="0"/>
        <w:jc w:val="both"/>
      </w:pPr>
      <w:r>
        <w:lastRenderedPageBreak/>
        <w:t>ПВХ</w:t>
      </w:r>
    </w:p>
    <w:p w14:paraId="1EC54DDF" w14:textId="1D1ED9A8" w:rsidR="00B6017B" w:rsidRDefault="00B6017B" w:rsidP="00B6017B">
      <w:pPr>
        <w:spacing w:after="0"/>
        <w:jc w:val="both"/>
      </w:pPr>
      <w:r>
        <w:rPr>
          <w:noProof/>
        </w:rPr>
        <w:drawing>
          <wp:inline distT="0" distB="0" distL="0" distR="0" wp14:anchorId="4390C5C4" wp14:editId="42165AE7">
            <wp:extent cx="5939790" cy="3025775"/>
            <wp:effectExtent l="0" t="0" r="3810" b="3175"/>
            <wp:docPr id="1616210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064" name="Рисунок 1616210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4376" w14:textId="77777777" w:rsidR="00B6017B" w:rsidRDefault="00B6017B" w:rsidP="00B6017B">
      <w:pPr>
        <w:spacing w:after="0"/>
        <w:jc w:val="both"/>
      </w:pPr>
    </w:p>
    <w:p w14:paraId="0429250E" w14:textId="5B8DD837" w:rsidR="00B6017B" w:rsidRDefault="00B6017B" w:rsidP="00B6017B">
      <w:pPr>
        <w:spacing w:after="0"/>
        <w:jc w:val="both"/>
      </w:pPr>
      <w:r>
        <w:rPr>
          <w:noProof/>
        </w:rPr>
        <w:drawing>
          <wp:inline distT="0" distB="0" distL="0" distR="0" wp14:anchorId="6BACAE17" wp14:editId="5BB3EBFF">
            <wp:extent cx="5939790" cy="3006725"/>
            <wp:effectExtent l="0" t="0" r="3810" b="3175"/>
            <wp:docPr id="369204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436" name="Рисунок 369204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A0E4" w14:textId="77777777" w:rsidR="00B6017B" w:rsidRDefault="00B6017B" w:rsidP="00B6017B">
      <w:pPr>
        <w:spacing w:after="0"/>
        <w:jc w:val="both"/>
      </w:pPr>
    </w:p>
    <w:p w14:paraId="189257F9" w14:textId="6C911CA6" w:rsidR="00B6017B" w:rsidRDefault="00B6017B" w:rsidP="00B6017B">
      <w:pPr>
        <w:spacing w:after="0"/>
        <w:jc w:val="both"/>
      </w:pPr>
      <w:r>
        <w:rPr>
          <w:noProof/>
        </w:rPr>
        <w:drawing>
          <wp:inline distT="0" distB="0" distL="0" distR="0" wp14:anchorId="16050FBB" wp14:editId="4758A01A">
            <wp:extent cx="5939790" cy="2487295"/>
            <wp:effectExtent l="0" t="0" r="3810" b="8255"/>
            <wp:docPr id="17732151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15106" name="Рисунок 17732151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AD65" w14:textId="6E5C6D97" w:rsidR="00B6017B" w:rsidRDefault="00671F53" w:rsidP="00B6017B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AE53B08" wp14:editId="15A8F781">
            <wp:extent cx="5939790" cy="1494155"/>
            <wp:effectExtent l="0" t="0" r="3810" b="0"/>
            <wp:docPr id="15081767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76752" name="Рисунок 15081767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CD4A" w14:textId="119A9E4B" w:rsidR="00671F53" w:rsidRDefault="00671F53" w:rsidP="00B6017B">
      <w:pPr>
        <w:spacing w:after="0"/>
        <w:jc w:val="both"/>
      </w:pPr>
      <w:r>
        <w:rPr>
          <w:noProof/>
        </w:rPr>
        <w:drawing>
          <wp:inline distT="0" distB="0" distL="0" distR="0" wp14:anchorId="73B76541" wp14:editId="6E69C077">
            <wp:extent cx="5939790" cy="2839720"/>
            <wp:effectExtent l="0" t="0" r="3810" b="0"/>
            <wp:docPr id="115313379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33797" name="Рисунок 11531337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2202" w14:textId="77777777" w:rsidR="00671F53" w:rsidRDefault="00671F53" w:rsidP="00B6017B">
      <w:pPr>
        <w:spacing w:after="0"/>
        <w:jc w:val="both"/>
      </w:pPr>
    </w:p>
    <w:p w14:paraId="680FF461" w14:textId="50D9332A" w:rsidR="00671F53" w:rsidRDefault="00671F53" w:rsidP="00B6017B">
      <w:pPr>
        <w:spacing w:after="0"/>
        <w:jc w:val="both"/>
      </w:pPr>
      <w:r>
        <w:t>Регистр Бухгалтерии</w:t>
      </w:r>
    </w:p>
    <w:p w14:paraId="2906C006" w14:textId="6B9071E0" w:rsidR="00671F53" w:rsidRDefault="00671F53" w:rsidP="00B6017B">
      <w:pPr>
        <w:spacing w:after="0"/>
        <w:jc w:val="both"/>
      </w:pPr>
      <w:r>
        <w:rPr>
          <w:noProof/>
        </w:rPr>
        <w:drawing>
          <wp:inline distT="0" distB="0" distL="0" distR="0" wp14:anchorId="1F6D8422" wp14:editId="3427D6B9">
            <wp:extent cx="5939790" cy="2877185"/>
            <wp:effectExtent l="0" t="0" r="3810" b="0"/>
            <wp:docPr id="20175538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3801" name="Рисунок 20175538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D5D" w14:textId="77777777" w:rsidR="00671F53" w:rsidRDefault="00671F53" w:rsidP="00B6017B">
      <w:pPr>
        <w:spacing w:after="0"/>
        <w:jc w:val="both"/>
      </w:pPr>
    </w:p>
    <w:p w14:paraId="73FF8D2F" w14:textId="49A38377" w:rsidR="00671F53" w:rsidRDefault="00671F53" w:rsidP="00B6017B">
      <w:pPr>
        <w:spacing w:after="0"/>
        <w:jc w:val="both"/>
      </w:pPr>
      <w:r>
        <w:t>ПриходДенег</w:t>
      </w:r>
    </w:p>
    <w:p w14:paraId="4C3BF033" w14:textId="3DE38E3A" w:rsidR="00671F53" w:rsidRDefault="00671F53" w:rsidP="00B6017B">
      <w:pPr>
        <w:spacing w:after="0"/>
        <w:jc w:val="both"/>
      </w:pPr>
      <w:r>
        <w:t>Контрагент</w:t>
      </w:r>
    </w:p>
    <w:p w14:paraId="2BA69759" w14:textId="3061734A" w:rsidR="00671F53" w:rsidRDefault="00671F53" w:rsidP="00B6017B">
      <w:pPr>
        <w:spacing w:after="0"/>
        <w:jc w:val="both"/>
      </w:pPr>
      <w:r>
        <w:t>Договор</w:t>
      </w:r>
    </w:p>
    <w:p w14:paraId="3A94C366" w14:textId="45D7EF0A" w:rsidR="00671F53" w:rsidRDefault="00671F53" w:rsidP="00B6017B">
      <w:pPr>
        <w:spacing w:after="0"/>
        <w:jc w:val="both"/>
      </w:pPr>
      <w:r>
        <w:t>Сумма</w:t>
      </w:r>
    </w:p>
    <w:p w14:paraId="5875D7B3" w14:textId="77777777" w:rsidR="00B6017B" w:rsidRPr="00B6017B" w:rsidRDefault="00B6017B" w:rsidP="00B6017B">
      <w:pPr>
        <w:spacing w:after="0"/>
        <w:jc w:val="both"/>
      </w:pPr>
    </w:p>
    <w:p w14:paraId="5674520B" w14:textId="77777777" w:rsidR="00B6017B" w:rsidRDefault="00B6017B" w:rsidP="00B6017B">
      <w:pPr>
        <w:spacing w:after="0"/>
        <w:jc w:val="both"/>
      </w:pPr>
    </w:p>
    <w:sectPr w:rsidR="00B6017B" w:rsidSect="00174F91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EB"/>
    <w:rsid w:val="00174F91"/>
    <w:rsid w:val="00671F53"/>
    <w:rsid w:val="006C0B77"/>
    <w:rsid w:val="008242FF"/>
    <w:rsid w:val="00870751"/>
    <w:rsid w:val="00922C48"/>
    <w:rsid w:val="00AE62EB"/>
    <w:rsid w:val="00B6017B"/>
    <w:rsid w:val="00B915B7"/>
    <w:rsid w:val="00D24A0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3A72"/>
  <w15:chartTrackingRefBased/>
  <w15:docId w15:val="{0F422C69-4B79-4F05-A195-A7799103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2024-07-04T10:41:00Z</dcterms:created>
  <dcterms:modified xsi:type="dcterms:W3CDTF">2024-07-04T10:54:00Z</dcterms:modified>
</cp:coreProperties>
</file>