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Дополнительное соглашение № </w:t>
      </w:r>
      <w:r>
        <w:rPr>
          <w:rFonts w:cs="Times New Roman" w:ascii="Times New Roman" w:hAnsi="Times New Roman"/>
          <w:b/>
          <w:bCs/>
          <w:sz w:val="22"/>
          <w:szCs w:val="22"/>
          <w:lang w:val="en-US"/>
        </w:rPr>
        <w:t>5</w:t>
      </w:r>
    </w:p>
    <w:p>
      <w:pPr>
        <w:pStyle w:val="NoSpacing"/>
        <w:jc w:val="center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к Договору ответственного хранения и складских услуг  </w:t>
      </w:r>
    </w:p>
    <w:p>
      <w:pPr>
        <w:pStyle w:val="NoSpacing"/>
        <w:jc w:val="center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  <w:t xml:space="preserve">№ </w:t>
      </w:r>
      <w:r>
        <w:rPr>
          <w:rFonts w:cs="Times New Roman" w:ascii="Times New Roman" w:hAnsi="Times New Roman"/>
          <w:b/>
          <w:bCs/>
          <w:sz w:val="22"/>
          <w:szCs w:val="22"/>
        </w:rPr>
        <w:t>АР-БСХ 24 от 06 июня 2024 года</w:t>
      </w:r>
    </w:p>
    <w:p>
      <w:pPr>
        <w:pStyle w:val="NoSpacing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b/>
          <w:bCs/>
          <w:sz w:val="22"/>
          <w:szCs w:val="22"/>
        </w:rPr>
      </w:r>
    </w:p>
    <w:p>
      <w:pPr>
        <w:pStyle w:val="PlainText"/>
        <w:widowControl/>
        <w:bidi w:val="0"/>
        <w:spacing w:lineRule="auto" w:line="276" w:before="0" w:after="0"/>
        <w:ind w:hanging="0" w:left="0" w:right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г. </w:t>
      </w:r>
      <w:r>
        <w:rPr>
          <w:rFonts w:ascii="Times New Roman" w:hAnsi="Times New Roman"/>
          <w:sz w:val="22"/>
          <w:szCs w:val="22"/>
          <w:lang w:val="ru-RU"/>
        </w:rPr>
        <w:t>Санкт-Петербург</w:t>
      </w:r>
      <w:r>
        <w:rPr>
          <w:rFonts w:ascii="Times New Roman" w:hAnsi="Times New Roman"/>
          <w:sz w:val="22"/>
          <w:szCs w:val="22"/>
        </w:rPr>
        <w:t>,</w:t>
      </w:r>
      <w:r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shd w:fill="FFFF00" w:val="clear"/>
          <w:lang w:val="ru-RU"/>
        </w:rPr>
        <w:t>1</w:t>
      </w:r>
      <w:r>
        <w:rPr>
          <w:rFonts w:ascii="Times New Roman" w:hAnsi="Times New Roman"/>
          <w:sz w:val="22"/>
          <w:szCs w:val="22"/>
          <w:shd w:fill="FFFF00" w:val="clear"/>
          <w:lang w:val="en-US"/>
        </w:rPr>
        <w:t>7</w:t>
      </w:r>
      <w:r>
        <w:rPr>
          <w:rFonts w:ascii="Times New Roman" w:hAnsi="Times New Roman"/>
          <w:sz w:val="22"/>
          <w:szCs w:val="22"/>
          <w:lang w:val="ru-RU"/>
        </w:rPr>
        <w:t xml:space="preserve"> </w:t>
      </w:r>
      <w:r>
        <w:rPr>
          <w:rFonts w:ascii="Times New Roman" w:hAnsi="Times New Roman"/>
          <w:sz w:val="22"/>
          <w:szCs w:val="22"/>
          <w:lang w:val="en-US"/>
        </w:rPr>
        <w:t>и</w:t>
      </w:r>
      <w:r>
        <w:rPr>
          <w:rFonts w:ascii="Times New Roman" w:hAnsi="Times New Roman"/>
          <w:sz w:val="22"/>
          <w:szCs w:val="22"/>
          <w:lang w:val="es-ES"/>
        </w:rPr>
        <w:t>ю</w:t>
      </w:r>
      <w:r>
        <w:rPr>
          <w:rFonts w:ascii="Times New Roman" w:hAnsi="Times New Roman"/>
          <w:sz w:val="22"/>
          <w:szCs w:val="22"/>
          <w:lang w:val="ru-RU"/>
        </w:rPr>
        <w:t xml:space="preserve">ня </w:t>
      </w:r>
      <w:r>
        <w:rPr>
          <w:rFonts w:ascii="Times New Roman" w:hAnsi="Times New Roman"/>
          <w:sz w:val="22"/>
          <w:szCs w:val="22"/>
        </w:rPr>
        <w:t>202</w:t>
      </w:r>
      <w:r>
        <w:rPr>
          <w:rFonts w:ascii="Times New Roman" w:hAnsi="Times New Roman"/>
          <w:sz w:val="22"/>
          <w:szCs w:val="22"/>
          <w:lang w:val="ru-RU"/>
        </w:rPr>
        <w:t>6</w:t>
      </w:r>
      <w:r>
        <w:rPr>
          <w:rFonts w:ascii="Times New Roman" w:hAnsi="Times New Roman"/>
          <w:sz w:val="22"/>
          <w:szCs w:val="22"/>
        </w:rPr>
        <w:t xml:space="preserve"> года</w:t>
      </w:r>
    </w:p>
    <w:p>
      <w:pPr>
        <w:pStyle w:val="ListParagraph"/>
        <w:tabs>
          <w:tab w:val="clear" w:pos="720"/>
          <w:tab w:val="left" w:pos="0" w:leader="none"/>
        </w:tabs>
        <w:spacing w:lineRule="auto" w:line="240" w:before="0" w:after="0"/>
        <w:ind w:left="786"/>
        <w:contextualSpacing w:val="false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i/>
          <w:iCs/>
          <w:sz w:val="22"/>
          <w:szCs w:val="22"/>
        </w:rPr>
      </w:r>
    </w:p>
    <w:p>
      <w:pPr>
        <w:pStyle w:val="Normal"/>
        <w:tabs>
          <w:tab w:val="clear" w:pos="720"/>
          <w:tab w:val="left" w:pos="740" w:leader="none"/>
        </w:tabs>
        <w:ind w:firstLine="720" w:right="18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ООО «БСХ Бытовые Приборы»</w:t>
      </w:r>
      <w:r>
        <w:rPr>
          <w:sz w:val="22"/>
          <w:szCs w:val="22"/>
        </w:rPr>
        <w:t>, в лице Романькова А.В., Директора производственного комплекса ООО «БСХ Бытовые Приборы», действующего на основании доверенности № 154-25 от 10.10.2025 г., являющееся «</w:t>
      </w:r>
      <w:r>
        <w:rPr>
          <w:b/>
          <w:sz w:val="22"/>
          <w:szCs w:val="22"/>
        </w:rPr>
        <w:t xml:space="preserve">Хранителем» </w:t>
      </w:r>
      <w:r>
        <w:rPr>
          <w:b w:val="false"/>
          <w:bCs w:val="false"/>
          <w:sz w:val="22"/>
          <w:szCs w:val="22"/>
        </w:rPr>
        <w:t>по вышеуказанному договору</w:t>
      </w:r>
      <w:r>
        <w:rPr>
          <w:sz w:val="22"/>
          <w:szCs w:val="22"/>
        </w:rPr>
        <w:t>, с одной стороны, и</w:t>
      </w:r>
    </w:p>
    <w:p>
      <w:pPr>
        <w:pStyle w:val="Normal"/>
        <w:ind w:firstLine="720" w:right="180"/>
        <w:jc w:val="both"/>
        <w:rPr>
          <w:sz w:val="22"/>
          <w:szCs w:val="22"/>
        </w:rPr>
      </w:pPr>
      <w:r>
        <w:rPr>
          <w:b/>
          <w:sz w:val="22"/>
          <w:szCs w:val="22"/>
          <w:lang w:val="ru-RU" w:eastAsia="ru-RU"/>
        </w:rPr>
        <w:t>ООО «Аристон Термо Русь»</w:t>
      </w:r>
      <w:r>
        <w:rPr>
          <w:sz w:val="22"/>
          <w:szCs w:val="22"/>
          <w:lang w:val="ru-RU" w:eastAsia="ru-RU"/>
        </w:rPr>
        <w:t xml:space="preserve"> в лице Генерального директора Кукутя С.В., действующего на основании Устава, </w:t>
      </w:r>
      <w:r>
        <w:rPr>
          <w:b w:val="false"/>
          <w:bCs w:val="false"/>
          <w:sz w:val="22"/>
          <w:szCs w:val="22"/>
          <w:lang w:val="ru-RU" w:eastAsia="ru-RU"/>
        </w:rPr>
        <w:t>являющегося «</w:t>
      </w:r>
      <w:r>
        <w:rPr>
          <w:b/>
          <w:bCs/>
          <w:sz w:val="22"/>
          <w:szCs w:val="22"/>
          <w:lang w:val="ru-RU" w:eastAsia="ru-RU"/>
        </w:rPr>
        <w:t>Клиентом</w:t>
      </w:r>
      <w:r>
        <w:rPr>
          <w:b w:val="false"/>
          <w:bCs w:val="false"/>
          <w:sz w:val="22"/>
          <w:szCs w:val="22"/>
          <w:lang w:val="ru-RU" w:eastAsia="ru-RU"/>
        </w:rPr>
        <w:t>» по вышеуказанному договору</w:t>
      </w:r>
      <w:r>
        <w:rPr>
          <w:b/>
          <w:sz w:val="22"/>
          <w:szCs w:val="22"/>
          <w:lang w:val="ru-RU" w:eastAsia="ru-RU"/>
        </w:rPr>
        <w:t>,</w:t>
      </w:r>
      <w:r>
        <w:rPr>
          <w:sz w:val="22"/>
          <w:szCs w:val="22"/>
          <w:lang w:val="ru-RU" w:eastAsia="ru-RU"/>
        </w:rPr>
        <w:t xml:space="preserve"> с другой стороны, совместно именуемые в дальнейшем </w:t>
      </w:r>
      <w:r>
        <w:rPr>
          <w:b/>
          <w:sz w:val="22"/>
          <w:szCs w:val="22"/>
          <w:lang w:val="ru-RU" w:eastAsia="ru-RU"/>
        </w:rPr>
        <w:t>Стороны</w:t>
      </w:r>
      <w:r>
        <w:rPr>
          <w:sz w:val="22"/>
          <w:szCs w:val="22"/>
          <w:lang w:val="ru-RU" w:eastAsia="ru-RU"/>
        </w:rPr>
        <w:t xml:space="preserve">, заключили настоящее Дополнительное соглашение № 5 (далее - </w:t>
      </w:r>
      <w:r>
        <w:rPr>
          <w:b/>
          <w:bCs/>
          <w:sz w:val="22"/>
          <w:szCs w:val="22"/>
          <w:lang w:val="ru-RU" w:eastAsia="ru-RU"/>
        </w:rPr>
        <w:t>«Дополнительное соглашение»</w:t>
      </w:r>
      <w:r>
        <w:rPr>
          <w:sz w:val="22"/>
          <w:szCs w:val="22"/>
          <w:lang w:val="ru-RU" w:eastAsia="ru-RU"/>
        </w:rPr>
        <w:t>) к Договору № АР-БСХ 24 от 06.06.2024 г. (далее  - «</w:t>
      </w:r>
      <w:r>
        <w:rPr>
          <w:b/>
          <w:sz w:val="22"/>
          <w:szCs w:val="22"/>
          <w:lang w:val="ru-RU" w:eastAsia="ru-RU"/>
        </w:rPr>
        <w:t>Договор»)</w:t>
      </w:r>
      <w:r>
        <w:rPr>
          <w:sz w:val="22"/>
          <w:szCs w:val="22"/>
          <w:lang w:val="ru-RU" w:eastAsia="ru-RU"/>
        </w:rPr>
        <w:t xml:space="preserve"> о нижеследующем:</w:t>
      </w:r>
    </w:p>
    <w:p>
      <w:pPr>
        <w:pStyle w:val="ListParagraph"/>
        <w:tabs>
          <w:tab w:val="clear" w:pos="720"/>
          <w:tab w:val="left" w:pos="0" w:leader="none"/>
        </w:tabs>
        <w:spacing w:lineRule="auto" w:line="240" w:before="0" w:after="0"/>
        <w:ind w:left="786"/>
        <w:contextualSpacing w:val="false"/>
        <w:rPr>
          <w:rFonts w:ascii="Times New Roman" w:hAnsi="Times New Roman" w:cs="Times New Roman"/>
          <w:i/>
          <w:i/>
          <w:iCs/>
          <w:sz w:val="22"/>
          <w:szCs w:val="22"/>
          <w:lang w:val="x-none"/>
        </w:rPr>
      </w:pPr>
      <w:r>
        <w:rPr>
          <w:rFonts w:cs="Times New Roman" w:ascii="Times New Roman" w:hAnsi="Times New Roman"/>
          <w:i/>
          <w:iCs/>
          <w:sz w:val="22"/>
          <w:szCs w:val="22"/>
          <w:lang w:val="x-none"/>
        </w:rPr>
      </w:r>
    </w:p>
    <w:p>
      <w:pPr>
        <w:pStyle w:val="PlainText"/>
        <w:widowControl/>
        <w:numPr>
          <w:ilvl w:val="0"/>
          <w:numId w:val="2"/>
        </w:numPr>
        <w:bidi w:val="0"/>
        <w:spacing w:lineRule="auto" w:line="276" w:before="0" w:after="0"/>
        <w:ind w:hanging="567" w:left="567" w:right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ru-RU"/>
        </w:rPr>
        <w:t xml:space="preserve">Стороны пришли к соглашению, с 01 июня 2026 г. </w:t>
      </w:r>
      <w:r>
        <w:rPr>
          <w:rFonts w:ascii="Times New Roman" w:hAnsi="Times New Roman"/>
          <w:sz w:val="22"/>
          <w:szCs w:val="22"/>
          <w:shd w:fill="auto" w:val="clear"/>
          <w:lang w:val="ru-RU"/>
        </w:rPr>
        <w:t>изложить Приложение № 1 в новой редакции согласно приложению 1 к настоящему Дополнительному соглашению, а Приложение № 1.1 исключить.</w:t>
      </w:r>
    </w:p>
    <w:p>
      <w:pPr>
        <w:pStyle w:val="PlainText"/>
        <w:widowControl/>
        <w:numPr>
          <w:ilvl w:val="0"/>
          <w:numId w:val="2"/>
        </w:numPr>
        <w:bidi w:val="0"/>
        <w:spacing w:lineRule="auto" w:line="276" w:before="0" w:after="0"/>
        <w:ind w:hanging="567" w:left="567" w:right="0"/>
        <w:jc w:val="both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x-none" w:eastAsia="x-none"/>
        </w:rPr>
        <w:t xml:space="preserve">Все остальные положения Договора </w:t>
      </w:r>
      <w:r>
        <w:rPr>
          <w:rFonts w:cs="Times New Roman" w:ascii="Times New Roman" w:hAnsi="Times New Roman"/>
          <w:sz w:val="22"/>
          <w:szCs w:val="22"/>
          <w:lang w:val="ru-RU" w:eastAsia="x-none"/>
        </w:rPr>
        <w:t xml:space="preserve">и Приложений к нему </w:t>
      </w:r>
      <w:r>
        <w:rPr>
          <w:rFonts w:cs="Times New Roman" w:ascii="Times New Roman" w:hAnsi="Times New Roman"/>
          <w:sz w:val="22"/>
          <w:szCs w:val="22"/>
          <w:lang w:val="x-none" w:eastAsia="x-none"/>
        </w:rPr>
        <w:t>остаются неизменными.</w:t>
      </w:r>
    </w:p>
    <w:p>
      <w:pPr>
        <w:pStyle w:val="PlainText"/>
        <w:widowControl/>
        <w:numPr>
          <w:ilvl w:val="0"/>
          <w:numId w:val="2"/>
        </w:numPr>
        <w:bidi w:val="0"/>
        <w:spacing w:lineRule="auto" w:line="276" w:before="0" w:after="0"/>
        <w:ind w:hanging="567" w:left="567" w:right="0"/>
        <w:jc w:val="both"/>
        <w:rPr>
          <w:rFonts w:ascii="Times New Roman" w:hAnsi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  <w:lang w:val="x-none" w:eastAsia="x-none"/>
        </w:rPr>
        <w:t>Настоящее Дополнительное соглашение,</w:t>
      </w:r>
      <w:r>
        <w:rPr>
          <w:rFonts w:eastAsia="Times New Roman" w:cs="Times New Roman" w:ascii="Times New Roman" w:hAnsi="Times New Roman"/>
          <w:sz w:val="22"/>
          <w:szCs w:val="22"/>
          <w:lang w:val="ru-RU" w:eastAsia="x-none"/>
        </w:rPr>
        <w:t xml:space="preserve"> включая приложение к нему (новую редакцию Приложения № 1 к Договору) </w:t>
      </w:r>
      <w:r>
        <w:rPr>
          <w:rFonts w:eastAsia="Times New Roman" w:cs="Times New Roman" w:ascii="Times New Roman" w:hAnsi="Times New Roman"/>
          <w:sz w:val="22"/>
          <w:szCs w:val="22"/>
          <w:lang w:val="x-none" w:eastAsia="x-none"/>
        </w:rPr>
        <w:t xml:space="preserve">вступает в силу с </w:t>
      </w:r>
      <w:r>
        <w:rPr>
          <w:rFonts w:eastAsia="Times New Roman" w:cs="Times New Roman" w:ascii="Times New Roman" w:hAnsi="Times New Roman"/>
          <w:sz w:val="22"/>
          <w:szCs w:val="22"/>
          <w:lang w:eastAsia="x-none"/>
        </w:rPr>
        <w:t>момента его подписания</w:t>
      </w:r>
      <w:r>
        <w:rPr>
          <w:rFonts w:eastAsia="Times New Roman" w:cs="Times New Roman" w:ascii="Times New Roman" w:hAnsi="Times New Roman"/>
          <w:sz w:val="22"/>
          <w:szCs w:val="22"/>
          <w:lang w:val="ru-RU" w:eastAsia="x-none"/>
        </w:rPr>
        <w:t xml:space="preserve">, распространяет свое действие на правоотношения Сторон, начиная с 01 июня 2026 г., </w:t>
      </w:r>
      <w:r>
        <w:rPr>
          <w:rFonts w:eastAsia="Times New Roman" w:cs="Times New Roman" w:ascii="Times New Roman" w:hAnsi="Times New Roman"/>
          <w:sz w:val="22"/>
          <w:szCs w:val="22"/>
          <w:lang w:val="x-none" w:eastAsia="x-none"/>
        </w:rPr>
        <w:t xml:space="preserve">составлено в двух экземплярах, по одному для каждой из Сторон и </w:t>
      </w:r>
      <w:r>
        <w:rPr>
          <w:rFonts w:eastAsia="Times New Roman" w:cs="Times New Roman" w:ascii="Times New Roman" w:hAnsi="Times New Roman"/>
          <w:sz w:val="22"/>
          <w:szCs w:val="22"/>
          <w:lang w:eastAsia="x-none"/>
        </w:rPr>
        <w:t xml:space="preserve">является неотъемлемой частью Договора </w:t>
      </w:r>
      <w:r>
        <w:rPr>
          <w:rFonts w:eastAsia="Times New Roman" w:cs="Times New Roman" w:ascii="Times New Roman" w:hAnsi="Times New Roman"/>
          <w:sz w:val="22"/>
          <w:szCs w:val="22"/>
          <w:lang w:val="ru-RU" w:eastAsia="x-none"/>
        </w:rPr>
        <w:t xml:space="preserve">ответственного хранения и складских услуг № </w:t>
      </w:r>
      <w:r>
        <w:rPr>
          <w:rFonts w:eastAsia="Times New Roman" w:cs="Times New Roman" w:ascii="Times New Roman" w:hAnsi="Times New Roman"/>
          <w:sz w:val="22"/>
          <w:szCs w:val="22"/>
          <w:lang w:val="ru-RU" w:eastAsia="ru-RU"/>
        </w:rPr>
        <w:t xml:space="preserve">АР-БСХ 24 от 06.06.2024 </w:t>
      </w:r>
      <w:r>
        <w:rPr>
          <w:rFonts w:eastAsia="Times New Roman" w:cs="Times New Roman" w:ascii="Times New Roman" w:hAnsi="Times New Roman"/>
          <w:sz w:val="22"/>
          <w:szCs w:val="22"/>
          <w:lang w:eastAsia="x-none"/>
        </w:rPr>
        <w:t>года.</w:t>
      </w:r>
    </w:p>
    <w:p>
      <w:pPr>
        <w:pStyle w:val="PlainText"/>
        <w:widowControl/>
        <w:numPr>
          <w:ilvl w:val="0"/>
          <w:numId w:val="0"/>
        </w:numPr>
        <w:bidi w:val="0"/>
        <w:spacing w:lineRule="auto" w:line="276" w:before="0" w:after="0"/>
        <w:ind w:hanging="0" w:left="567" w:right="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b/>
          <w:color w:val="000000"/>
          <w:sz w:val="22"/>
          <w:szCs w:val="22"/>
        </w:rPr>
        <w:t>Подписи Сторон:</w:t>
      </w:r>
    </w:p>
    <w:p>
      <w:pPr>
        <w:pStyle w:val="Normal"/>
        <w:ind w:right="18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b/>
          <w:color w:val="000000"/>
          <w:sz w:val="22"/>
          <w:szCs w:val="22"/>
        </w:rPr>
        <w:t>КЛИЕНТ:</w:t>
      </w:r>
    </w:p>
    <w:p>
      <w:pPr>
        <w:pStyle w:val="31"/>
        <w:ind w:hanging="0"/>
        <w:jc w:val="center"/>
        <w:rPr>
          <w:rFonts w:ascii="Times New Roman" w:hAnsi="Times New Roman"/>
          <w:sz w:val="22"/>
          <w:szCs w:val="22"/>
        </w:rPr>
      </w:pPr>
      <w:r>
        <w:rPr>
          <w:b/>
          <w:bCs/>
          <w:sz w:val="22"/>
          <w:szCs w:val="22"/>
        </w:rPr>
        <w:t xml:space="preserve">ООО «Аристон Термо Русь» 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color w:val="000000"/>
          <w:sz w:val="22"/>
          <w:szCs w:val="22"/>
          <w:lang w:val="x-none"/>
        </w:rPr>
      </w:pPr>
      <w:r>
        <w:rPr>
          <w:color w:val="000000"/>
          <w:sz w:val="22"/>
          <w:szCs w:val="22"/>
          <w:lang w:val="x-none"/>
        </w:rPr>
      </w:r>
    </w:p>
    <w:p>
      <w:pPr>
        <w:pStyle w:val="Normal"/>
        <w:ind w:right="180"/>
        <w:jc w:val="center"/>
        <w:rPr>
          <w:rFonts w:ascii="Times New Roman" w:hAnsi="Times New Roman"/>
          <w:color w:val="000000"/>
          <w:sz w:val="22"/>
          <w:szCs w:val="22"/>
          <w:lang w:val="x-none"/>
        </w:rPr>
      </w:pPr>
      <w:r>
        <w:rPr>
          <w:color w:val="000000"/>
          <w:sz w:val="22"/>
          <w:szCs w:val="22"/>
          <w:lang w:val="x-none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_____________________________________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Генеральный директор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ru-RU"/>
        </w:rPr>
        <w:t>Кукуть С.В</w:t>
      </w:r>
      <w:r>
        <w:rPr>
          <w:color w:val="000000"/>
          <w:sz w:val="22"/>
          <w:szCs w:val="22"/>
          <w:lang w:val="x-none"/>
        </w:rPr>
        <w:t>.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М.П.</w:t>
      </w:r>
    </w:p>
    <w:p>
      <w:pPr>
        <w:pStyle w:val="Normal"/>
        <w:ind w:right="180"/>
        <w:jc w:val="center"/>
        <w:rPr>
          <w:rFonts w:ascii="Times New Roman" w:hAnsi="Times New Roman"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b/>
          <w:color w:val="000000"/>
          <w:sz w:val="22"/>
          <w:szCs w:val="22"/>
        </w:rPr>
        <w:t>ХРАНИТЕЛЬ: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b/>
          <w:color w:val="000000"/>
          <w:sz w:val="22"/>
          <w:szCs w:val="22"/>
        </w:rPr>
        <w:t>ООО «БСХ Бытовые Приборы»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right="180"/>
        <w:jc w:val="center"/>
        <w:rPr>
          <w:rFonts w:ascii="Times New Roman" w:hAnsi="Times New Roman"/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_____________________________________</w:t>
      </w:r>
    </w:p>
    <w:p>
      <w:pPr>
        <w:pStyle w:val="Normal"/>
        <w:widowControl w:val="false"/>
        <w:jc w:val="center"/>
        <w:rPr>
          <w:rFonts w:ascii="Times New Roman" w:hAnsi="Times New Roman"/>
          <w:sz w:val="22"/>
          <w:szCs w:val="22"/>
        </w:rPr>
      </w:pPr>
      <w:r>
        <w:rPr>
          <w:rFonts w:cs="Arial"/>
          <w:sz w:val="22"/>
          <w:szCs w:val="22"/>
          <w:lang w:eastAsia="ru-RU"/>
        </w:rPr>
        <w:t>Директор производственного комплекса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rFonts w:cs="Arial"/>
          <w:color w:val="000000"/>
          <w:sz w:val="22"/>
          <w:szCs w:val="22"/>
          <w:lang w:val="ru-RU" w:eastAsia="ru-RU"/>
        </w:rPr>
        <w:t>ООО «БСХ Бытовые Приборы»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ru-RU"/>
        </w:rPr>
        <w:t>Романьков А.В.</w:t>
      </w:r>
    </w:p>
    <w:p>
      <w:pPr>
        <w:pStyle w:val="Normal"/>
        <w:ind w:right="180"/>
        <w:jc w:val="center"/>
        <w:rPr>
          <w:rFonts w:ascii="Times New Roman" w:hAnsi="Times New Roman"/>
          <w:sz w:val="22"/>
          <w:szCs w:val="22"/>
        </w:rPr>
      </w:pPr>
      <w:r>
        <w:rPr>
          <w:color w:val="000000"/>
          <w:sz w:val="22"/>
          <w:szCs w:val="22"/>
          <w:lang w:val="x-none"/>
        </w:rPr>
        <w:t>М.П.</w:t>
      </w:r>
      <w:r>
        <w:br w:type="page"/>
      </w:r>
    </w:p>
    <w:p>
      <w:pPr>
        <w:pStyle w:val="Heading5"/>
        <w:numPr>
          <w:ilvl w:val="0"/>
          <w:numId w:val="0"/>
        </w:numPr>
        <w:bidi w:val="0"/>
        <w:spacing w:before="0" w:after="0"/>
        <w:ind w:hanging="0" w:left="0" w:right="180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b/>
          <w:bCs/>
          <w:sz w:val="22"/>
          <w:szCs w:val="22"/>
        </w:rPr>
        <w:t xml:space="preserve">Приложение 1 к Дополнительному соглашению № 5 от </w:t>
      </w:r>
      <w:r>
        <w:rPr>
          <w:b/>
          <w:bCs/>
          <w:sz w:val="22"/>
          <w:szCs w:val="22"/>
          <w:lang w:val="ru-RU"/>
        </w:rPr>
        <w:t>17</w:t>
      </w:r>
      <w:r>
        <w:rPr>
          <w:b/>
          <w:bCs/>
          <w:sz w:val="22"/>
          <w:szCs w:val="22"/>
        </w:rPr>
        <w:t>.06.26 г.</w:t>
      </w:r>
      <w:r>
        <w:rPr>
          <w:b w:val="false"/>
          <w:bCs w:val="false"/>
          <w:sz w:val="22"/>
          <w:szCs w:val="22"/>
        </w:rPr>
        <w:br/>
        <w:t xml:space="preserve">к Договору </w:t>
      </w:r>
      <w:r>
        <w:rPr>
          <w:rFonts w:eastAsia="Times New Roman" w:cs="Times New Roman"/>
          <w:b w:val="false"/>
          <w:bCs w:val="false"/>
          <w:sz w:val="22"/>
          <w:szCs w:val="22"/>
          <w:lang w:val="ru-RU" w:eastAsia="x-none"/>
        </w:rPr>
        <w:t xml:space="preserve">№ </w:t>
      </w:r>
      <w:r>
        <w:rPr>
          <w:rFonts w:eastAsia="Times New Roman" w:cs="Times New Roman"/>
          <w:b w:val="false"/>
          <w:bCs w:val="false"/>
          <w:sz w:val="22"/>
          <w:szCs w:val="22"/>
          <w:lang w:val="ru-RU" w:eastAsia="ru-RU"/>
        </w:rPr>
        <w:t xml:space="preserve">АР-БСХ 24 от 06.06.2024 </w:t>
      </w:r>
      <w:r>
        <w:rPr>
          <w:rFonts w:eastAsia="Times New Roman" w:cs="Times New Roman"/>
          <w:b w:val="false"/>
          <w:bCs w:val="false"/>
          <w:sz w:val="22"/>
          <w:szCs w:val="22"/>
          <w:lang w:eastAsia="x-none"/>
        </w:rPr>
        <w:t>года.</w:t>
      </w:r>
    </w:p>
    <w:p>
      <w:pPr>
        <w:pStyle w:val="Heading5"/>
        <w:numPr>
          <w:ilvl w:val="4"/>
          <w:numId w:val="1"/>
        </w:numPr>
        <w:bidi w:val="0"/>
        <w:ind w:hanging="0" w:left="0" w:right="18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Heading5"/>
        <w:numPr>
          <w:ilvl w:val="0"/>
          <w:numId w:val="0"/>
        </w:numPr>
        <w:bidi w:val="0"/>
        <w:ind w:hanging="0" w:left="0" w:right="18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ПРИЛОЖЕНИЕ №1 (редакция, действующая с 01.06.2026 г.)</w:t>
      </w:r>
    </w:p>
    <w:p>
      <w:pPr>
        <w:pStyle w:val="Heading5"/>
        <w:numPr>
          <w:ilvl w:val="0"/>
          <w:numId w:val="0"/>
        </w:numPr>
        <w:bidi w:val="0"/>
        <w:ind w:hanging="0" w:left="0" w:right="180"/>
        <w:jc w:val="left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к Договору ответственного хранения и складских услуг</w:t>
      </w:r>
      <w:r>
        <w:rPr>
          <w:sz w:val="22"/>
          <w:szCs w:val="22"/>
          <w:lang w:val="en-US"/>
        </w:rPr>
        <w:t xml:space="preserve"> </w:t>
      </w:r>
      <w:r>
        <w:rPr>
          <w:rFonts w:eastAsia="Times New Roman" w:cs="Times New Roman"/>
          <w:sz w:val="22"/>
          <w:szCs w:val="22"/>
          <w:lang w:val="ru-RU" w:eastAsia="x-none"/>
        </w:rPr>
        <w:t xml:space="preserve">№ </w:t>
      </w:r>
      <w:r>
        <w:rPr>
          <w:rFonts w:eastAsia="Times New Roman" w:cs="Times New Roman"/>
          <w:sz w:val="22"/>
          <w:szCs w:val="22"/>
          <w:lang w:val="ru-RU" w:eastAsia="ru-RU"/>
        </w:rPr>
        <w:t xml:space="preserve">АР-БСХ 24 от 06.06.2024 </w:t>
      </w:r>
      <w:r>
        <w:rPr>
          <w:rFonts w:eastAsia="Times New Roman" w:cs="Times New Roman"/>
          <w:sz w:val="22"/>
          <w:szCs w:val="22"/>
          <w:lang w:val="en-US" w:eastAsia="x-none"/>
        </w:rPr>
        <w:t>г</w:t>
      </w:r>
      <w:r>
        <w:rPr>
          <w:b w:val="false"/>
          <w:bCs w:val="false"/>
          <w:sz w:val="22"/>
          <w:szCs w:val="22"/>
          <w:u w:val="none"/>
        </w:rPr>
        <w:t>.</w:t>
      </w:r>
    </w:p>
    <w:p>
      <w:pPr>
        <w:pStyle w:val="Normal"/>
        <w:bidi w:val="0"/>
        <w:ind w:hanging="0" w:left="0" w:right="180"/>
        <w:jc w:val="left"/>
        <w:rPr>
          <w:rFonts w:ascii="Times New Roman" w:hAnsi="Times New Roman"/>
          <w:b w:val="false"/>
          <w:bCs w:val="false"/>
          <w:sz w:val="22"/>
          <w:szCs w:val="22"/>
          <w:u w:val="none"/>
        </w:rPr>
      </w:pPr>
      <w:r>
        <w:rPr>
          <w:b w:val="false"/>
          <w:bCs w:val="false"/>
          <w:sz w:val="22"/>
          <w:szCs w:val="22"/>
          <w:u w:val="none"/>
        </w:rPr>
      </w:r>
    </w:p>
    <w:p>
      <w:pPr>
        <w:pStyle w:val="Heading1"/>
        <w:numPr>
          <w:ilvl w:val="0"/>
          <w:numId w:val="1"/>
        </w:numPr>
        <w:ind w:right="180"/>
        <w:jc w:val="center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1. Тарифы на складские и иные услуги/работы</w:t>
      </w:r>
    </w:p>
    <w:p>
      <w:pPr>
        <w:pStyle w:val="Normal"/>
        <w:ind w:right="180"/>
        <w:jc w:val="center"/>
        <w:rPr/>
      </w:pPr>
      <w:r>
        <w:rPr>
          <w:b/>
          <w:bCs/>
          <w:sz w:val="22"/>
          <w:szCs w:val="22"/>
          <w:u w:val="single"/>
        </w:rPr>
        <w:t>на складе по адресу Санкт-Петербург, п. Стрельна, ул. Карла Сименса, д. 1, литер Б</w:t>
      </w:r>
    </w:p>
    <w:p>
      <w:pPr>
        <w:pStyle w:val="Normal"/>
        <w:ind w:right="180"/>
        <w:jc w:val="both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</w:r>
    </w:p>
    <w:tbl>
      <w:tblPr>
        <w:tblW w:w="1003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509"/>
        <w:gridCol w:w="7030"/>
        <w:gridCol w:w="790"/>
        <w:gridCol w:w="1700"/>
      </w:tblGrid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-113" w:righ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услуги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113" w:righ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Ед. изм.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Тариф, Руб. без НДС</w:t>
            </w:r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Хранение на площади 9435 м2 за сутки</w:t>
            </w:r>
          </w:p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обеспечение необходимых условий хранения, количественная и качественная сохранность ТМЦ;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рациональное размещение товаров согласно манипуляционным знакам и знакам штабелируемости, указанными на упаковке ТМЦ  в соответствии с ГОСТ-14192-96;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отдельное хранение бракованных/поврежденных ТМЦ от хранящегося годного товара;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обеспечение сохранности ТМЦ;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предоставление Клиенту информации из учетной системы склада об остатках ТМЦ, находящихся на хранении;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изменение категории складского учета ТМЦ (брак, переупаковка и т.д.);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проведение по запросу Клиента одной полной инвентаризации в год;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20"/>
                <w:tab w:val="left" w:pos="570" w:leader="none"/>
              </w:tabs>
              <w:suppressAutoHyphens w:val="true"/>
              <w:bidi w:val="0"/>
              <w:spacing w:before="0" w:after="0"/>
              <w:ind w:hanging="454" w:left="567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компьютерное управление складскими запасами и возможность контроля остатков ТМЦ в режиме реального времени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24,00 руб.</w:t>
            </w:r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Выход/вход продукции коробами за 1м3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Механизированная и ручная обработка ТМЦ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подбор заказа, погрузка (выход):</w:t>
            </w:r>
          </w:p>
          <w:p>
            <w:pPr>
              <w:pStyle w:val="Normal"/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>
            <w:pPr>
              <w:pStyle w:val="Normal"/>
              <w:widowControl/>
              <w:numPr>
                <w:ilvl w:val="0"/>
                <w:numId w:val="4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 продукции (механизированный и ручной):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сверка пломб в соответствии с данными в ТрН;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постановка ТС под выгрузку;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выгрузка с идентификацией короба;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определение соответствия по количеству и наименованиям;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 на видимые повреждения короба без вскрытия;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перемещение ТМЦ из зоны приемки в зону хранения;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принятие на учет (занесение информации о приемке ТМЦ в складскую систему учета);</w:t>
            </w:r>
          </w:p>
          <w:p>
            <w:pPr>
              <w:pStyle w:val="Normal"/>
              <w:widowControl/>
              <w:numPr>
                <w:ilvl w:val="0"/>
                <w:numId w:val="5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осуществление видеозаписи процесса приемки груза на склад.</w:t>
              <w:br/>
            </w:r>
          </w:p>
          <w:p>
            <w:pPr>
              <w:pStyle w:val="12"/>
              <w:widowControl/>
              <w:numPr>
                <w:ilvl w:val="0"/>
                <w:numId w:val="4"/>
              </w:numPr>
              <w:suppressAutoHyphens w:val="true"/>
              <w:bidi w:val="0"/>
              <w:spacing w:before="0" w:after="0"/>
              <w:ind w:hanging="454" w:left="68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Подбор ТМЦ с мест хранения по заданию Клиента: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Обработка поступившего заказа в складской системе учета;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Подбор товара в зоне хранения;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Проверка собранного товара на соответствие заказу;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Перемещение скомплектованного заказа в зону отгрузки;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Когда применимо, подбор и размещение ТМЦ на паллет согласно рекомендациям и требованиям Клиента;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Маркировка паллеты согласно требованиям Клиента;</w:t>
            </w:r>
          </w:p>
          <w:p>
            <w:pPr>
              <w:pStyle w:val="12"/>
              <w:widowControl/>
              <w:numPr>
                <w:ilvl w:val="0"/>
                <w:numId w:val="6"/>
              </w:numPr>
              <w:suppressAutoHyphens w:val="true"/>
              <w:bidi w:val="0"/>
              <w:spacing w:before="0" w:after="0"/>
              <w:ind w:hanging="454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Идентификация ТМЦ Клиента по его коду автоматическим сканирующим устройством.</w:t>
            </w:r>
          </w:p>
          <w:p>
            <w:pPr>
              <w:pStyle w:val="12"/>
              <w:widowControl/>
              <w:numPr>
                <w:ilvl w:val="0"/>
                <w:numId w:val="0"/>
              </w:numPr>
              <w:suppressAutoHyphens w:val="true"/>
              <w:bidi w:val="0"/>
              <w:spacing w:before="0" w:after="0"/>
              <w:ind w:hanging="0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12"/>
              <w:widowControl/>
              <w:numPr>
                <w:ilvl w:val="0"/>
                <w:numId w:val="0"/>
              </w:numPr>
              <w:suppressAutoHyphens w:val="true"/>
              <w:bidi w:val="0"/>
              <w:spacing w:before="0" w:after="0"/>
              <w:ind w:hanging="0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12"/>
              <w:widowControl/>
              <w:numPr>
                <w:ilvl w:val="0"/>
                <w:numId w:val="0"/>
              </w:numPr>
              <w:suppressAutoHyphens w:val="true"/>
              <w:bidi w:val="0"/>
              <w:spacing w:before="0" w:after="0"/>
              <w:ind w:hanging="0" w:left="680" w:righ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12"/>
              <w:widowControl/>
              <w:numPr>
                <w:ilvl w:val="0"/>
                <w:numId w:val="4"/>
              </w:numPr>
              <w:suppressAutoHyphens w:val="true"/>
              <w:bidi w:val="0"/>
              <w:spacing w:before="0" w:after="0"/>
              <w:ind w:hanging="624" w:left="794" w:right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Выход продукции (механизированный и ручной):</w:t>
            </w:r>
          </w:p>
          <w:p>
            <w:pPr>
              <w:pStyle w:val="Normal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подготовка к отгрузке;</w:t>
            </w:r>
          </w:p>
          <w:p>
            <w:pPr>
              <w:pStyle w:val="Normal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осмотр кузова ТС;</w:t>
            </w:r>
          </w:p>
          <w:p>
            <w:pPr>
              <w:pStyle w:val="Normal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перемещение подобранных согласно заказу ТМЦ к воротам склада;</w:t>
            </w:r>
          </w:p>
          <w:p>
            <w:pPr>
              <w:pStyle w:val="Normal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погрузка в ТС;</w:t>
            </w:r>
          </w:p>
          <w:p>
            <w:pPr>
              <w:pStyle w:val="Normal"/>
              <w:numPr>
                <w:ilvl w:val="0"/>
                <w:numId w:val="5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внесение в складскую систему учета информации о выданных/отгруженных в соответствии с заказом ТМЦ.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м3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180,00</w:t>
            </w:r>
            <w:r>
              <w:rPr>
                <w:b/>
                <w:sz w:val="22"/>
                <w:szCs w:val="22"/>
              </w:rPr>
              <w:t xml:space="preserve"> руб.</w:t>
            </w:r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— механизиро-ванная обработка, за операцию</w:t>
            </w:r>
          </w:p>
          <w:p>
            <w:pPr>
              <w:pStyle w:val="Normal"/>
              <w:ind w:right="18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</w:r>
          </w:p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250,00</w:t>
            </w:r>
            <w:r>
              <w:rPr>
                <w:b/>
                <w:sz w:val="22"/>
                <w:szCs w:val="22"/>
              </w:rPr>
              <w:t xml:space="preserve"> руб.</w:t>
            </w:r>
            <w:r>
              <w:rPr>
                <w:color w:val="000000"/>
                <w:sz w:val="22"/>
                <w:szCs w:val="22"/>
              </w:rPr>
              <w:t xml:space="preserve"> — ручная обработка,  за операцию</w:t>
            </w:r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Пакет документации на Заказ</w:t>
            </w:r>
          </w:p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>
            <w:pPr>
              <w:pStyle w:val="Normal"/>
              <w:numPr>
                <w:ilvl w:val="0"/>
                <w:numId w:val="5"/>
              </w:numPr>
              <w:ind w:hanging="360" w:left="720"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оформление при приемке или выдаче / отгрузке ТМЦ следующих унифицированных документов МХ-1, </w:t>
            </w:r>
            <w:r>
              <w:rPr>
                <w:sz w:val="22"/>
                <w:szCs w:val="22"/>
                <w:lang w:val="en-US"/>
              </w:rPr>
              <w:t>MX</w:t>
            </w:r>
            <w:r>
              <w:rPr>
                <w:sz w:val="22"/>
                <w:szCs w:val="22"/>
              </w:rPr>
              <w:t xml:space="preserve">-3, </w:t>
            </w:r>
            <w:r>
              <w:rPr>
                <w:sz w:val="22"/>
                <w:szCs w:val="22"/>
                <w:lang w:val="en-US"/>
              </w:rPr>
              <w:t>M</w:t>
            </w:r>
            <w:r>
              <w:rPr>
                <w:sz w:val="22"/>
                <w:szCs w:val="22"/>
              </w:rPr>
              <w:t>-7,</w:t>
            </w:r>
          </w:p>
          <w:p>
            <w:pPr>
              <w:pStyle w:val="Normal"/>
              <w:numPr>
                <w:ilvl w:val="0"/>
                <w:numId w:val="5"/>
              </w:numPr>
              <w:ind w:hanging="360" w:left="720"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распечатка МХ-1, MX-3 – 2 экз., ТН - 3 экз., ТОРГ 12 – 3 экз., счет фактура - 2 экз. а в случае обнаружения расхождений по количеству и/или состоянию упаковки принимаемых ТМЦ - и ТОРГ-2 в 2 экз.;</w:t>
            </w:r>
          </w:p>
          <w:p>
            <w:pPr>
              <w:pStyle w:val="Normal"/>
              <w:numPr>
                <w:ilvl w:val="0"/>
                <w:numId w:val="5"/>
              </w:numPr>
              <w:ind w:hanging="360" w:left="720" w:right="18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передача экземпляров соответствующих документов Экспедитору или представителю Грузополучателя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-57" w:right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заказ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ru-RU"/>
              </w:rPr>
              <w:t>109,52</w:t>
            </w:r>
            <w:r>
              <w:rPr>
                <w:b/>
                <w:sz w:val="22"/>
                <w:szCs w:val="22"/>
              </w:rPr>
              <w:t xml:space="preserve"> руб.</w:t>
            </w:r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both"/>
              <w:rPr>
                <w:highlight w:val="none"/>
                <w:shd w:fill="auto" w:val="clear"/>
              </w:rPr>
            </w:pPr>
            <w:r>
              <w:rPr>
                <w:b/>
                <w:sz w:val="22"/>
                <w:szCs w:val="22"/>
                <w:shd w:fill="auto" w:val="clear"/>
              </w:rPr>
              <w:t>Сверхурочные работы</w:t>
            </w:r>
          </w:p>
          <w:p>
            <w:pPr>
              <w:pStyle w:val="Normal"/>
              <w:ind w:right="180"/>
              <w:jc w:val="both"/>
              <w:rPr>
                <w:highlight w:val="none"/>
                <w:shd w:fill="auto" w:val="clear"/>
              </w:rPr>
            </w:pPr>
            <w:r>
              <w:rPr>
                <w:sz w:val="22"/>
                <w:szCs w:val="22"/>
                <w:shd w:fill="auto" w:val="clear"/>
              </w:rPr>
              <w:t>В данный тариф входит:</w:t>
            </w:r>
          </w:p>
          <w:p>
            <w:pPr>
              <w:pStyle w:val="Normal"/>
              <w:numPr>
                <w:ilvl w:val="0"/>
                <w:numId w:val="7"/>
              </w:numPr>
              <w:ind w:hanging="360" w:left="720" w:right="180"/>
              <w:jc w:val="both"/>
              <w:rPr>
                <w:highlight w:val="none"/>
                <w:shd w:fill="auto" w:val="clear"/>
              </w:rPr>
            </w:pPr>
            <w:r>
              <w:rPr>
                <w:sz w:val="22"/>
                <w:szCs w:val="22"/>
                <w:shd w:fill="auto" w:val="clear"/>
              </w:rPr>
              <w:t>Прием/отгрузка и обработка ТМЦ в нерабочее время склада и праздничные дни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z w:val="22"/>
                <w:szCs w:val="22"/>
                <w:highlight w:val="none"/>
                <w:shd w:fill="auto" w:val="clear"/>
              </w:rPr>
            </w:pPr>
            <w:r>
              <w:rPr>
                <w:b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  <w:highlight w:val="none"/>
                <w:shd w:fill="auto" w:val="clear"/>
              </w:rPr>
            </w:pPr>
            <w:r>
              <w:rPr>
                <w:b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jc w:val="center"/>
              <w:rPr>
                <w:b/>
                <w:sz w:val="22"/>
                <w:szCs w:val="22"/>
                <w:highlight w:val="none"/>
                <w:shd w:fill="auto" w:val="clear"/>
              </w:rPr>
            </w:pPr>
            <w:r>
              <w:rPr>
                <w:b/>
                <w:sz w:val="22"/>
                <w:szCs w:val="22"/>
                <w:shd w:fill="auto" w:val="clear"/>
              </w:rPr>
            </w:r>
          </w:p>
          <w:p>
            <w:pPr>
              <w:pStyle w:val="Normal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sz w:val="22"/>
                <w:szCs w:val="22"/>
                <w:shd w:fill="auto" w:val="clear"/>
              </w:rPr>
              <w:t>м3х2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highlight w:val="none"/>
                <w:shd w:fill="auto" w:val="clear"/>
              </w:rPr>
            </w:pPr>
            <w:r>
              <w:rPr>
                <w:b/>
                <w:bCs/>
                <w:color w:val="000000"/>
                <w:sz w:val="22"/>
                <w:szCs w:val="22"/>
                <w:shd w:fill="auto" w:val="clear"/>
              </w:rPr>
              <w:t>по согласо-ванию сторон</w:t>
            </w:r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Переупаковка ТМЦ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данный тариф входит:</w:t>
            </w:r>
          </w:p>
          <w:p>
            <w:pPr>
              <w:pStyle w:val="Normal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Удаление и утилизация поврежденной упаковки;</w:t>
            </w:r>
          </w:p>
          <w:p>
            <w:pPr>
              <w:pStyle w:val="Normal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Упаковка ТМЦ в новый короб (предоставляется Клиентом), соответствующий наименованию ТМЦ;</w:t>
            </w:r>
          </w:p>
          <w:p>
            <w:pPr>
              <w:pStyle w:val="Normal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Наклейка идентификационной маркировки ТМЦ (предоставляется Клиентом);</w:t>
            </w:r>
          </w:p>
          <w:p>
            <w:pPr>
              <w:pStyle w:val="Normal"/>
              <w:numPr>
                <w:ilvl w:val="0"/>
                <w:numId w:val="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Информирование Клиента об изменении статуса ТМЦ по наименованию и количеству.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b/>
                <w:strike/>
                <w:sz w:val="22"/>
                <w:szCs w:val="22"/>
              </w:rPr>
            </w:pPr>
            <w:r>
              <w:rPr>
                <w:b/>
                <w:strike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шт.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219</w:t>
            </w:r>
            <w:r>
              <w:rPr>
                <w:b/>
                <w:sz w:val="22"/>
                <w:szCs w:val="22"/>
              </w:rPr>
              <w:t>,04 руб.</w:t>
            </w:r>
            <w:bookmarkStart w:id="0" w:name="_GoBack_Копия_1"/>
            <w:bookmarkEnd w:id="0"/>
          </w:p>
        </w:tc>
      </w:tr>
      <w:tr>
        <w:trPr/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Дополнительная инвентаризация или иные работы/услуги, не поименованные выше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ind w:right="18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чел/час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по согласо-ванию сторон</w:t>
            </w:r>
          </w:p>
        </w:tc>
      </w:tr>
    </w:tbl>
    <w:p>
      <w:pPr>
        <w:pStyle w:val="Normal"/>
        <w:ind w:right="18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2. Хранитель резервирует для хранения ТМЦ Клиента на Складе места хранения, достаточные для одновременного хранения в соответствии с условиями настоящего Договора, в размере</w:t>
      </w:r>
      <w:r>
        <w:rPr>
          <w:b w:val="false"/>
          <w:bCs w:val="false"/>
          <w:color w:val="000000"/>
          <w:sz w:val="22"/>
          <w:szCs w:val="22"/>
        </w:rPr>
        <w:t xml:space="preserve"> 9435 м2</w:t>
      </w:r>
      <w:r>
        <w:rPr>
          <w:color w:val="000000"/>
          <w:sz w:val="22"/>
          <w:szCs w:val="22"/>
        </w:rPr>
        <w:t xml:space="preserve"> в сутки</w:t>
      </w:r>
    </w:p>
    <w:p>
      <w:pPr>
        <w:pStyle w:val="Normal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Хранение на резервируемых </w:t>
      </w:r>
      <w:r>
        <w:rPr>
          <w:rFonts w:eastAsia="Times New Roman" w:cs="Times New Roman"/>
          <w:color w:val="auto"/>
          <w:kern w:val="0"/>
          <w:sz w:val="22"/>
          <w:szCs w:val="22"/>
          <w:lang w:val="ru-RU" w:eastAsia="ru-RU" w:bidi="ar-SA"/>
        </w:rPr>
        <w:t xml:space="preserve">площадях, в течение всего периода срока действия настоящего Договора, оплачивается Клиентом из расчета 9435 м2 </w:t>
      </w:r>
      <w:r>
        <w:rPr>
          <w:sz w:val="22"/>
          <w:szCs w:val="22"/>
        </w:rPr>
        <w:t>в сутки, и оплата хранения рассчитывается по ставке, согласно пункта 1 данного Приложения.</w:t>
      </w:r>
    </w:p>
    <w:p>
      <w:pPr>
        <w:pStyle w:val="Normal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right="180"/>
        <w:jc w:val="both"/>
        <w:rPr>
          <w:b w:val="false"/>
          <w:bCs w:val="false"/>
        </w:rPr>
      </w:pPr>
      <w:r>
        <w:rPr>
          <w:b w:val="false"/>
          <w:bCs w:val="false"/>
          <w:sz w:val="22"/>
          <w:szCs w:val="22"/>
        </w:rPr>
        <w:t xml:space="preserve">Хранение (п. 1 данного Приложения) на дополнительной площади, превышающей </w:t>
      </w:r>
      <w:r>
        <w:rPr>
          <w:b w:val="false"/>
          <w:bCs w:val="false"/>
          <w:color w:val="000000"/>
          <w:sz w:val="22"/>
          <w:szCs w:val="22"/>
        </w:rPr>
        <w:t xml:space="preserve">9435 м2, </w:t>
      </w:r>
      <w:r>
        <w:rPr>
          <w:b w:val="false"/>
          <w:bCs w:val="false"/>
          <w:sz w:val="22"/>
          <w:szCs w:val="22"/>
        </w:rPr>
        <w:t>с 01.06.2026 оплачивается из расчета тарифной ставки 19,71 руб. (без учета НДС) за кв.м. в сутки, исходя из фактически занимаемой ТМЦ Клиента площади.</w:t>
      </w:r>
    </w:p>
    <w:p>
      <w:pPr>
        <w:pStyle w:val="Normal"/>
        <w:jc w:val="both"/>
        <w:rPr>
          <w:rFonts w:ascii="Times New Roman" w:hAnsi="Times New Roman"/>
          <w:b/>
          <w:bCs/>
          <w:color w:val="auto"/>
          <w:u w:val="single"/>
        </w:rPr>
      </w:pPr>
      <w:r>
        <w:rPr>
          <w:b/>
          <w:bCs/>
          <w:color w:val="auto"/>
          <w:u w:val="single"/>
        </w:rPr>
      </w:r>
    </w:p>
    <w:p>
      <w:pPr>
        <w:pStyle w:val="Normal"/>
        <w:bidi w:val="0"/>
        <w:ind w:right="180"/>
        <w:jc w:val="center"/>
        <w:rPr>
          <w:u w:val="none"/>
        </w:rPr>
      </w:pPr>
      <w:bookmarkStart w:id="1" w:name="_GoBack_Копия_2"/>
      <w:bookmarkEnd w:id="1"/>
      <w:r>
        <w:rPr>
          <w:b/>
          <w:bCs/>
          <w:color w:val="auto"/>
          <w:sz w:val="24"/>
          <w:szCs w:val="24"/>
          <w:u w:val="none"/>
        </w:rPr>
        <w:t>Подписи Сторон:</w:t>
      </w:r>
    </w:p>
    <w:p>
      <w:pPr>
        <w:pStyle w:val="Normal"/>
        <w:bidi w:val="0"/>
        <w:ind w:right="180"/>
        <w:jc w:val="center"/>
        <w:rPr>
          <w:rFonts w:ascii="Times New Roman" w:hAnsi="Times New Roman"/>
          <w:b/>
          <w:bCs/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29"/>
        <w:gridCol w:w="5029"/>
      </w:tblGrid>
      <w:tr>
        <w:trPr/>
        <w:tc>
          <w:tcPr>
            <w:tcW w:w="5029" w:type="dxa"/>
            <w:tcBorders/>
          </w:tcPr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КЛИЕНТ:</w:t>
            </w:r>
          </w:p>
          <w:p>
            <w:pPr>
              <w:pStyle w:val="31"/>
              <w:ind w:hanging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ООО «Аристон Термо Русь»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  <w:t>____________________</w:t>
            </w:r>
            <w:r>
              <w:rPr>
                <w:color w:val="000000"/>
                <w:sz w:val="22"/>
                <w:szCs w:val="22"/>
                <w:lang w:val="x-none"/>
              </w:rPr>
              <w:t>_________________</w:t>
            </w:r>
          </w:p>
          <w:p>
            <w:pPr>
              <w:pStyle w:val="Normal"/>
              <w:ind w:right="180"/>
              <w:jc w:val="center"/>
              <w:rPr>
                <w:lang w:val="ru-RU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Генеральный директор</w:t>
            </w:r>
          </w:p>
          <w:p>
            <w:pPr>
              <w:pStyle w:val="Normal"/>
              <w:ind w:right="180"/>
              <w:jc w:val="center"/>
              <w:rPr>
                <w:lang w:val="ru-RU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Кукуть С.В.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x-none"/>
              </w:rPr>
              <w:t>М.П.</w:t>
            </w:r>
          </w:p>
        </w:tc>
        <w:tc>
          <w:tcPr>
            <w:tcW w:w="5029" w:type="dxa"/>
            <w:tcBorders/>
          </w:tcPr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ХРАНИТЕЛЬ: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ООО «БСХ Бытовые Приборы»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x-none" w:eastAsia="ru-RU" w:bidi="ar-SA"/>
              </w:rPr>
              <w:t>_____________________</w:t>
            </w:r>
            <w:r>
              <w:rPr>
                <w:color w:val="000000"/>
                <w:sz w:val="22"/>
                <w:szCs w:val="22"/>
                <w:lang w:val="x-none"/>
              </w:rPr>
              <w:t>________________</w:t>
            </w:r>
          </w:p>
          <w:p>
            <w:pPr>
              <w:pStyle w:val="Normal"/>
              <w:widowControl w:val="false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eastAsia="ru-RU"/>
              </w:rPr>
              <w:t>Директор производственного комплекса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val="ru-RU" w:eastAsia="ru-RU"/>
              </w:rPr>
              <w:t>ООО «БСХ Бытовые Приборы»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ru-RU"/>
              </w:rPr>
              <w:t>Романьков А.В.</w:t>
            </w:r>
          </w:p>
          <w:p>
            <w:pPr>
              <w:pStyle w:val="Normal"/>
              <w:ind w:right="18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  <w:lang w:val="x-none" w:eastAsia="ru-RU"/>
              </w:rPr>
              <w:t>М.П.</w:t>
            </w:r>
          </w:p>
        </w:tc>
      </w:tr>
    </w:tbl>
    <w:p>
      <w:pPr>
        <w:pStyle w:val="Normal"/>
        <w:jc w:val="both"/>
        <w:rPr>
          <w:rFonts w:ascii="Times New Roman" w:hAnsi="Times New Roman" w:cs="Arial"/>
          <w:b/>
          <w:color w:val="000000"/>
          <w:sz w:val="22"/>
          <w:szCs w:val="22"/>
          <w:lang w:val="x-none" w:eastAsia="ru-RU"/>
        </w:rPr>
      </w:pPr>
      <w:r>
        <w:rPr>
          <w:rFonts w:cs="Arial"/>
          <w:b/>
          <w:color w:val="000000"/>
          <w:sz w:val="22"/>
          <w:szCs w:val="22"/>
          <w:lang w:val="x-none" w:eastAsia="ru-RU"/>
        </w:rPr>
      </w:r>
    </w:p>
    <w:sectPr>
      <w:footerReference w:type="default" r:id="rId2"/>
      <w:type w:val="nextPage"/>
      <w:pgSz w:w="11906" w:h="16838"/>
      <w:pgMar w:left="1140" w:right="707" w:gutter="0" w:header="0" w:top="993" w:footer="224" w:bottom="56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 Narrow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Symbol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Univers LT CYR 47 Lt C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15250527"/>
    </w:sdtPr>
    <w:sdtContent>
      <w:p>
        <w:pPr>
          <w:pStyle w:val="Footer"/>
          <w:jc w:val="right"/>
          <w:rPr>
            <w:rFonts w:ascii="Arial" w:hAnsi="Arial" w:cs="Arial"/>
          </w:rPr>
        </w:pPr>
        <w:r>
          <w:rPr>
            <w:rFonts w:cs="Arial" w:ascii="Arial" w:hAnsi="Arial"/>
          </w:rPr>
          <w:fldChar w:fldCharType="begin"/>
        </w:r>
        <w:r>
          <w:rPr>
            <w:rFonts w:cs="Arial" w:ascii="Arial" w:hAnsi="Arial"/>
          </w:rPr>
          <w:instrText xml:space="preserve"> PAGE </w:instrText>
        </w:r>
        <w:r>
          <w:rPr>
            <w:rFonts w:cs="Arial" w:ascii="Arial" w:hAnsi="Arial"/>
          </w:rPr>
          <w:fldChar w:fldCharType="separate"/>
        </w:r>
        <w:r>
          <w:rPr>
            <w:rFonts w:cs="Arial" w:ascii="Arial" w:hAnsi="Arial"/>
          </w:rPr>
          <w:t>2</w:t>
        </w:r>
        <w:r>
          <w:rPr>
            <w:rFonts w:cs="Arial" w:ascii="Arial" w:hAnsi="Arial"/>
          </w:rPr>
          <w:fldChar w:fldCharType="end"/>
        </w:r>
      </w:p>
    </w:sdtContent>
  </w:sdt>
  <w:p>
    <w:pPr>
      <w:pStyle w:val="Footer"/>
      <w:ind w:left="284"/>
      <w:rPr>
        <w:rFonts w:ascii="Arial" w:hAnsi="Arial" w:cs="Arial"/>
      </w:rPr>
    </w:pPr>
    <w:r>
      <w:rPr>
        <w:rFonts w:cs="Arial" w:ascii="Arial" w:hAnsi="Arial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3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7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9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1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3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5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7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94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 Narrow" w:hAnsi="Arial Narrow" w:eastAsia="Arial Narrow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e4d9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1"/>
    <w:qFormat/>
    <w:rsid w:val="00ad3aa7"/>
    <w:pPr>
      <w:keepNext w:val="true"/>
      <w:outlineLvl w:val="0"/>
    </w:pPr>
    <w:rPr>
      <w:sz w:val="24"/>
      <w:lang w:eastAsia="x-non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Верхний колонтитул Знак"/>
    <w:basedOn w:val="DefaultParagraphFont"/>
    <w:uiPriority w:val="99"/>
    <w:qFormat/>
    <w:rsid w:val="00a90f1c"/>
    <w:rPr/>
  </w:style>
  <w:style w:type="character" w:styleId="Style13" w:customStyle="1">
    <w:name w:val="Нижний колонтитул Знак"/>
    <w:basedOn w:val="DefaultParagraphFont"/>
    <w:uiPriority w:val="99"/>
    <w:qFormat/>
    <w:rsid w:val="00a90f1c"/>
    <w:rPr/>
  </w:style>
  <w:style w:type="character" w:styleId="Style14" w:customStyle="1">
    <w:name w:val="Текст выноски Знак"/>
    <w:link w:val="BalloonText"/>
    <w:uiPriority w:val="99"/>
    <w:semiHidden/>
    <w:qFormat/>
    <w:rsid w:val="00a90f1c"/>
    <w:rPr>
      <w:rFonts w:ascii="Tahoma" w:hAnsi="Tahoma" w:cs="Tahoma"/>
      <w:sz w:val="16"/>
      <w:szCs w:val="16"/>
    </w:rPr>
  </w:style>
  <w:style w:type="character" w:styleId="A0" w:customStyle="1">
    <w:name w:val="A0"/>
    <w:uiPriority w:val="99"/>
    <w:qFormat/>
    <w:rsid w:val="00a90f1c"/>
    <w:rPr>
      <w:rFonts w:cs="Univers LT CYR 47 Lt Cn"/>
      <w:color w:val="E0601E"/>
      <w:sz w:val="16"/>
      <w:szCs w:val="16"/>
    </w:rPr>
  </w:style>
  <w:style w:type="character" w:styleId="Hyperlink">
    <w:name w:val="Hyperlink"/>
    <w:uiPriority w:val="99"/>
    <w:unhideWhenUsed/>
    <w:rsid w:val="00f37bdd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a24e4a"/>
    <w:rPr>
      <w:color w:val="800080"/>
      <w:u w:val="single"/>
    </w:rPr>
  </w:style>
  <w:style w:type="character" w:styleId="Style15" w:customStyle="1">
    <w:name w:val="Основной текст Знак"/>
    <w:basedOn w:val="DefaultParagraphFont"/>
    <w:qFormat/>
    <w:rsid w:val="00a55054"/>
    <w:rPr>
      <w:rFonts w:ascii="Times New Roman" w:hAnsi="Times New Roman" w:eastAsia="Times New Roman"/>
      <w:sz w:val="28"/>
      <w:szCs w:val="24"/>
    </w:rPr>
  </w:style>
  <w:style w:type="character" w:styleId="1" w:customStyle="1">
    <w:name w:val="Неразрешенное упоминание1"/>
    <w:basedOn w:val="DefaultParagraphFont"/>
    <w:uiPriority w:val="99"/>
    <w:semiHidden/>
    <w:unhideWhenUsed/>
    <w:qFormat/>
    <w:rsid w:val="008d2807"/>
    <w:rPr>
      <w:color w:val="605E5C"/>
      <w:shd w:fill="E1DFDD" w:val="clear"/>
    </w:rPr>
  </w:style>
  <w:style w:type="character" w:styleId="Style16" w:customStyle="1">
    <w:name w:val="Заголовок Знак"/>
    <w:basedOn w:val="DefaultParagraphFont"/>
    <w:qFormat/>
    <w:rsid w:val="00be754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17" w:customStyle="1">
    <w:name w:val="Текст Знак"/>
    <w:basedOn w:val="DefaultParagraphFont"/>
    <w:link w:val="PlainText"/>
    <w:uiPriority w:val="99"/>
    <w:semiHidden/>
    <w:qFormat/>
    <w:rsid w:val="00981daf"/>
    <w:rPr>
      <w:rFonts w:ascii="Courier New" w:hAnsi="Courier New" w:eastAsia="Times New Roman"/>
      <w:lang w:val="x-none" w:eastAsia="x-non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13210"/>
    <w:rPr>
      <w:sz w:val="16"/>
      <w:szCs w:val="16"/>
    </w:rPr>
  </w:style>
  <w:style w:type="character" w:styleId="Style18" w:customStyle="1">
    <w:name w:val="Текст примечания Знак"/>
    <w:basedOn w:val="DefaultParagraphFont"/>
    <w:link w:val="Annotationtext"/>
    <w:semiHidden/>
    <w:qFormat/>
    <w:rsid w:val="00913210"/>
    <w:rPr>
      <w:rFonts w:ascii="Times New Roman" w:hAnsi="Times New Roman" w:eastAsia="Times New Roman"/>
    </w:rPr>
  </w:style>
  <w:style w:type="character" w:styleId="Style19" w:customStyle="1">
    <w:name w:val="Тема примечания Знак"/>
    <w:basedOn w:val="Style18"/>
    <w:link w:val="Annotationsubject"/>
    <w:uiPriority w:val="99"/>
    <w:semiHidden/>
    <w:qFormat/>
    <w:rsid w:val="00913210"/>
    <w:rPr>
      <w:rFonts w:ascii="Times New Roman" w:hAnsi="Times New Roman" w:eastAsia="Times New Roman"/>
      <w:b/>
      <w:bCs/>
    </w:rPr>
  </w:style>
  <w:style w:type="character" w:styleId="2" w:customStyle="1">
    <w:name w:val="Основной текст 2 Знак"/>
    <w:basedOn w:val="DefaultParagraphFont"/>
    <w:link w:val="BodyText2"/>
    <w:uiPriority w:val="99"/>
    <w:semiHidden/>
    <w:qFormat/>
    <w:rsid w:val="00605209"/>
    <w:rPr>
      <w:rFonts w:ascii="Times New Roman" w:hAnsi="Times New Roman" w:eastAsia="Times New Roman"/>
    </w:rPr>
  </w:style>
  <w:style w:type="character" w:styleId="11" w:customStyle="1">
    <w:name w:val="Заголовок 1 Знак"/>
    <w:basedOn w:val="DefaultParagraphFont"/>
    <w:qFormat/>
    <w:rsid w:val="00ad3aa7"/>
    <w:rPr>
      <w:rFonts w:ascii="Times New Roman" w:hAnsi="Times New Roman" w:eastAsia="Times New Roman"/>
      <w:sz w:val="24"/>
      <w:lang w:eastAsia="x-no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sz w:val="24"/>
      <w:szCs w:val="24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Style20">
    <w:name w:val="Маркеры"/>
    <w:qFormat/>
    <w:rPr>
      <w:rFonts w:ascii="OpenSymbol" w:hAnsi="OpenSymbol" w:eastAsia="OpenSymbol" w:cs="OpenSymbol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5"/>
    <w:unhideWhenUsed/>
    <w:rsid w:val="00a55054"/>
    <w:pPr>
      <w:jc w:val="both"/>
    </w:pPr>
    <w:rPr>
      <w:sz w:val="28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Arial"/>
    </w:rPr>
  </w:style>
  <w:style w:type="paragraph" w:styleId="Style23">
    <w:name w:val="Колонтитул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a90f1c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3"/>
    <w:uiPriority w:val="99"/>
    <w:unhideWhenUsed/>
    <w:rsid w:val="00a90f1c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a90f1c"/>
    <w:pPr/>
    <w:rPr>
      <w:rFonts w:ascii="Tahoma" w:hAnsi="Tahoma" w:eastAsia="Arial Narrow"/>
      <w:sz w:val="16"/>
      <w:szCs w:val="16"/>
      <w:lang w:val="x-none" w:eastAsia="x-none"/>
    </w:rPr>
  </w:style>
  <w:style w:type="paragraph" w:styleId="Default" w:customStyle="1">
    <w:name w:val="Default"/>
    <w:qFormat/>
    <w:rsid w:val="00a90f1c"/>
    <w:pPr>
      <w:widowControl/>
      <w:suppressAutoHyphens w:val="true"/>
      <w:bidi w:val="0"/>
      <w:spacing w:before="0" w:after="0"/>
      <w:jc w:val="left"/>
    </w:pPr>
    <w:rPr>
      <w:rFonts w:ascii="Univers LT CYR 47 Lt Cn" w:hAnsi="Univers LT CYR 47 Lt Cn" w:eastAsia="Arial Narrow" w:cs="Univers LT CYR 47 Lt Cn"/>
      <w:color w:val="000000"/>
      <w:kern w:val="0"/>
      <w:sz w:val="24"/>
      <w:szCs w:val="24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e04acc"/>
    <w:pPr>
      <w:spacing w:lineRule="auto" w:line="259" w:before="0" w:after="160"/>
      <w:ind w:lef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Title">
    <w:name w:val="Title"/>
    <w:basedOn w:val="Normal"/>
    <w:next w:val="Normal"/>
    <w:link w:val="Style16"/>
    <w:qFormat/>
    <w:rsid w:val="00be7547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Revision">
    <w:name w:val="Revision"/>
    <w:uiPriority w:val="99"/>
    <w:semiHidden/>
    <w:qFormat/>
    <w:rsid w:val="0093541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NoSpacing">
    <w:name w:val="No Spacing"/>
    <w:uiPriority w:val="1"/>
    <w:qFormat/>
    <w:rsid w:val="00e02d51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PlainText">
    <w:name w:val="Plain Text"/>
    <w:basedOn w:val="Normal"/>
    <w:link w:val="Style17"/>
    <w:uiPriority w:val="99"/>
    <w:semiHidden/>
    <w:unhideWhenUsed/>
    <w:qFormat/>
    <w:rsid w:val="00981daf"/>
    <w:pPr/>
    <w:rPr>
      <w:rFonts w:ascii="Courier New" w:hAnsi="Courier New"/>
      <w:lang w:val="x-none" w:eastAsia="x-none"/>
    </w:rPr>
  </w:style>
  <w:style w:type="paragraph" w:styleId="Annotationtext">
    <w:name w:val="annotation text"/>
    <w:basedOn w:val="Normal"/>
    <w:link w:val="Style18"/>
    <w:semiHidden/>
    <w:unhideWhenUsed/>
    <w:qFormat/>
    <w:rsid w:val="00913210"/>
    <w:pPr/>
    <w:rPr/>
  </w:style>
  <w:style w:type="paragraph" w:styleId="Annotationsubject">
    <w:name w:val="annotation subject"/>
    <w:basedOn w:val="Annotationtext"/>
    <w:next w:val="Annotationtext"/>
    <w:link w:val="Style19"/>
    <w:uiPriority w:val="99"/>
    <w:semiHidden/>
    <w:unhideWhenUsed/>
    <w:qFormat/>
    <w:rsid w:val="00913210"/>
    <w:pPr/>
    <w:rPr>
      <w:b/>
      <w:bCs/>
    </w:rPr>
  </w:style>
  <w:style w:type="paragraph" w:styleId="BodyText2">
    <w:name w:val="Body Text 2"/>
    <w:basedOn w:val="Normal"/>
    <w:link w:val="2"/>
    <w:uiPriority w:val="99"/>
    <w:semiHidden/>
    <w:unhideWhenUsed/>
    <w:qFormat/>
    <w:rsid w:val="00605209"/>
    <w:pPr>
      <w:spacing w:lineRule="auto" w:line="480" w:before="0" w:after="120"/>
    </w:pPr>
    <w:rPr/>
  </w:style>
  <w:style w:type="paragraph" w:styleId="Style24">
    <w:name w:val="Содержимое врезки"/>
    <w:basedOn w:val="Normal"/>
    <w:qFormat/>
    <w:pPr/>
    <w:rPr/>
  </w:style>
  <w:style w:type="paragraph" w:styleId="31">
    <w:name w:val="Основной текст с отступом 31"/>
    <w:basedOn w:val="Normal"/>
    <w:qFormat/>
    <w:pPr>
      <w:ind w:firstLine="720"/>
      <w:jc w:val="both"/>
    </w:pPr>
    <w:rPr>
      <w:color w:val="000000"/>
      <w:sz w:val="24"/>
      <w:lang w:val="x-none"/>
    </w:rPr>
  </w:style>
  <w:style w:type="paragraph" w:styleId="12">
    <w:name w:val="Текст примечания1"/>
    <w:basedOn w:val="Normal"/>
    <w:qFormat/>
    <w:pPr/>
    <w:rPr>
      <w:lang w:val="x-none"/>
    </w:rPr>
  </w:style>
  <w:style w:type="paragraph" w:styleId="Style25">
    <w:name w:val="Содержимое таблицы"/>
    <w:basedOn w:val="Normal"/>
    <w:qFormat/>
    <w:pPr>
      <w:widowControl w:val="false"/>
      <w:suppressLineNumbers/>
    </w:pPr>
    <w:rPr/>
  </w:style>
  <w:style w:type="paragraph" w:styleId="Style26">
    <w:name w:val="Заголовок таблицы"/>
    <w:basedOn w:val="Style2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0165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01450-2A1A-49A8-BE49-E90593AF1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963</TotalTime>
  <Application>LibreOffice/7.6.2.1$Windows_X86_64 LibreOffice_project/56f7684011345957bbf33a7ee678afaf4d2ba333</Application>
  <AppVersion>15.0000</AppVersion>
  <Pages>3</Pages>
  <Words>897</Words>
  <Characters>5520</Characters>
  <CharactersWithSpaces>6265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2024-06-18T11:20:00Z</dcterms:created>
  <dc:creator>okhotin</dc:creator>
  <dc:description/>
  <dc:language>ru-RU</dc:language>
  <cp:lastModifiedBy>О И Будей</cp:lastModifiedBy>
  <cp:lastPrinted>2025-11-10T16:38:26Z</cp:lastPrinted>
  <dcterms:modified xsi:type="dcterms:W3CDTF">2026-06-16T16:54:20Z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