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86" w:rsidRPr="007F0D86" w:rsidRDefault="007F0D86" w:rsidP="00B13471">
      <w:pPr>
        <w:jc w:val="both"/>
        <w:rPr>
          <w:rFonts w:ascii="Adobe Arabic" w:hAnsi="Adobe Arabic" w:cs="Adobe Arabic"/>
          <w:b/>
          <w:bCs/>
          <w:iCs/>
          <w:sz w:val="36"/>
          <w:szCs w:val="36"/>
          <w:lang w:val="en-US"/>
        </w:rPr>
      </w:pPr>
      <w:proofErr w:type="gramStart"/>
      <w:r w:rsidRPr="007F0D86">
        <w:rPr>
          <w:rFonts w:ascii="Adobe Arabic" w:hAnsi="Adobe Arabic" w:cs="Adobe Arabic"/>
          <w:b/>
          <w:bCs/>
          <w:iCs/>
          <w:sz w:val="36"/>
          <w:szCs w:val="36"/>
          <w:lang w:val="en-US"/>
        </w:rPr>
        <w:t>Articles :</w:t>
      </w:r>
      <w:proofErr w:type="gramEnd"/>
    </w:p>
    <w:p w:rsidR="007F0D86" w:rsidRDefault="007F0D86" w:rsidP="00B13471">
      <w:pPr>
        <w:jc w:val="both"/>
        <w:rPr>
          <w:rFonts w:ascii="Adobe Arabic" w:hAnsi="Adobe Arabic" w:cs="Adobe Arabic"/>
          <w:bCs/>
          <w:iCs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17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bCs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Mani, K. N.,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Rudiuk S.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D. </w:t>
      </w:r>
      <w:proofErr w:type="spellStart"/>
      <w:proofErr w:type="gram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Baigl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 :</w:t>
      </w:r>
      <w:proofErr w:type="gram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 « Spatially controlled DNA unzipping by microfluidic interface positioning on a molecule perpendicular to a multicomponent flow », </w:t>
      </w:r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 xml:space="preserve">Chem. </w:t>
      </w:r>
      <w:proofErr w:type="spellStart"/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>Commun</w:t>
      </w:r>
      <w:proofErr w:type="spellEnd"/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 xml:space="preserve">.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2013</w:t>
      </w:r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 xml:space="preserve">,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49 (61), 6858 – 6860.</w:t>
      </w:r>
    </w:p>
    <w:p w:rsidR="00B13471" w:rsidRPr="00B13471" w:rsidRDefault="00B13471" w:rsidP="00B13471">
      <w:pPr>
        <w:pStyle w:val="Paragraphedeliste"/>
        <w:tabs>
          <w:tab w:val="left" w:pos="426"/>
        </w:tabs>
        <w:ind w:left="426"/>
        <w:jc w:val="both"/>
        <w:rPr>
          <w:rFonts w:ascii="Adobe Arabic" w:hAnsi="Adobe Arabic" w:cs="Adobe Arabic"/>
          <w:b/>
          <w:bCs/>
          <w:iCs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16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b/>
          <w:bCs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Rudiuk S.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A.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Venancio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-Marques, G.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Hallais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D. </w:t>
      </w:r>
      <w:proofErr w:type="spellStart"/>
      <w:proofErr w:type="gram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Baigl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 :</w:t>
      </w:r>
      <w:proofErr w:type="gram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 « Preparation of one- to four-branch silver nanostructures of various sizes by metallization of hybrid DNA-protein assemblies », </w:t>
      </w:r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>Soft Matter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 xml:space="preserve"> 2013,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9, 9146-9152.</w:t>
      </w:r>
    </w:p>
    <w:p w:rsidR="00B13471" w:rsidRPr="00B13471" w:rsidRDefault="00B13471" w:rsidP="00B13471">
      <w:pPr>
        <w:pStyle w:val="Paragraphedeliste"/>
        <w:tabs>
          <w:tab w:val="left" w:pos="426"/>
        </w:tabs>
        <w:ind w:left="426"/>
        <w:jc w:val="both"/>
        <w:rPr>
          <w:rFonts w:ascii="Adobe Arabic" w:hAnsi="Adobe Arabic" w:cs="Adobe Arabic"/>
          <w:b/>
          <w:bCs/>
          <w:iCs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15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Rudiuk S.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A.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Venancio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-Marques, D.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Baigl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: « Enhancement and modulation of enzymatic activity through higher-order structural changes of giant DNA-protein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multibranch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 conjugates </w:t>
      </w:r>
      <w:r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»</w:t>
      </w:r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 xml:space="preserve">, </w:t>
      </w:r>
      <w:proofErr w:type="spellStart"/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>Angew</w:t>
      </w:r>
      <w:proofErr w:type="spellEnd"/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 xml:space="preserve">. </w:t>
      </w:r>
      <w:proofErr w:type="spellStart"/>
      <w:r w:rsidRPr="00B13471">
        <w:rPr>
          <w:rFonts w:ascii="Adobe Arabic" w:hAnsi="Adobe Arabic" w:cs="Adobe Arabic"/>
          <w:b/>
          <w:bCs/>
          <w:i/>
          <w:iCs/>
          <w:sz w:val="28"/>
          <w:szCs w:val="28"/>
        </w:rPr>
        <w:t>Chem</w:t>
      </w:r>
      <w:proofErr w:type="spellEnd"/>
      <w:r w:rsidRPr="00B13471">
        <w:rPr>
          <w:rFonts w:ascii="Adobe Arabic" w:hAnsi="Adobe Arabic" w:cs="Adobe Arabic"/>
          <w:b/>
          <w:bCs/>
          <w:i/>
          <w:iCs/>
          <w:sz w:val="28"/>
          <w:szCs w:val="28"/>
        </w:rPr>
        <w:t>. Int. Ed.</w:t>
      </w:r>
      <w:r w:rsidRPr="00B13471">
        <w:rPr>
          <w:rFonts w:ascii="Adobe Arabic" w:hAnsi="Adobe Arabic" w:cs="Adobe Arabic"/>
          <w:bCs/>
          <w:i/>
          <w:iCs/>
          <w:sz w:val="28"/>
          <w:szCs w:val="28"/>
        </w:rPr>
        <w:t xml:space="preserve">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</w:rPr>
        <w:t>2012</w:t>
      </w:r>
      <w:r w:rsidRPr="00B13471">
        <w:rPr>
          <w:rFonts w:ascii="Adobe Arabic" w:hAnsi="Adobe Arabic" w:cs="Adobe Arabic"/>
          <w:bCs/>
          <w:iCs/>
          <w:sz w:val="28"/>
          <w:szCs w:val="28"/>
        </w:rPr>
        <w:t>, 51, 12694 –12698.</w:t>
      </w:r>
    </w:p>
    <w:p w:rsidR="00B13471" w:rsidRPr="00B13471" w:rsidRDefault="00B13471" w:rsidP="00B13471">
      <w:pPr>
        <w:tabs>
          <w:tab w:val="left" w:pos="709"/>
        </w:tabs>
        <w:jc w:val="both"/>
        <w:rPr>
          <w:rFonts w:ascii="Adobe Arabic" w:hAnsi="Adobe Arabic" w:cs="Adobe Arabic"/>
          <w:bCs/>
          <w:iCs/>
          <w:color w:val="FF0000"/>
          <w:sz w:val="28"/>
          <w:szCs w:val="28"/>
        </w:rPr>
      </w:pPr>
    </w:p>
    <w:p w:rsidR="00B13471" w:rsidRPr="00B13471" w:rsidRDefault="00B13471" w:rsidP="00B13471">
      <w:pPr>
        <w:pStyle w:val="Paragraphedeliste"/>
        <w:numPr>
          <w:ilvl w:val="0"/>
          <w:numId w:val="14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bCs/>
          <w:iCs/>
          <w:sz w:val="28"/>
          <w:szCs w:val="28"/>
          <w:lang w:val="en-US"/>
        </w:rPr>
      </w:pP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Diguet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 A., M. Yanagisawa, Y.-J. Liu, E.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Brun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S.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Abadie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S. Rudiuk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D.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Baigl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: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« 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UV-Induced Bursting of Cell-Sized Multi-Component Lipid Vesicles in a Photosensitive Surfactant Solution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» </w:t>
      </w:r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>J. Am. Chem. Soc.</w:t>
      </w:r>
      <w:r w:rsidRPr="00B13471">
        <w:rPr>
          <w:rFonts w:ascii="Adobe Arabic" w:hAnsi="Adobe Arabic" w:cs="Adobe Arabic"/>
          <w:bCs/>
          <w:i/>
          <w:iCs/>
          <w:sz w:val="28"/>
          <w:szCs w:val="28"/>
          <w:lang w:val="en-US"/>
        </w:rPr>
        <w:t xml:space="preserve"> 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2012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, 134, 4898−4904.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bCs/>
          <w:iCs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13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bCs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Rudiuk S.,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L. Cohen-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Tannoudji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S.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Huille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C.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Tribet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: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« 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Importance of the dynamics of adsorption and of a transient interfacial stress on the formation of aggregates of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IgG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antibodies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», </w:t>
      </w:r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>Soft Matter</w:t>
      </w:r>
      <w:r w:rsidRPr="00B13471">
        <w:rPr>
          <w:rFonts w:ascii="Adobe Arabic" w:hAnsi="Adobe Arabic" w:cs="Adobe Arabic"/>
          <w:bCs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2012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, 8, 2651-2661.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b/>
          <w:bCs/>
          <w:iCs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12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bCs/>
          <w:iCs/>
          <w:sz w:val="28"/>
          <w:szCs w:val="28"/>
          <w:lang w:val="en-US"/>
        </w:rPr>
      </w:pP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Schiessel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 H., M. D. Correa-Rodríguez,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S. Rudiuk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D.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Baigl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K. Yoshikawa: « Theory of DNA-cationic micelle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complexation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 »,</w:t>
      </w:r>
      <w:r w:rsidRPr="00B13471">
        <w:rPr>
          <w:rFonts w:ascii="Adobe Arabic" w:hAnsi="Adobe Arabic" w:cs="Adobe Arabic"/>
          <w:bCs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>Soft Matter</w:t>
      </w:r>
      <w:r w:rsidRPr="00B13471">
        <w:rPr>
          <w:rFonts w:ascii="Adobe Arabic" w:hAnsi="Adobe Arabic" w:cs="Adobe Arabic"/>
          <w:bCs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2012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, 8, 9406-9411.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bCs/>
          <w:iCs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11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bCs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Liu Y.-J., A. Pallier, J. Sun,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S. Rudiuk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D.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Baigl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M.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Piel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, E. Marie, C.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Tribet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: « Non-monotonous variation of the LCST of light-responsive, </w:t>
      </w:r>
      <w:proofErr w:type="spellStart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amphiphilic</w:t>
      </w:r>
      <w:proofErr w:type="spellEnd"/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 poly(NIPAM) derivatives »,</w:t>
      </w:r>
      <w:r w:rsidRPr="00B13471">
        <w:rPr>
          <w:rFonts w:ascii="Adobe Arabic" w:hAnsi="Adobe Arabic" w:cs="Adobe Arabic"/>
          <w:bCs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>Soft Matter</w:t>
      </w:r>
      <w:r w:rsidRPr="00B13471">
        <w:rPr>
          <w:rFonts w:ascii="Adobe Arabic" w:hAnsi="Adobe Arabic" w:cs="Adobe Arabic"/>
          <w:bCs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2012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, 8, 8446-8455.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bCs/>
          <w:iCs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bCs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Rudiuk S.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K. Yoshikawa, D. </w:t>
      </w:r>
      <w:proofErr w:type="spellStart"/>
      <w:proofErr w:type="gram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Baigl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:</w:t>
      </w:r>
      <w:proofErr w:type="gram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« 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Enhancement of DNA Compaction by Negatively Charged Nanoparticles. Effect of Nanoparticle Size and Surfactant Chain Length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»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. </w:t>
      </w:r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 xml:space="preserve">J. Colloid Interface </w:t>
      </w:r>
      <w:proofErr w:type="spellStart"/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Sci</w:t>
      </w:r>
      <w:proofErr w:type="spellEnd"/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,</w:t>
      </w:r>
      <w:r w:rsidRPr="00B13471">
        <w:rPr>
          <w:rFonts w:ascii="Adobe Arabic" w:hAnsi="Adobe Arabic" w:cs="Adobe Arabic"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iCs/>
          <w:sz w:val="28"/>
          <w:szCs w:val="28"/>
          <w:lang w:val="en-US"/>
        </w:rPr>
        <w:t>2012,</w:t>
      </w:r>
      <w:r w:rsidRPr="00B13471">
        <w:rPr>
          <w:rFonts w:ascii="Adobe Arabic" w:hAnsi="Adobe Arabic" w:cs="Adobe Arabic"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368, 372-377.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b/>
          <w:bCs/>
          <w:iCs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8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bCs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Rudiuk S.,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T. Hara, H. Saito, K. Yoshikawa, D. </w:t>
      </w:r>
      <w:proofErr w:type="spellStart"/>
      <w:proofErr w:type="gram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Baigl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:</w:t>
      </w:r>
      <w:proofErr w:type="gram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« 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Light-Regulated mRNA Condensation by a Photosensitive Surfactant Works as a Series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Photoswitch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of Translation Activity in the Presence of Small RNAs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», </w:t>
      </w:r>
      <w:proofErr w:type="spellStart"/>
      <w:r w:rsidRPr="00B13471">
        <w:rPr>
          <w:rFonts w:ascii="Adobe Arabic" w:hAnsi="Adobe Arabic" w:cs="Adobe Arabic"/>
          <w:b/>
          <w:bCs/>
          <w:i/>
          <w:iCs/>
          <w:sz w:val="28"/>
          <w:szCs w:val="28"/>
          <w:lang w:val="en-US"/>
        </w:rPr>
        <w:t>Biomacromolecules</w:t>
      </w:r>
      <w:proofErr w:type="spellEnd"/>
      <w:r w:rsidRPr="00B13471">
        <w:rPr>
          <w:rFonts w:ascii="Adobe Arabic" w:hAnsi="Adobe Arabic" w:cs="Adobe Arabic"/>
          <w:bCs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2011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, 12, 3945−3951.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b/>
          <w:bCs/>
          <w:iCs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9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b/>
          <w:bCs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Rudiuk S.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K. Yoshikawa, D. </w:t>
      </w:r>
      <w:proofErr w:type="spellStart"/>
      <w:proofErr w:type="gram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Baigl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:</w:t>
      </w:r>
      <w:proofErr w:type="gram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« 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Enhancement of DNA Compaction by Negatively Charged Nanoparticles. Application to Reversible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Photocontrol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of DNA Higher-Order Structure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»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. </w:t>
      </w:r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Soft Matter</w:t>
      </w:r>
      <w:r w:rsidRPr="00B13471">
        <w:rPr>
          <w:rFonts w:ascii="Adobe Arabic" w:hAnsi="Adobe Arabic" w:cs="Adobe Arabic"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iCs/>
          <w:sz w:val="28"/>
          <w:szCs w:val="28"/>
          <w:lang w:val="en-US"/>
        </w:rPr>
        <w:t>2011</w:t>
      </w:r>
      <w:r w:rsidRPr="00B13471">
        <w:rPr>
          <w:rFonts w:ascii="Adobe Arabic" w:hAnsi="Adobe Arabic" w:cs="Adobe Arabic"/>
          <w:i/>
          <w:iCs/>
          <w:sz w:val="28"/>
          <w:szCs w:val="28"/>
          <w:lang w:val="en-US"/>
        </w:rPr>
        <w:t xml:space="preserve">, 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7, 5854-5860.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b/>
          <w:bCs/>
          <w:iCs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7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Rudiuk S.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S.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Franceschi-Messant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N.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Chouini-Lalanne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E. Perez, I. Rico-Lattes : « DNA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photooxidative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damage hazard in transfection complexes » </w:t>
      </w:r>
      <w:proofErr w:type="spellStart"/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Photochem</w:t>
      </w:r>
      <w:proofErr w:type="spellEnd"/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 xml:space="preserve">. </w:t>
      </w:r>
      <w:proofErr w:type="spellStart"/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Photobiol</w:t>
      </w:r>
      <w:proofErr w:type="spellEnd"/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.</w:t>
      </w:r>
      <w:r w:rsidRPr="00B13471">
        <w:rPr>
          <w:rFonts w:ascii="Adobe Arabic" w:hAnsi="Adobe Arabic" w:cs="Adobe Arabic"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iCs/>
          <w:sz w:val="28"/>
          <w:szCs w:val="28"/>
          <w:lang w:val="en-US"/>
        </w:rPr>
        <w:t>2011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, 87, 103-108.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6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lastRenderedPageBreak/>
        <w:t>Rudiuk S.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M.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Delample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S.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Franceschi-Messant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N.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Chouini-Lalanne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E. Perez, J.-C.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Garrigues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, I. Rico-</w:t>
      </w:r>
      <w:proofErr w:type="gram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Lattes :</w:t>
      </w:r>
      <w:proofErr w:type="gram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« 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Spontaneous vesicle formation by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caffeate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ion-pair surfactants: antioxidant properties and application to DNA protection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» </w:t>
      </w:r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J. Disp. Sci. Tech.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iCs/>
          <w:sz w:val="28"/>
          <w:szCs w:val="28"/>
          <w:lang w:val="en-US"/>
        </w:rPr>
        <w:t>2010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31, 384–391.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5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Rudiuk S.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S.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Franceschi-Messant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N.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Chouini-Lalanne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, E. Perez, I. Rico-</w:t>
      </w:r>
      <w:proofErr w:type="gram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Lattes :</w:t>
      </w:r>
      <w:proofErr w:type="gram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« 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Modulation of photo-oxidative DNA damage by cationic surfactant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complexation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», </w:t>
      </w:r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 xml:space="preserve">Langmuir </w:t>
      </w:r>
      <w:r w:rsidRPr="00B13471">
        <w:rPr>
          <w:rFonts w:ascii="Adobe Arabic" w:hAnsi="Adobe Arabic" w:cs="Adobe Arabic"/>
          <w:b/>
          <w:iCs/>
          <w:sz w:val="28"/>
          <w:szCs w:val="28"/>
          <w:lang w:val="en-US"/>
        </w:rPr>
        <w:t>2008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, 24, 8452-8457.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4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iCs/>
          <w:sz w:val="28"/>
          <w:szCs w:val="28"/>
          <w:lang w:val="en-US"/>
        </w:rPr>
      </w:pP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Rudiuk S.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A.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;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Voitenko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Z.V.;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Riabov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S.V.;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Roshal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A.D., :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« 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Molecular complexes of 4,10-dihydrothieno[3',2':5,6]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pyrimido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[2,1-a]isoindol-4-ones with </w:t>
      </w:r>
      <w:r w:rsidRPr="00B13471">
        <w:rPr>
          <w:rFonts w:ascii="Cambria" w:hAnsi="Cambria" w:cs="Cambria"/>
          <w:iCs/>
          <w:sz w:val="28"/>
          <w:szCs w:val="28"/>
          <w:lang w:val="en-US"/>
        </w:rPr>
        <w:t>β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-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cyclodextrin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», </w:t>
      </w:r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 xml:space="preserve">J. Incl. </w:t>
      </w:r>
      <w:proofErr w:type="spellStart"/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Phenom</w:t>
      </w:r>
      <w:proofErr w:type="spellEnd"/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 xml:space="preserve">. </w:t>
      </w:r>
      <w:proofErr w:type="spellStart"/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Macrocycl</w:t>
      </w:r>
      <w:proofErr w:type="spellEnd"/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 xml:space="preserve">. Chem. </w:t>
      </w:r>
      <w:r w:rsidRPr="00B13471">
        <w:rPr>
          <w:rFonts w:ascii="Adobe Arabic" w:hAnsi="Adobe Arabic" w:cs="Adobe Arabic"/>
          <w:b/>
          <w:iCs/>
          <w:sz w:val="28"/>
          <w:szCs w:val="28"/>
          <w:lang w:val="en-US"/>
        </w:rPr>
        <w:t>2007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, 57(1-4), 415-417.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iCs/>
          <w:sz w:val="28"/>
          <w:szCs w:val="28"/>
          <w:lang w:val="en-US"/>
        </w:rPr>
      </w:pP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Voitenko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Z.V.; </w:t>
      </w:r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Rudiuk, S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.A.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;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Riabov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S.V.;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Roshal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A.D.;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Grigorovich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A.V., :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« 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Modification of </w:t>
      </w:r>
      <w:r w:rsidRPr="00B13471">
        <w:rPr>
          <w:rFonts w:ascii="Cambria" w:hAnsi="Cambria" w:cs="Cambria"/>
          <w:iCs/>
          <w:sz w:val="28"/>
          <w:szCs w:val="28"/>
          <w:lang w:val="en-US"/>
        </w:rPr>
        <w:t>β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-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cyclodextrins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with heterocyclic compounds -reaction of 4,10-dihydrothieno[3',2':5,6]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pirimido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[2,1-a]isoindol-4-one derivatives and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thionyl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chloride and study of their molecular complex with-</w:t>
      </w:r>
      <w:r w:rsidRPr="00B13471">
        <w:rPr>
          <w:rFonts w:ascii="Cambria" w:hAnsi="Cambria" w:cs="Cambria"/>
          <w:iCs/>
          <w:sz w:val="28"/>
          <w:szCs w:val="28"/>
          <w:lang w:val="en-US"/>
        </w:rPr>
        <w:t>β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-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cyclodextrin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», </w:t>
      </w:r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Ukrainian Polymer Journal</w:t>
      </w:r>
      <w:r w:rsidRPr="00B13471">
        <w:rPr>
          <w:rFonts w:ascii="Adobe Arabic" w:hAnsi="Adobe Arabic" w:cs="Adobe Arabic"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iCs/>
          <w:sz w:val="28"/>
          <w:szCs w:val="28"/>
          <w:lang w:val="en-US"/>
        </w:rPr>
        <w:t>2006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, 28(4), 303-307.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sz w:val="28"/>
          <w:szCs w:val="28"/>
          <w:lang w:val="en-US"/>
        </w:rPr>
      </w:pPr>
    </w:p>
    <w:p w:rsidR="00B13471" w:rsidRPr="00B13471" w:rsidRDefault="00B13471" w:rsidP="00B13471">
      <w:pPr>
        <w:pStyle w:val="Paragraphedeliste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ascii="Adobe Arabic" w:hAnsi="Adobe Arabic" w:cs="Adobe Arabic"/>
          <w:iCs/>
          <w:sz w:val="28"/>
          <w:szCs w:val="28"/>
          <w:lang w:val="en-US"/>
        </w:rPr>
      </w:pP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Riabov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S.V.; </w:t>
      </w:r>
      <w:proofErr w:type="spellStart"/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Rudyuk</w:t>
      </w:r>
      <w:proofErr w:type="spellEnd"/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, S.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A.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;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Voitenko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, Z.V.</w:t>
      </w:r>
      <w:proofErr w:type="gram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, :</w:t>
      </w:r>
      <w:proofErr w:type="gram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«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Supramolecular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metal complex systems based on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cyclodextrins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»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(review), </w:t>
      </w:r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Ukrainian Polymer Journal</w:t>
      </w:r>
      <w:r w:rsidRPr="00B13471">
        <w:rPr>
          <w:rFonts w:ascii="Adobe Arabic" w:hAnsi="Adobe Arabic" w:cs="Adobe Arabic"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iCs/>
          <w:sz w:val="28"/>
          <w:szCs w:val="28"/>
          <w:lang w:val="en-US"/>
        </w:rPr>
        <w:t>2005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, 27(2), 67-76.</w:t>
      </w:r>
    </w:p>
    <w:p w:rsidR="00B13471" w:rsidRPr="00B13471" w:rsidRDefault="00B13471" w:rsidP="00B13471">
      <w:pPr>
        <w:tabs>
          <w:tab w:val="left" w:pos="426"/>
        </w:tabs>
        <w:ind w:left="426" w:hanging="426"/>
        <w:jc w:val="both"/>
        <w:rPr>
          <w:rFonts w:ascii="Adobe Arabic" w:hAnsi="Adobe Arabic" w:cs="Adobe Arabic"/>
          <w:sz w:val="28"/>
          <w:szCs w:val="28"/>
          <w:lang w:val="en-US"/>
        </w:rPr>
      </w:pPr>
    </w:p>
    <w:p w:rsidR="00E12164" w:rsidRPr="007F0D86" w:rsidRDefault="00B13471" w:rsidP="00B13471">
      <w:pPr>
        <w:pStyle w:val="Paragraphedeliste"/>
        <w:numPr>
          <w:ilvl w:val="0"/>
          <w:numId w:val="18"/>
        </w:numPr>
        <w:rPr>
          <w:rFonts w:ascii="Adobe Arabic" w:hAnsi="Adobe Arabic" w:cs="Adobe Arabic"/>
          <w:sz w:val="28"/>
          <w:szCs w:val="28"/>
          <w:lang w:val="en-US"/>
        </w:rPr>
      </w:pP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Voitenko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Z.V.; </w:t>
      </w:r>
      <w:proofErr w:type="spellStart"/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Rudyuk</w:t>
      </w:r>
      <w:proofErr w:type="spellEnd"/>
      <w:r w:rsidRPr="00B13471">
        <w:rPr>
          <w:rFonts w:ascii="Adobe Arabic" w:hAnsi="Adobe Arabic" w:cs="Adobe Arabic"/>
          <w:b/>
          <w:bCs/>
          <w:iCs/>
          <w:sz w:val="28"/>
          <w:szCs w:val="28"/>
          <w:lang w:val="en-US"/>
        </w:rPr>
        <w:t>, S.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>O.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;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Samoilenko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V.P.;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Ryabov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S.V.;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Zubatyuk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R.I.; 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Shishkin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, O.V.,  :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« 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Esters of o-(4-oxo-3,4-dihydro-2-quinazolinyl)benzoic acid and 5,11-dihydroisoindolo[2,1-a]quinazolinone-5 derivatives as </w:t>
      </w:r>
      <w:r w:rsidRPr="00B13471">
        <w:rPr>
          <w:rFonts w:ascii="Cambria" w:hAnsi="Cambria" w:cs="Cambria"/>
          <w:iCs/>
          <w:sz w:val="28"/>
          <w:szCs w:val="28"/>
          <w:lang w:val="en-US"/>
        </w:rPr>
        <w:t>β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-</w:t>
      </w:r>
      <w:proofErr w:type="spellStart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cyclodextrin</w:t>
      </w:r>
      <w:proofErr w:type="spellEnd"/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 xml:space="preserve"> modifiers </w:t>
      </w:r>
      <w:r w:rsidRPr="00B13471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», </w:t>
      </w:r>
      <w:r w:rsidRPr="00B13471">
        <w:rPr>
          <w:rFonts w:ascii="Adobe Arabic" w:hAnsi="Adobe Arabic" w:cs="Adobe Arabic"/>
          <w:b/>
          <w:i/>
          <w:iCs/>
          <w:sz w:val="28"/>
          <w:szCs w:val="28"/>
          <w:lang w:val="en-US"/>
        </w:rPr>
        <w:t>Journal of National Academy of Sciences of Ukraine</w:t>
      </w:r>
      <w:r w:rsidRPr="00B13471">
        <w:rPr>
          <w:rFonts w:ascii="Adobe Arabic" w:hAnsi="Adobe Arabic" w:cs="Adobe Arabic"/>
          <w:i/>
          <w:iCs/>
          <w:sz w:val="28"/>
          <w:szCs w:val="28"/>
          <w:lang w:val="en-US"/>
        </w:rPr>
        <w:t xml:space="preserve"> </w:t>
      </w:r>
      <w:r w:rsidRPr="00B13471">
        <w:rPr>
          <w:rFonts w:ascii="Adobe Arabic" w:hAnsi="Adobe Arabic" w:cs="Adobe Arabic"/>
          <w:b/>
          <w:iCs/>
          <w:sz w:val="28"/>
          <w:szCs w:val="28"/>
          <w:lang w:val="en-US"/>
        </w:rPr>
        <w:t>2005</w:t>
      </w:r>
      <w:r w:rsidRPr="00B13471">
        <w:rPr>
          <w:rFonts w:ascii="Adobe Arabic" w:hAnsi="Adobe Arabic" w:cs="Adobe Arabic"/>
          <w:iCs/>
          <w:sz w:val="28"/>
          <w:szCs w:val="28"/>
          <w:lang w:val="en-US"/>
        </w:rPr>
        <w:t>, 8, 132-138.</w:t>
      </w:r>
    </w:p>
    <w:p w:rsidR="007F0D86" w:rsidRDefault="007F0D86" w:rsidP="007F0D86">
      <w:pPr>
        <w:rPr>
          <w:rFonts w:ascii="Adobe Arabic" w:hAnsi="Adobe Arabic" w:cs="Adobe Arabic"/>
          <w:sz w:val="28"/>
          <w:szCs w:val="28"/>
          <w:lang w:val="en-US"/>
        </w:rPr>
      </w:pPr>
    </w:p>
    <w:p w:rsidR="007F0D86" w:rsidRDefault="007F0D86" w:rsidP="007F0D86">
      <w:pPr>
        <w:rPr>
          <w:rFonts w:ascii="Adobe Arabic" w:hAnsi="Adobe Arabic" w:cs="Adobe Arabic"/>
          <w:sz w:val="28"/>
          <w:szCs w:val="28"/>
          <w:lang w:val="en-US"/>
        </w:rPr>
      </w:pPr>
    </w:p>
    <w:p w:rsidR="007F0D86" w:rsidRPr="007F0D86" w:rsidRDefault="007F0D86" w:rsidP="007F0D86">
      <w:pPr>
        <w:jc w:val="both"/>
        <w:rPr>
          <w:rFonts w:ascii="Adobe Arabic" w:hAnsi="Adobe Arabic" w:cs="Adobe Arabic"/>
          <w:b/>
          <w:bCs/>
          <w:iCs/>
          <w:sz w:val="36"/>
          <w:szCs w:val="36"/>
          <w:lang w:val="en-US"/>
        </w:rPr>
      </w:pPr>
      <w:r>
        <w:rPr>
          <w:rFonts w:ascii="Adobe Arabic" w:hAnsi="Adobe Arabic" w:cs="Adobe Arabic"/>
          <w:b/>
          <w:bCs/>
          <w:iCs/>
          <w:sz w:val="36"/>
          <w:szCs w:val="36"/>
          <w:lang w:val="en-US"/>
        </w:rPr>
        <w:t xml:space="preserve">Encyclopedia </w:t>
      </w:r>
      <w:proofErr w:type="gramStart"/>
      <w:r>
        <w:rPr>
          <w:rFonts w:ascii="Adobe Arabic" w:hAnsi="Adobe Arabic" w:cs="Adobe Arabic"/>
          <w:b/>
          <w:bCs/>
          <w:iCs/>
          <w:sz w:val="36"/>
          <w:szCs w:val="36"/>
          <w:lang w:val="en-US"/>
        </w:rPr>
        <w:t>Chapters</w:t>
      </w:r>
      <w:r w:rsidRPr="007F0D86">
        <w:rPr>
          <w:rFonts w:ascii="Adobe Arabic" w:hAnsi="Adobe Arabic" w:cs="Adobe Arabic"/>
          <w:b/>
          <w:bCs/>
          <w:iCs/>
          <w:sz w:val="36"/>
          <w:szCs w:val="36"/>
          <w:lang w:val="en-US"/>
        </w:rPr>
        <w:t xml:space="preserve"> :</w:t>
      </w:r>
      <w:proofErr w:type="gramEnd"/>
    </w:p>
    <w:p w:rsidR="007F0D86" w:rsidRDefault="007F0D86" w:rsidP="007F0D86">
      <w:pPr>
        <w:rPr>
          <w:rFonts w:ascii="Adobe Arabic" w:hAnsi="Adobe Arabic" w:cs="Adobe Arabic"/>
          <w:sz w:val="28"/>
          <w:szCs w:val="28"/>
          <w:lang w:val="en-US"/>
        </w:rPr>
      </w:pPr>
    </w:p>
    <w:p w:rsidR="007F0D86" w:rsidRPr="007F0D86" w:rsidRDefault="007F0D86" w:rsidP="007F0D86">
      <w:pPr>
        <w:pStyle w:val="Paragraphedeliste"/>
        <w:numPr>
          <w:ilvl w:val="0"/>
          <w:numId w:val="19"/>
        </w:numPr>
        <w:rPr>
          <w:rFonts w:ascii="Adobe Arabic" w:hAnsi="Adobe Arabic" w:cs="Adobe Arabic"/>
          <w:sz w:val="28"/>
          <w:szCs w:val="28"/>
        </w:rPr>
      </w:pPr>
      <w:proofErr w:type="spellStart"/>
      <w:r w:rsidRPr="007F0D86">
        <w:rPr>
          <w:rFonts w:ascii="Adobe Arabic" w:hAnsi="Adobe Arabic" w:cs="Adobe Arabic"/>
          <w:sz w:val="28"/>
          <w:szCs w:val="28"/>
        </w:rPr>
        <w:t>Venancio</w:t>
      </w:r>
      <w:proofErr w:type="spellEnd"/>
      <w:r w:rsidRPr="007F0D86">
        <w:rPr>
          <w:rFonts w:ascii="Adobe Arabic" w:hAnsi="Adobe Arabic" w:cs="Adobe Arabic"/>
          <w:sz w:val="28"/>
          <w:szCs w:val="28"/>
        </w:rPr>
        <w:t xml:space="preserve">-Marques, A., </w:t>
      </w:r>
      <w:r w:rsidRPr="007F0D86">
        <w:rPr>
          <w:rFonts w:ascii="Adobe Arabic" w:hAnsi="Adobe Arabic" w:cs="Adobe Arabic"/>
          <w:b/>
          <w:sz w:val="28"/>
          <w:szCs w:val="28"/>
        </w:rPr>
        <w:t>S. Rudiuk</w:t>
      </w:r>
      <w:r w:rsidRPr="007F0D86">
        <w:rPr>
          <w:rFonts w:ascii="Adobe Arabic" w:hAnsi="Adobe Arabic" w:cs="Adobe Arabic"/>
          <w:sz w:val="28"/>
          <w:szCs w:val="28"/>
        </w:rPr>
        <w:t xml:space="preserve">, D. </w:t>
      </w:r>
      <w:proofErr w:type="spellStart"/>
      <w:r w:rsidRPr="007F0D86">
        <w:rPr>
          <w:rFonts w:ascii="Adobe Arabic" w:hAnsi="Adobe Arabic" w:cs="Adobe Arabic"/>
          <w:sz w:val="28"/>
          <w:szCs w:val="28"/>
        </w:rPr>
        <w:t>Baigl</w:t>
      </w:r>
      <w:proofErr w:type="spellEnd"/>
      <w:r w:rsidRPr="007F0D86">
        <w:rPr>
          <w:rFonts w:ascii="Adobe Arabic" w:hAnsi="Adobe Arabic" w:cs="Adobe Arabic"/>
          <w:sz w:val="28"/>
          <w:szCs w:val="28"/>
        </w:rPr>
        <w:t xml:space="preserve"> : « Une nouvelle structure hybride ADN-Enzyme »,  Les Techniques de l'Ingénieur - Dossier n°IN172 - 2014</w:t>
      </w:r>
      <w:bookmarkStart w:id="0" w:name="_GoBack"/>
      <w:bookmarkEnd w:id="0"/>
    </w:p>
    <w:sectPr w:rsidR="007F0D86" w:rsidRPr="007F0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1D79"/>
    <w:multiLevelType w:val="hybridMultilevel"/>
    <w:tmpl w:val="652CA5B4"/>
    <w:lvl w:ilvl="0" w:tplc="C032CD7A">
      <w:start w:val="13"/>
      <w:numFmt w:val="bullet"/>
      <w:lvlText w:val="-"/>
      <w:lvlJc w:val="left"/>
      <w:pPr>
        <w:ind w:left="1636" w:hanging="360"/>
      </w:pPr>
      <w:rPr>
        <w:rFonts w:ascii="Cambria" w:eastAsia="Times New Roman" w:hAnsi="Cambria" w:cs="Calibri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112164AB"/>
    <w:multiLevelType w:val="hybridMultilevel"/>
    <w:tmpl w:val="ECC03E26"/>
    <w:lvl w:ilvl="0" w:tplc="C8C6E6D0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C03"/>
    <w:multiLevelType w:val="hybridMultilevel"/>
    <w:tmpl w:val="6C8CD850"/>
    <w:lvl w:ilvl="0" w:tplc="C9927CE0">
      <w:start w:val="16"/>
      <w:numFmt w:val="decimal"/>
      <w:lvlText w:val="%1."/>
      <w:lvlJc w:val="left"/>
      <w:pPr>
        <w:ind w:left="1785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B1F71"/>
    <w:multiLevelType w:val="hybridMultilevel"/>
    <w:tmpl w:val="B672C7E4"/>
    <w:lvl w:ilvl="0" w:tplc="A406E28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D318C"/>
    <w:multiLevelType w:val="hybridMultilevel"/>
    <w:tmpl w:val="ACF0F7E2"/>
    <w:lvl w:ilvl="0" w:tplc="564E45DE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81E0F"/>
    <w:multiLevelType w:val="hybridMultilevel"/>
    <w:tmpl w:val="B9047BB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303EEB"/>
    <w:multiLevelType w:val="hybridMultilevel"/>
    <w:tmpl w:val="F35A5D52"/>
    <w:lvl w:ilvl="0" w:tplc="A406E2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20E6E"/>
    <w:multiLevelType w:val="hybridMultilevel"/>
    <w:tmpl w:val="D440535C"/>
    <w:lvl w:ilvl="0" w:tplc="A406E28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06E22"/>
    <w:multiLevelType w:val="hybridMultilevel"/>
    <w:tmpl w:val="ACF6F244"/>
    <w:lvl w:ilvl="0" w:tplc="B7CCAB7A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114E3"/>
    <w:multiLevelType w:val="hybridMultilevel"/>
    <w:tmpl w:val="50CC2C98"/>
    <w:lvl w:ilvl="0" w:tplc="8E5AAD20">
      <w:start w:val="1"/>
      <w:numFmt w:val="decimal"/>
      <w:lvlText w:val="%1."/>
      <w:lvlJc w:val="left"/>
      <w:pPr>
        <w:ind w:left="360" w:hanging="360"/>
      </w:pPr>
      <w:rPr>
        <w:rFonts w:ascii="Cambria" w:hAnsi="Cambria" w:cs="Calibr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6165A0"/>
    <w:multiLevelType w:val="hybridMultilevel"/>
    <w:tmpl w:val="8646CB14"/>
    <w:lvl w:ilvl="0" w:tplc="A406E28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03A70"/>
    <w:multiLevelType w:val="hybridMultilevel"/>
    <w:tmpl w:val="C34CB054"/>
    <w:lvl w:ilvl="0" w:tplc="07CC979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3456B"/>
    <w:multiLevelType w:val="hybridMultilevel"/>
    <w:tmpl w:val="AD761DF0"/>
    <w:lvl w:ilvl="0" w:tplc="7938DF5E">
      <w:start w:val="15"/>
      <w:numFmt w:val="decimal"/>
      <w:lvlText w:val="%1."/>
      <w:lvlJc w:val="left"/>
      <w:pPr>
        <w:ind w:left="1785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573727"/>
    <w:multiLevelType w:val="hybridMultilevel"/>
    <w:tmpl w:val="64EE93A0"/>
    <w:lvl w:ilvl="0" w:tplc="C5B2CC7A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03269"/>
    <w:multiLevelType w:val="hybridMultilevel"/>
    <w:tmpl w:val="69DE0BCA"/>
    <w:lvl w:ilvl="0" w:tplc="A406E2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04187"/>
    <w:multiLevelType w:val="hybridMultilevel"/>
    <w:tmpl w:val="13727E1E"/>
    <w:lvl w:ilvl="0" w:tplc="5434B6F8">
      <w:start w:val="17"/>
      <w:numFmt w:val="decimal"/>
      <w:lvlText w:val="%1."/>
      <w:lvlJc w:val="left"/>
      <w:pPr>
        <w:ind w:left="1785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101A3"/>
    <w:multiLevelType w:val="hybridMultilevel"/>
    <w:tmpl w:val="0F300572"/>
    <w:lvl w:ilvl="0" w:tplc="59A0D772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26970"/>
    <w:multiLevelType w:val="hybridMultilevel"/>
    <w:tmpl w:val="E550C22E"/>
    <w:lvl w:ilvl="0" w:tplc="0F1C139C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65C46"/>
    <w:multiLevelType w:val="hybridMultilevel"/>
    <w:tmpl w:val="60C01732"/>
    <w:lvl w:ilvl="0" w:tplc="2222E420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8"/>
  </w:num>
  <w:num w:numId="5">
    <w:abstractNumId w:val="11"/>
  </w:num>
  <w:num w:numId="6">
    <w:abstractNumId w:val="4"/>
  </w:num>
  <w:num w:numId="7">
    <w:abstractNumId w:val="17"/>
  </w:num>
  <w:num w:numId="8">
    <w:abstractNumId w:val="13"/>
  </w:num>
  <w:num w:numId="9">
    <w:abstractNumId w:val="16"/>
  </w:num>
  <w:num w:numId="10">
    <w:abstractNumId w:val="18"/>
  </w:num>
  <w:num w:numId="11">
    <w:abstractNumId w:val="10"/>
  </w:num>
  <w:num w:numId="12">
    <w:abstractNumId w:val="7"/>
  </w:num>
  <w:num w:numId="13">
    <w:abstractNumId w:val="1"/>
  </w:num>
  <w:num w:numId="14">
    <w:abstractNumId w:val="3"/>
  </w:num>
  <w:num w:numId="15">
    <w:abstractNumId w:val="12"/>
  </w:num>
  <w:num w:numId="16">
    <w:abstractNumId w:val="2"/>
  </w:num>
  <w:num w:numId="17">
    <w:abstractNumId w:val="15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71"/>
    <w:rsid w:val="007F0D86"/>
    <w:rsid w:val="00B13471"/>
    <w:rsid w:val="00E1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E9FCE-1F08-4A73-A321-F3C2E307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semiHidden/>
    <w:rsid w:val="00B13471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qFormat/>
    <w:rsid w:val="00B13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rudiuk</dc:creator>
  <cp:keywords/>
  <dc:description/>
  <cp:lastModifiedBy>rudiuk</cp:lastModifiedBy>
  <cp:revision>2</cp:revision>
  <dcterms:created xsi:type="dcterms:W3CDTF">2013-10-24T10:07:00Z</dcterms:created>
  <dcterms:modified xsi:type="dcterms:W3CDTF">2013-10-24T10:13:00Z</dcterms:modified>
</cp:coreProperties>
</file>