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26A2" w14:textId="19284589" w:rsidR="000E317C" w:rsidRPr="006F68E2" w:rsidRDefault="004F7A5D" w:rsidP="004F7A5D">
      <w:pPr>
        <w:ind w:hanging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68E2">
        <w:rPr>
          <w:rFonts w:ascii="Times New Roman" w:hAnsi="Times New Roman" w:cs="Times New Roman"/>
          <w:b/>
          <w:bCs/>
          <w:sz w:val="36"/>
          <w:szCs w:val="36"/>
        </w:rPr>
        <w:t>Техническое задание ИС</w:t>
      </w:r>
    </w:p>
    <w:p w14:paraId="39004773" w14:textId="5C1505EB" w:rsidR="004F7A5D" w:rsidRDefault="004F7A5D" w:rsidP="004F7A5D">
      <w:pPr>
        <w:ind w:hanging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68E2">
        <w:rPr>
          <w:rFonts w:ascii="Times New Roman" w:hAnsi="Times New Roman" w:cs="Times New Roman"/>
          <w:b/>
          <w:bCs/>
          <w:sz w:val="36"/>
          <w:szCs w:val="36"/>
        </w:rPr>
        <w:t>«Библиотечный фонд города»</w:t>
      </w:r>
    </w:p>
    <w:p w14:paraId="2D90DED7" w14:textId="29C1A91C" w:rsidR="006F68E2" w:rsidRDefault="006F68E2" w:rsidP="004F7A5D">
      <w:pPr>
        <w:ind w:hanging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D3BD88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1. Этап разработки раздела «Общие сведения»:</w:t>
      </w:r>
    </w:p>
    <w:p w14:paraId="661ADB2D" w14:textId="0218946E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Полное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наименование ИС: «</w:t>
      </w:r>
      <w:r>
        <w:rPr>
          <w:rFonts w:ascii="Times New Roman" w:hAnsi="Times New Roman" w:cs="Times New Roman"/>
          <w:sz w:val="24"/>
          <w:szCs w:val="24"/>
        </w:rPr>
        <w:t>Библиотечный фонд города</w:t>
      </w:r>
      <w:r w:rsidRPr="00E5249E">
        <w:rPr>
          <w:rFonts w:ascii="Times New Roman" w:hAnsi="Times New Roman" w:cs="Times New Roman"/>
          <w:sz w:val="24"/>
          <w:szCs w:val="24"/>
        </w:rPr>
        <w:t>».</w:t>
      </w:r>
    </w:p>
    <w:p w14:paraId="2F574635" w14:textId="00F78180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Шифр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темы: 00</w:t>
      </w:r>
      <w:r w:rsidR="002E4962">
        <w:rPr>
          <w:rFonts w:ascii="Times New Roman" w:hAnsi="Times New Roman" w:cs="Times New Roman"/>
          <w:sz w:val="24"/>
          <w:szCs w:val="24"/>
        </w:rPr>
        <w:t>7</w:t>
      </w:r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422D3892" w14:textId="3084691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49E">
        <w:rPr>
          <w:rFonts w:ascii="Times New Roman" w:hAnsi="Times New Roman" w:cs="Times New Roman"/>
          <w:sz w:val="24"/>
          <w:szCs w:val="24"/>
        </w:rPr>
        <w:t>Предприятие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-разработчик  системы:  Лаборатория  баз  данных  “БД”,  ул.  </w:t>
      </w:r>
      <w:r w:rsidR="002E4962">
        <w:rPr>
          <w:rFonts w:ascii="Times New Roman" w:hAnsi="Times New Roman" w:cs="Times New Roman"/>
          <w:sz w:val="24"/>
          <w:szCs w:val="24"/>
        </w:rPr>
        <w:t>1000 дней прогулов</w:t>
      </w:r>
      <w:r w:rsidRPr="00E5249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BE0004B" w14:textId="4A63629C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86, тел. </w:t>
      </w:r>
      <w:r w:rsidR="002E4962">
        <w:rPr>
          <w:rFonts w:ascii="Times New Roman" w:hAnsi="Times New Roman" w:cs="Times New Roman"/>
          <w:sz w:val="24"/>
          <w:szCs w:val="24"/>
        </w:rPr>
        <w:t>88005553535</w:t>
      </w:r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3B78337C" w14:textId="0A71A718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Предприятие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-заказчик системы: ООО «</w:t>
      </w:r>
      <w:r>
        <w:rPr>
          <w:rFonts w:ascii="Times New Roman" w:hAnsi="Times New Roman" w:cs="Times New Roman"/>
          <w:sz w:val="24"/>
          <w:szCs w:val="24"/>
        </w:rPr>
        <w:t>Чтение - свет</w:t>
      </w:r>
      <w:r w:rsidRPr="00E5249E">
        <w:rPr>
          <w:rFonts w:ascii="Times New Roman" w:hAnsi="Times New Roman" w:cs="Times New Roman"/>
          <w:sz w:val="24"/>
          <w:szCs w:val="24"/>
        </w:rPr>
        <w:t>».</w:t>
      </w:r>
    </w:p>
    <w:p w14:paraId="0D5BE7A7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Система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создается  на  основании  технического  задания  (ТЗ).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ТЗ  на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АС  является основным  документом,  определяющим  требования  и  порядок 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19D2AFB6" w14:textId="717BE8C3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Плановый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срок начала работ: 01.04.20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5249E">
        <w:rPr>
          <w:rFonts w:ascii="Times New Roman" w:hAnsi="Times New Roman" w:cs="Times New Roman"/>
          <w:sz w:val="24"/>
          <w:szCs w:val="24"/>
        </w:rPr>
        <w:t>0.</w:t>
      </w:r>
    </w:p>
    <w:p w14:paraId="42AB9BE1" w14:textId="02B2213D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Плановый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срок окончания работ: 31.05.20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5249E">
        <w:rPr>
          <w:rFonts w:ascii="Times New Roman" w:hAnsi="Times New Roman" w:cs="Times New Roman"/>
          <w:sz w:val="24"/>
          <w:szCs w:val="24"/>
        </w:rPr>
        <w:t>0.</w:t>
      </w:r>
    </w:p>
    <w:p w14:paraId="4C87DA82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Автоматизируемая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система создается на коммерческой основе.</w:t>
      </w:r>
    </w:p>
    <w:p w14:paraId="12D689EA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Порядок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оформления  и  предъявления  заказчику  результатов  работы  по  созданию системы определяется  после получения начальной версии продукта, в которой должны быть  реализованы  все  основные  функции,  определенные  в  ТЗ  и  утвержденные заказчиком.</w:t>
      </w:r>
    </w:p>
    <w:p w14:paraId="4B75A3E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2. Этап разработки раздела «Назначение и цели создания системы»:</w:t>
      </w:r>
    </w:p>
    <w:p w14:paraId="7B1EDE10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Вид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автоматизируемой деятельности: учет персонала в отделе кадров. </w:t>
      </w:r>
    </w:p>
    <w:p w14:paraId="6A3A0EA3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Перечень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автоматизируемых процессов: учет сведений о сотрудниках, формирование и ведение личных карточек сотрудников, формирование приказов и отчетов. </w:t>
      </w:r>
    </w:p>
    <w:p w14:paraId="505062B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Наименование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  значение  показателей,  которые  будут  достигнуты  в  результате внедрения  БД:  уменьшение  затрат  рабочего  времени  на  ввод,  редактирование  и  поиск данных  о  сотрудниках  предприятия,  формирование  личных  карточек,  приказов  и отчетов, уменьшение бумажного документооборота.</w:t>
      </w:r>
    </w:p>
    <w:p w14:paraId="36E929EE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3. Этап разработки раздела «Характеристики объекта автоматизации»</w:t>
      </w:r>
    </w:p>
    <w:p w14:paraId="29FA628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Краткие сведения о предприятии.</w:t>
      </w:r>
    </w:p>
    <w:p w14:paraId="05A3CC4A" w14:textId="5938495B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Отдел  кадров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,  деятельность  которого  планируется  автоматизировать,  занимается учетом  сотрудников  </w:t>
      </w:r>
      <w:r w:rsidR="002E4962">
        <w:rPr>
          <w:rFonts w:ascii="Times New Roman" w:hAnsi="Times New Roman" w:cs="Times New Roman"/>
          <w:sz w:val="24"/>
          <w:szCs w:val="24"/>
        </w:rPr>
        <w:t>предприятие</w:t>
      </w:r>
      <w:r w:rsidRPr="00E5249E">
        <w:rPr>
          <w:rFonts w:ascii="Times New Roman" w:hAnsi="Times New Roman" w:cs="Times New Roman"/>
          <w:sz w:val="24"/>
          <w:szCs w:val="24"/>
        </w:rPr>
        <w:t xml:space="preserve">  «</w:t>
      </w:r>
      <w:r>
        <w:rPr>
          <w:rFonts w:ascii="Times New Roman" w:hAnsi="Times New Roman" w:cs="Times New Roman"/>
          <w:sz w:val="24"/>
          <w:szCs w:val="24"/>
        </w:rPr>
        <w:t>Чтение - свет</w:t>
      </w:r>
      <w:r w:rsidRPr="00E5249E">
        <w:rPr>
          <w:rFonts w:ascii="Times New Roman" w:hAnsi="Times New Roman" w:cs="Times New Roman"/>
          <w:sz w:val="24"/>
          <w:szCs w:val="24"/>
        </w:rPr>
        <w:t xml:space="preserve">».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Важнейшим  звеном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в  данной  деятельности являются  специалисты  по  работе  с  персоналом.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  зависимости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от  того,  насколько автоматизирована их работа, можно судить об эффективности работы отдела кадров и всего предприятия  в  целом.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Каждый  день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отдел  кадров  осуществляет  операции  по  работе  с персоналом.</w:t>
      </w:r>
    </w:p>
    <w:p w14:paraId="77E0D92B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Сотрудник  лично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заполняет  данные  о  себе.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После  этого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специалист  по  работе  с персоналом  принимает  эти  данные  и  вносит  их  в  базу  данных.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Непосредственно  из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базы </w:t>
      </w:r>
    </w:p>
    <w:p w14:paraId="07F83FD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данных  берутся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необходимые  данные  для  заполнения  личной  карточки  сотрудника, формирования приказов и отчетов.</w:t>
      </w:r>
    </w:p>
    <w:p w14:paraId="59B68A80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Организационная структура.</w:t>
      </w:r>
    </w:p>
    <w:p w14:paraId="4AEC3773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Организационная структура предприятия показана на рисунке 1.</w:t>
      </w:r>
    </w:p>
    <w:p w14:paraId="631826A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F3DD8B" wp14:editId="0C86F0D2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F690D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Рис.1. Организационная структура предприятия</w:t>
      </w:r>
    </w:p>
    <w:p w14:paraId="08BDDACA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67F1A4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b/>
          <w:i/>
          <w:sz w:val="24"/>
          <w:szCs w:val="24"/>
        </w:rPr>
        <w:t>Описание  автоматизируемых</w:t>
      </w:r>
      <w:proofErr w:type="gramEnd"/>
      <w:r w:rsidRPr="00E5249E">
        <w:rPr>
          <w:rFonts w:ascii="Times New Roman" w:hAnsi="Times New Roman" w:cs="Times New Roman"/>
          <w:b/>
          <w:i/>
          <w:sz w:val="24"/>
          <w:szCs w:val="24"/>
        </w:rPr>
        <w:t xml:space="preserve">  процессов,  информационные  потоки  автоматизируемых процессов.</w:t>
      </w:r>
    </w:p>
    <w:p w14:paraId="0520C82E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Сведения  о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сотрудниках  собираются  специалистом  по  работе  с  персоналом.  Вся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информация  хранится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  обрабатывается  специалистом  по  работе  с  персоналом.  Некоторая </w:t>
      </w:r>
    </w:p>
    <w:p w14:paraId="55AC35D8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информация для ведения отчетности хранится в бумажной форме. </w:t>
      </w:r>
    </w:p>
    <w:p w14:paraId="4A9A94F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Схема информационных потоков процесса показана на рисунке 2.</w:t>
      </w:r>
    </w:p>
    <w:p w14:paraId="27514DA7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15B2B" wp14:editId="0DA340EA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CC08E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Рис.2 Схема информационных потоков процесса “Учет персонала”</w:t>
      </w:r>
    </w:p>
    <w:p w14:paraId="6B13ECF6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76906D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  целом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,   до  начала  разработки  данной  системы  вся  отчетность  велась  путем составления  личных  карточек  на  бумажных  носителях,  из  которых  при  необходимости выбирались  те  или   иные  сведения.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Таким  образом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,  видно,  насколько  рационально использовать  базу  данных  и  приложение  по  работе  с  ней.  Во-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первых,  сокращается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объем бумажного  документооборота  и  время  на  роботу  с  информацией  о  сотрудниках,  данные  о</w:t>
      </w:r>
    </w:p>
    <w:p w14:paraId="3D8F9790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любом сотруднике можно получить путем запросов, кроме того, заметно сократится время на формирование отчетов для руководства и бухгалтерии.</w:t>
      </w:r>
    </w:p>
    <w:p w14:paraId="48B653CB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Теперь  запишем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всю  информацию  в  систематизированной  форме.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Далее,  при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создании базы данных, эту информацию можно будет разделить на конкретные таблицы.</w:t>
      </w:r>
    </w:p>
    <w:p w14:paraId="15B95C7A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Сотрудники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031D83F9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Адрес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1E5C9E28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Образование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622C2EF0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Подразделение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541185D4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Приказ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о зачислении.</w:t>
      </w:r>
    </w:p>
    <w:p w14:paraId="3F47EB49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Штатное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расписание.</w:t>
      </w:r>
    </w:p>
    <w:p w14:paraId="451A1E1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Должность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1602537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Карточка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учета.</w:t>
      </w:r>
    </w:p>
    <w:p w14:paraId="7249E682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4. Этап разработки раздела «Требования к ИС»</w:t>
      </w:r>
    </w:p>
    <w:p w14:paraId="181CEBF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системе в целом</w:t>
      </w:r>
    </w:p>
    <w:p w14:paraId="2895E59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lastRenderedPageBreak/>
        <w:t>ИС  должна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19965AF4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Ввод  в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действие  ИС  должен  приводить  к  полезным  технико-экономическим, социальным результатам:</w:t>
      </w:r>
    </w:p>
    <w:p w14:paraId="382C0ED8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уменьшению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времени по учету данных о сотрудниках;</w:t>
      </w:r>
    </w:p>
    <w:p w14:paraId="0D4243E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уменьшение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времени на формирование отчетов, приказов и справок.</w:t>
      </w:r>
    </w:p>
    <w:p w14:paraId="42337059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Технические  средства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ИС  должны  быть  установлены  так,  чтобы  обеспечивались  их безопасная эксплуатация и техническое обслуживание.</w:t>
      </w:r>
    </w:p>
    <w:p w14:paraId="4A69DD19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Требования безопасности устанавливаются в инструкциях по эксплуатации 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техническихсредств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5A53EEF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функциям (задачам), выполняемым системой</w:t>
      </w:r>
    </w:p>
    <w:p w14:paraId="610315E7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Данная  информационная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система  разрабатывается  с  расчетом  на  нескольких пользователей – специалистов по работе с персоналом. При работе с системой специалист по </w:t>
      </w:r>
    </w:p>
    <w:p w14:paraId="4E6C242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работе с персоналом должен решать следующие задачи:</w:t>
      </w:r>
    </w:p>
    <w:p w14:paraId="25B3887E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Получать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доступ  к  данным  таблиц,  в  которых  должна  содержаться  вся  необходимая информация.</w:t>
      </w:r>
    </w:p>
    <w:p w14:paraId="73881692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Просматривать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данные таблиц, при необходимости редактировать их.</w:t>
      </w:r>
    </w:p>
    <w:p w14:paraId="46D6E636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Создавать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3D4A732B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Таким  образом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,  разрабатываемая  система  должна  обеспечивать  решение вышеперечисленных задач. </w:t>
      </w:r>
    </w:p>
    <w:p w14:paraId="6C311262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В готовом виде она должна быть максимально простой и удобной: все операции должны </w:t>
      </w:r>
    </w:p>
    <w:p w14:paraId="319B2AAB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выполняться с помощью элементарных действий пользователя. Здесь необходима распечатка </w:t>
      </w:r>
    </w:p>
    <w:p w14:paraId="28C0BFB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исходных  таблиц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  отчетов,  источниками  которых  являются  ранее  составленные  запросы. </w:t>
      </w:r>
    </w:p>
    <w:p w14:paraId="05875794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Все отчеты должны оформляться в едином стиле.</w:t>
      </w:r>
    </w:p>
    <w:p w14:paraId="34376D8E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информационному обеспечению ИС</w:t>
      </w:r>
    </w:p>
    <w:p w14:paraId="4D72C18B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Информационное обеспечение ИС должно включать:</w:t>
      </w:r>
    </w:p>
    <w:p w14:paraId="4677CCF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данные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о сотрудниках;</w:t>
      </w:r>
    </w:p>
    <w:p w14:paraId="7CFFB111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приказы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о зачислении;</w:t>
      </w:r>
    </w:p>
    <w:p w14:paraId="7838CAFD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штатное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расписание;</w:t>
      </w:r>
    </w:p>
    <w:p w14:paraId="35D048D1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личные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карточки.</w:t>
      </w:r>
    </w:p>
    <w:p w14:paraId="12864BFA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программному обеспечению ИС</w:t>
      </w:r>
    </w:p>
    <w:p w14:paraId="451D6553" w14:textId="5EEFCB0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Для  функционирования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базы  данных  подходят  операционные  системы  Windows</w:t>
      </w:r>
      <w:r w:rsidR="002E4962">
        <w:rPr>
          <w:rFonts w:ascii="Times New Roman" w:hAnsi="Times New Roman" w:cs="Times New Roman"/>
          <w:sz w:val="24"/>
          <w:szCs w:val="24"/>
        </w:rPr>
        <w:t xml:space="preserve"> 11</w:t>
      </w:r>
      <w:r w:rsidRPr="00E5249E">
        <w:rPr>
          <w:rFonts w:ascii="Times New Roman" w:hAnsi="Times New Roman" w:cs="Times New Roman"/>
          <w:sz w:val="24"/>
          <w:szCs w:val="24"/>
        </w:rPr>
        <w:t>. Диалоговый режим требует объектно-ориентированную систему программирования  -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BorlandDelphi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 xml:space="preserve"> , а СУБД – Access.</w:t>
      </w:r>
    </w:p>
    <w:p w14:paraId="13C50123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техническому обеспечению АС</w:t>
      </w:r>
    </w:p>
    <w:p w14:paraId="07C96958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Минимальные требования к техническому обеспечению АС следующие:</w:t>
      </w:r>
    </w:p>
    <w:p w14:paraId="54DB0F56" w14:textId="634690D8" w:rsidR="006F68E2" w:rsidRPr="009E3129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</w:t>
      </w:r>
      <w:r w:rsidRPr="009E31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E3129">
        <w:rPr>
          <w:rFonts w:ascii="Times New Roman" w:hAnsi="Times New Roman" w:cs="Times New Roman"/>
          <w:sz w:val="24"/>
          <w:szCs w:val="24"/>
          <w:lang w:val="en-US"/>
        </w:rPr>
        <w:t>ntel</w:t>
      </w:r>
      <w:proofErr w:type="gramEnd"/>
      <w:r w:rsidR="009E3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129">
        <w:rPr>
          <w:rFonts w:ascii="Times New Roman" w:hAnsi="Times New Roman" w:cs="Times New Roman"/>
          <w:sz w:val="24"/>
          <w:szCs w:val="24"/>
          <w:lang w:val="en-US"/>
        </w:rPr>
        <w:t>xeon</w:t>
      </w:r>
      <w:proofErr w:type="spellEnd"/>
      <w:r w:rsidR="009E3129">
        <w:rPr>
          <w:rFonts w:ascii="Times New Roman" w:hAnsi="Times New Roman" w:cs="Times New Roman"/>
          <w:sz w:val="24"/>
          <w:szCs w:val="24"/>
          <w:lang w:val="en-US"/>
        </w:rPr>
        <w:t xml:space="preserve"> E-2288G</w:t>
      </w:r>
    </w:p>
    <w:p w14:paraId="72E8432F" w14:textId="71A39628" w:rsidR="006F68E2" w:rsidRPr="009E3129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</w:t>
      </w:r>
      <w:r w:rsidRPr="009E31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5249E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9E3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129">
        <w:rPr>
          <w:rFonts w:ascii="Times New Roman" w:hAnsi="Times New Roman" w:cs="Times New Roman"/>
          <w:sz w:val="24"/>
          <w:szCs w:val="24"/>
          <w:lang w:val="en-US"/>
        </w:rPr>
        <w:t>32Gb</w:t>
      </w:r>
      <w:r w:rsidRPr="009E31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666652" w14:textId="294E885D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 xml:space="preserve">  </w:t>
      </w:r>
      <w:r w:rsidR="009E3129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</w:t>
      </w:r>
      <w:r w:rsidR="002E4962">
        <w:rPr>
          <w:rFonts w:ascii="Times New Roman" w:hAnsi="Times New Roman" w:cs="Times New Roman"/>
          <w:sz w:val="24"/>
          <w:szCs w:val="24"/>
        </w:rPr>
        <w:t>Т</w:t>
      </w:r>
      <w:r w:rsidRPr="00E5249E">
        <w:rPr>
          <w:rFonts w:ascii="Times New Roman" w:hAnsi="Times New Roman" w:cs="Times New Roman"/>
          <w:sz w:val="24"/>
          <w:szCs w:val="24"/>
        </w:rPr>
        <w:t>байт дисковой памяти;</w:t>
      </w:r>
    </w:p>
    <w:p w14:paraId="1A70488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принтер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формата А4.</w:t>
      </w:r>
    </w:p>
    <w:p w14:paraId="609C5796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D8F3D3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5. Этап разработки раздела «Стадии и этапы разработки»</w:t>
      </w:r>
    </w:p>
    <w:p w14:paraId="660ED9CA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Стадии разработки</w:t>
      </w:r>
    </w:p>
    <w:p w14:paraId="62C6090D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14:paraId="62561C6D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технического задания;</w:t>
      </w:r>
    </w:p>
    <w:p w14:paraId="1C8D603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рабочее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проектирование;</w:t>
      </w:r>
    </w:p>
    <w:p w14:paraId="76B1A114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внедрение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177D80D1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391D7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 xml:space="preserve">6. Этапы разработки </w:t>
      </w:r>
    </w:p>
    <w:p w14:paraId="1DBEBCA0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lastRenderedPageBreak/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3956FF99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На  стадии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рабочего  проектирования  должны  быть  выполнены  перечисленные  ниже </w:t>
      </w:r>
    </w:p>
    <w:p w14:paraId="59985045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этапы работ:</w:t>
      </w:r>
    </w:p>
    <w:p w14:paraId="434C500B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модели автоматизируемых процессов и функциональной модели ИС;</w:t>
      </w:r>
    </w:p>
    <w:p w14:paraId="61A77BD4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логической и физической моделей данных;</w:t>
      </w:r>
    </w:p>
    <w:p w14:paraId="714658F1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программы;</w:t>
      </w:r>
    </w:p>
    <w:p w14:paraId="32CF0917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программной документации;</w:t>
      </w:r>
    </w:p>
    <w:p w14:paraId="4B9C94CA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испытания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5104F6A1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На  этапе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</w:t>
      </w:r>
    </w:p>
    <w:p w14:paraId="467651E2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заказчика.</w:t>
      </w:r>
    </w:p>
    <w:p w14:paraId="44302B4F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Приемо-сдаточные испытания должны проводиться на объекте заказчика в оговоренные сроки.  Приемо-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сдаточные  испытания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06FA583C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Ход  проведения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приемо-сдаточных  испытаний  заказчик  и  исполнитель  документируют  в </w:t>
      </w:r>
    </w:p>
    <w:p w14:paraId="4D17A3CD" w14:textId="77777777" w:rsidR="006F68E2" w:rsidRPr="00E5249E" w:rsidRDefault="006F68E2" w:rsidP="006F68E2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протоколе  проведения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испытаний.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На  основании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05816A32" w14:textId="3CB61CB0" w:rsidR="006F68E2" w:rsidRPr="009E3129" w:rsidRDefault="009E3129" w:rsidP="006F68E2">
      <w:pPr>
        <w:ind w:hanging="56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Устав проекта:</w:t>
      </w:r>
    </w:p>
    <w:tbl>
      <w:tblPr>
        <w:tblW w:w="10183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3260"/>
        <w:gridCol w:w="6214"/>
      </w:tblGrid>
      <w:tr w:rsidR="009E3129" w:rsidRPr="00E5249E" w14:paraId="19F95F21" w14:textId="77777777" w:rsidTr="00372066">
        <w:trPr>
          <w:trHeight w:hRule="exact"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D824FC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0FAE63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A1F9D0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9E3129" w:rsidRPr="00E5249E" w14:paraId="70EE7378" w14:textId="77777777" w:rsidTr="00372066">
        <w:trPr>
          <w:trHeight w:hRule="exact" w:val="8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C3422B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CE228A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100DCE" w14:textId="7CB187E9" w:rsidR="009E3129" w:rsidRPr="009E3129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Библиотечный фонд «Чтение – Свет»</w:t>
            </w:r>
          </w:p>
        </w:tc>
      </w:tr>
      <w:tr w:rsidR="009E3129" w:rsidRPr="00E5249E" w14:paraId="027CBC94" w14:textId="77777777" w:rsidTr="00372066">
        <w:trPr>
          <w:trHeight w:hRule="exact" w:val="29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D0C86B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A5743C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68E096" w14:textId="75C8BC18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культуры жителей города. </w:t>
            </w:r>
            <w:r w:rsidRPr="006E185A">
              <w:rPr>
                <w:sz w:val="24"/>
                <w:szCs w:val="24"/>
              </w:rPr>
              <w:t>Развитие образования. Библиотеки олицетворяют важность и полезность образования, невозможного без чтения книг.</w:t>
            </w:r>
          </w:p>
        </w:tc>
      </w:tr>
      <w:tr w:rsidR="009E3129" w:rsidRPr="00E5249E" w14:paraId="61ACB251" w14:textId="77777777" w:rsidTr="00372066">
        <w:trPr>
          <w:trHeight w:hRule="exact" w:val="14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B2467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904475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9F2073" w14:textId="23BB8524" w:rsidR="009E3129" w:rsidRPr="006E185A" w:rsidRDefault="006E185A" w:rsidP="006E185A">
            <w:pPr>
              <w:rPr>
                <w:sz w:val="24"/>
                <w:szCs w:val="24"/>
              </w:rPr>
            </w:pPr>
            <w:r w:rsidRPr="006E185A">
              <w:rPr>
                <w:sz w:val="24"/>
                <w:szCs w:val="24"/>
              </w:rPr>
              <w:t>Поиск источников внебюджетного финансирования. Это позволяет развивать хозяйственный, управленческий и кадровый потенциал библиотеки в условиях свободного рынка.</w:t>
            </w:r>
          </w:p>
        </w:tc>
      </w:tr>
      <w:tr w:rsidR="009E3129" w:rsidRPr="00E5249E" w14:paraId="3D70A065" w14:textId="77777777" w:rsidTr="00372066">
        <w:trPr>
          <w:trHeight w:val="25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41C5C3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C98BE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822275" w14:textId="23F80237" w:rsidR="009E3129" w:rsidRPr="00E5249E" w:rsidRDefault="006E185A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Постройка фонда, удачное развитие, рабочая стадия приносящая прибыль.</w:t>
            </w:r>
          </w:p>
        </w:tc>
      </w:tr>
      <w:tr w:rsidR="009E3129" w:rsidRPr="00E5249E" w14:paraId="73CBADE7" w14:textId="77777777" w:rsidTr="00372066">
        <w:trPr>
          <w:trHeight w:hRule="exact" w:val="170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C61DE2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751CC0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CCDB0" w14:textId="19BBE1C8" w:rsidR="009E3129" w:rsidRPr="00E5249E" w:rsidRDefault="006E185A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 в 3 месяца проводить акции, скидки.</w:t>
            </w:r>
            <w:r w:rsidR="009E3129" w:rsidRPr="00E5249E">
              <w:rPr>
                <w:sz w:val="24"/>
                <w:szCs w:val="24"/>
              </w:rPr>
              <w:t xml:space="preserve"> </w:t>
            </w:r>
          </w:p>
        </w:tc>
      </w:tr>
      <w:tr w:rsidR="009E3129" w:rsidRPr="00E5249E" w14:paraId="2BE25EDD" w14:textId="77777777" w:rsidTr="00372066">
        <w:trPr>
          <w:trHeight w:hRule="exact" w:val="1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612FF7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79CC01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9421D2" w14:textId="1897B8FB" w:rsidR="009E3129" w:rsidRPr="00E5249E" w:rsidRDefault="006E185A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Владелец, директор, спонсоры, работники кассы.</w:t>
            </w:r>
          </w:p>
        </w:tc>
      </w:tr>
      <w:tr w:rsidR="009E3129" w:rsidRPr="00E5249E" w14:paraId="43ED4348" w14:textId="77777777" w:rsidTr="00372066">
        <w:trPr>
          <w:trHeight w:val="478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5E1B94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54C7B3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835BBF" w14:textId="02B6A236" w:rsidR="006E185A" w:rsidRPr="006E185A" w:rsidRDefault="006E185A" w:rsidP="006E185A">
            <w:pPr>
              <w:rPr>
                <w:sz w:val="24"/>
                <w:szCs w:val="24"/>
              </w:rPr>
            </w:pPr>
            <w:r w:rsidRPr="006E185A">
              <w:rPr>
                <w:sz w:val="24"/>
                <w:szCs w:val="24"/>
              </w:rPr>
              <w:t xml:space="preserve">Целевую аудиторию. Необходимо учесть информацию о пользователях, которые станут участниками проекта: их возрасте, социальном положении, уровне образования, наличии возможностей участия в проекте и значимости его темы для данного типа пользователей. </w:t>
            </w:r>
          </w:p>
          <w:p w14:paraId="3B638441" w14:textId="228245A0" w:rsidR="006E185A" w:rsidRPr="006E185A" w:rsidRDefault="006E185A" w:rsidP="006E185A">
            <w:pPr>
              <w:rPr>
                <w:sz w:val="24"/>
                <w:szCs w:val="24"/>
              </w:rPr>
            </w:pPr>
            <w:r w:rsidRPr="006E185A">
              <w:rPr>
                <w:sz w:val="24"/>
                <w:szCs w:val="24"/>
              </w:rPr>
              <w:t xml:space="preserve">Социальных партнёров. В этом разделе перечисляются реальные и потенциальные партнёры, а также условия взаимодействия с ними. Одним из условий эффективности проектов принято считать стремление учреждений культуры к взаимодействию с другими подобными организациями, местной властью, некоммерческими организациями, СМИ. </w:t>
            </w:r>
          </w:p>
          <w:p w14:paraId="73D59198" w14:textId="20A4806A" w:rsidR="006E185A" w:rsidRPr="006E185A" w:rsidRDefault="006E185A" w:rsidP="006E185A">
            <w:pPr>
              <w:rPr>
                <w:sz w:val="24"/>
                <w:szCs w:val="24"/>
              </w:rPr>
            </w:pPr>
            <w:r w:rsidRPr="006E185A">
              <w:rPr>
                <w:sz w:val="24"/>
                <w:szCs w:val="24"/>
              </w:rPr>
              <w:t xml:space="preserve">Виртуальную среду. Она включает в себя веб-сайт организации, электронный каталог, подписные книжные ресурсы, каналы коммуникации: представительства библиотеки в социальных сетях и мессенджерах, электронную рассылку. </w:t>
            </w:r>
          </w:p>
          <w:p w14:paraId="01CA2B56" w14:textId="0FA0333A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9E3129" w:rsidRPr="00E5249E" w14:paraId="51ED03CA" w14:textId="77777777" w:rsidTr="00372066">
        <w:trPr>
          <w:trHeight w:hRule="exact" w:val="61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3AEE1D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CD878E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10316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К внешним допущениям библиотечного фонда относятся:</w:t>
            </w:r>
          </w:p>
          <w:p w14:paraId="4A50399C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стабильность и разнообразие среды функционирования;</w:t>
            </w:r>
          </w:p>
          <w:p w14:paraId="02BEEE9E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коммерческие и эксплуатационные риски, связанные с заинтересованными сторонами;</w:t>
            </w:r>
          </w:p>
          <w:p w14:paraId="71D4C7D0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новизна, размеры и сложность библиотечного фонда;</w:t>
            </w:r>
          </w:p>
          <w:p w14:paraId="0B025B0C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дата начала и продолжительность использования;</w:t>
            </w:r>
          </w:p>
          <w:p w14:paraId="746B95BA" w14:textId="77777777" w:rsidR="00E45FC1" w:rsidRDefault="00E45FC1" w:rsidP="00E45FC1">
            <w:r w:rsidRPr="00E45FC1">
              <w:rPr>
                <w:sz w:val="24"/>
                <w:szCs w:val="24"/>
              </w:rPr>
              <w:t xml:space="preserve">вопросы целостности, такие как </w:t>
            </w:r>
            <w:r>
              <w:t>безопасность, защищённость, секретность, удобство использования и доступность;</w:t>
            </w:r>
          </w:p>
          <w:p w14:paraId="5E5BED84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вновь возникающие технологические возможности;</w:t>
            </w:r>
          </w:p>
          <w:p w14:paraId="07B3BEFE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бюджетный профиль и доступные организационные ресурсы;</w:t>
            </w:r>
          </w:p>
          <w:p w14:paraId="15B2C82E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готовность обеспечивающих систем предоставлять услуги.</w:t>
            </w:r>
          </w:p>
          <w:p w14:paraId="3F985476" w14:textId="6065F9E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E45FC1" w:rsidRPr="00E5249E" w14:paraId="3BA56A93" w14:textId="77777777" w:rsidTr="00372066">
        <w:trPr>
          <w:trHeight w:val="92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B73CD2" w14:textId="77777777" w:rsidR="00E45FC1" w:rsidRPr="00E5249E" w:rsidRDefault="00E45FC1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A4EEFF" w14:textId="77777777" w:rsidR="00E45FC1" w:rsidRPr="00E5249E" w:rsidRDefault="00E45FC1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02CAFF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Ограничения и внешние факторы, влияющие на организацию и окружение библиотечного фонда, включают:</w:t>
            </w:r>
          </w:p>
          <w:p w14:paraId="78324FC8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Законодательство и нормативные акты, регулирующие деятельность библиотек и использование их фондов.</w:t>
            </w:r>
          </w:p>
          <w:p w14:paraId="3D2B9FDF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Финансовые ресурсы и бюджеты, которые определяют возможности приобретения новых книг, обслуживания и ремонта существующих фондов.</w:t>
            </w:r>
          </w:p>
          <w:p w14:paraId="4DA0FD5C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Доступность и качество источников комплектования фондов, включая издательства, авторов и дистрибьюторов.</w:t>
            </w:r>
          </w:p>
          <w:p w14:paraId="342499F9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Технические возможности и инфраструктура для обработки, каталогизации и предоставления доступа к фондам.</w:t>
            </w:r>
          </w:p>
          <w:p w14:paraId="7B33C057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Взаимодействие с пользователями и их потребности в информации и услугах, предоставляемых библиотекой.</w:t>
            </w:r>
          </w:p>
          <w:p w14:paraId="0B66D679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Конкуренция со стороны других библиотек, информационных ресурсов и электронных средств массовой информации.</w:t>
            </w:r>
          </w:p>
          <w:p w14:paraId="033EA605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Культурные и образовательные потребности общества, которые влияют на выбор и актуальность содержания библиотечных фондов.</w:t>
            </w:r>
          </w:p>
          <w:p w14:paraId="1573BAED" w14:textId="77777777" w:rsidR="00E45FC1" w:rsidRPr="00E45FC1" w:rsidRDefault="00E45FC1" w:rsidP="00E45FC1">
            <w:pPr>
              <w:rPr>
                <w:sz w:val="24"/>
                <w:szCs w:val="24"/>
              </w:rPr>
            </w:pPr>
            <w:r w:rsidRPr="00E45FC1">
              <w:rPr>
                <w:sz w:val="24"/>
                <w:szCs w:val="24"/>
              </w:rPr>
              <w:t>Технологические изменения и инновации, которые могут привести к появлению новых форматов и способов доступа к информации.</w:t>
            </w:r>
          </w:p>
          <w:p w14:paraId="375464A2" w14:textId="08A0A799" w:rsidR="00E45FC1" w:rsidRPr="00E5249E" w:rsidRDefault="00E45FC1" w:rsidP="0085132C">
            <w:pPr>
              <w:ind w:left="63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3129" w:rsidRPr="00E5249E" w14:paraId="04954149" w14:textId="77777777" w:rsidTr="00372066">
        <w:trPr>
          <w:trHeight w:hRule="exact" w:val="173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5BFCEF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034679" w14:textId="77777777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36E24" w14:textId="449C6BB8" w:rsidR="009E3129" w:rsidRPr="00E5249E" w:rsidRDefault="00E45FC1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млн рублей выделено на библиотечный фонд.</w:t>
            </w:r>
          </w:p>
        </w:tc>
      </w:tr>
      <w:tr w:rsidR="009E3129" w:rsidRPr="00E5249E" w14:paraId="60E793D6" w14:textId="77777777" w:rsidTr="00372066">
        <w:trPr>
          <w:trHeight w:hRule="exact" w:val="15713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F637B4" w14:textId="77777777" w:rsidR="009E3129" w:rsidRPr="00E5249E" w:rsidRDefault="009E3129" w:rsidP="00372066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C3D858" w14:textId="77777777" w:rsidR="009E3129" w:rsidRPr="00E5249E" w:rsidRDefault="009E3129" w:rsidP="0085132C">
            <w:pPr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62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B3927" w14:textId="77777777" w:rsidR="00372066" w:rsidRPr="00372066" w:rsidRDefault="00372066" w:rsidP="00372066">
            <w:r w:rsidRPr="00372066">
              <w:t>Назначение руководителей проекта и определение полномочий ключевых членов проектной команды зависит от специфики конкретного проекта. Однако можно выделить общие роли и обязанности для РП, спонсора и координатора.</w:t>
            </w:r>
          </w:p>
          <w:p w14:paraId="7B7C57F1" w14:textId="77777777" w:rsidR="00372066" w:rsidRPr="00372066" w:rsidRDefault="00372066" w:rsidP="00372066">
            <w:r w:rsidRPr="00372066">
              <w:t>Руководитель проекта (РП):</w:t>
            </w:r>
          </w:p>
          <w:p w14:paraId="6C46C364" w14:textId="77777777" w:rsidR="00372066" w:rsidRPr="00372066" w:rsidRDefault="00372066" w:rsidP="00372066">
            <w:r w:rsidRPr="00372066">
              <w:t>осуществляет оперативное управление проектом;</w:t>
            </w:r>
          </w:p>
          <w:p w14:paraId="71C2C37E" w14:textId="77777777" w:rsidR="00372066" w:rsidRPr="00372066" w:rsidRDefault="00372066" w:rsidP="00372066">
            <w:r w:rsidRPr="00372066">
              <w:t>требует от участников команды своевременного и качественного выполнения обязанностей;</w:t>
            </w:r>
          </w:p>
          <w:p w14:paraId="57D2B5D4" w14:textId="77777777" w:rsidR="00372066" w:rsidRPr="00372066" w:rsidRDefault="00372066" w:rsidP="00372066">
            <w:r w:rsidRPr="00372066">
              <w:t>принимает решения о найме и увольнении сотрудников;</w:t>
            </w:r>
          </w:p>
          <w:p w14:paraId="49966600" w14:textId="77777777" w:rsidR="00372066" w:rsidRPr="00372066" w:rsidRDefault="00372066" w:rsidP="00372066">
            <w:r w:rsidRPr="00372066">
              <w:t>контролирует и согласовывает изменения по проекту;</w:t>
            </w:r>
          </w:p>
          <w:p w14:paraId="29D3DBA1" w14:textId="77777777" w:rsidR="00372066" w:rsidRPr="00372066" w:rsidRDefault="00372066" w:rsidP="00372066">
            <w:r w:rsidRPr="00372066">
              <w:t>подписывает и визирует документы;</w:t>
            </w:r>
          </w:p>
          <w:p w14:paraId="3F9D69DC" w14:textId="77777777" w:rsidR="00372066" w:rsidRPr="00372066" w:rsidRDefault="00372066" w:rsidP="00372066">
            <w:r w:rsidRPr="00372066">
              <w:t>привлекает необходимых специалистов к экспертизе и согласованию решений;</w:t>
            </w:r>
          </w:p>
          <w:p w14:paraId="14F2E382" w14:textId="77777777" w:rsidR="00372066" w:rsidRPr="00372066" w:rsidRDefault="00372066" w:rsidP="00372066">
            <w:r w:rsidRPr="00372066">
              <w:t>назначает и проводит совещания для рассмотрения хода реализации проекта;</w:t>
            </w:r>
          </w:p>
          <w:p w14:paraId="450EA9C0" w14:textId="77777777" w:rsidR="00372066" w:rsidRPr="00372066" w:rsidRDefault="00372066" w:rsidP="00372066">
            <w:r w:rsidRPr="00372066">
              <w:t>требует информацию от участников проекта и подрядных организаций.</w:t>
            </w:r>
          </w:p>
          <w:p w14:paraId="5E92F514" w14:textId="77777777" w:rsidR="00372066" w:rsidRPr="00372066" w:rsidRDefault="00372066" w:rsidP="00372066">
            <w:r w:rsidRPr="00372066">
              <w:t>Спонсор проекта:</w:t>
            </w:r>
          </w:p>
          <w:p w14:paraId="46D0E14C" w14:textId="77777777" w:rsidR="00372066" w:rsidRPr="00372066" w:rsidRDefault="00372066" w:rsidP="00372066">
            <w:r w:rsidRPr="00372066">
              <w:t>несёт ответственность за средства, инвестируемые в проект;</w:t>
            </w:r>
          </w:p>
          <w:p w14:paraId="56600310" w14:textId="77777777" w:rsidR="00372066" w:rsidRPr="00372066" w:rsidRDefault="00372066" w:rsidP="00372066">
            <w:r w:rsidRPr="00372066">
              <w:t>определяет и формирует бизнес-план проекта;</w:t>
            </w:r>
          </w:p>
          <w:p w14:paraId="3C627094" w14:textId="77777777" w:rsidR="00372066" w:rsidRPr="00372066" w:rsidRDefault="00372066" w:rsidP="00372066">
            <w:r w:rsidRPr="00372066">
              <w:t>утверждает содержание и цели проекта, включая расписание, бюджет и изменения;</w:t>
            </w:r>
          </w:p>
          <w:p w14:paraId="2785A998" w14:textId="77777777" w:rsidR="00372066" w:rsidRPr="00372066" w:rsidRDefault="00372066" w:rsidP="00372066">
            <w:r w:rsidRPr="00372066">
              <w:t>издаёт приказы и распоряжения по проекту;</w:t>
            </w:r>
          </w:p>
          <w:p w14:paraId="4DC7FF2A" w14:textId="77777777" w:rsidR="00372066" w:rsidRPr="00372066" w:rsidRDefault="00372066" w:rsidP="00372066">
            <w:r w:rsidRPr="00372066">
              <w:t>осуществляет мониторинг окружения проекта и информирует менеджера проекта об изменениях;</w:t>
            </w:r>
          </w:p>
          <w:p w14:paraId="0C94CB06" w14:textId="77777777" w:rsidR="00372066" w:rsidRPr="00372066" w:rsidRDefault="00372066" w:rsidP="00372066">
            <w:r w:rsidRPr="00372066">
              <w:t>вносит и утверждает основные изменения по проекту и решения, касающиеся предоставления требуемых средств;</w:t>
            </w:r>
          </w:p>
          <w:p w14:paraId="433D53B6" w14:textId="77777777" w:rsidR="00372066" w:rsidRDefault="00372066" w:rsidP="00372066">
            <w:r w:rsidRPr="00372066">
              <w:t>периодически отслеживает ход исполнения работ и формулирует</w:t>
            </w:r>
            <w:r>
              <w:t xml:space="preserve"> стратегические указания для менеджера проекта;</w:t>
            </w:r>
          </w:p>
          <w:p w14:paraId="22C13F3E" w14:textId="77777777" w:rsidR="00372066" w:rsidRPr="00372066" w:rsidRDefault="00372066" w:rsidP="00372066">
            <w:r w:rsidRPr="00372066">
              <w:t>устанавливает стратегические приоритеты и разрешает конфликты.</w:t>
            </w:r>
          </w:p>
          <w:p w14:paraId="6AA3E3FE" w14:textId="77777777" w:rsidR="00372066" w:rsidRDefault="00372066" w:rsidP="00372066">
            <w:r w:rsidRPr="00372066">
              <w:t>Координатор проекта:</w:t>
            </w:r>
          </w:p>
          <w:p w14:paraId="2C6E8980" w14:textId="77777777" w:rsidR="00372066" w:rsidRPr="00372066" w:rsidRDefault="00372066" w:rsidP="00372066">
            <w:r w:rsidRPr="00372066">
              <w:t>осуществляет подбор персонала и мотивацию команды проекта;</w:t>
            </w:r>
          </w:p>
          <w:p w14:paraId="279DC181" w14:textId="77777777" w:rsidR="00372066" w:rsidRPr="00372066" w:rsidRDefault="00372066" w:rsidP="00372066">
            <w:r w:rsidRPr="00372066">
              <w:t>занимается бюджетированием проекта и контролем расходов;</w:t>
            </w:r>
          </w:p>
          <w:p w14:paraId="6A1528B5" w14:textId="77777777" w:rsidR="00372066" w:rsidRPr="00372066" w:rsidRDefault="00372066" w:rsidP="00372066">
            <w:r w:rsidRPr="00372066">
              <w:t>разрабатывает и контролирует стратегическое и тактическое планирование;</w:t>
            </w:r>
          </w:p>
          <w:p w14:paraId="48C7A675" w14:textId="77777777" w:rsidR="00372066" w:rsidRPr="00372066" w:rsidRDefault="00372066" w:rsidP="00372066">
            <w:r w:rsidRPr="00372066">
              <w:t>составляет отчётность по выполненной работе и результатам деятельности;</w:t>
            </w:r>
          </w:p>
          <w:p w14:paraId="2E49B643" w14:textId="77777777" w:rsidR="00372066" w:rsidRDefault="00372066" w:rsidP="00372066">
            <w:r w:rsidRPr="00372066">
              <w:t>документирует деятельность</w:t>
            </w:r>
            <w:r>
              <w:t xml:space="preserve"> проектной команды.</w:t>
            </w:r>
          </w:p>
          <w:p w14:paraId="02A7229D" w14:textId="03FEB8C2" w:rsidR="009E3129" w:rsidRPr="00E5249E" w:rsidRDefault="009E3129" w:rsidP="0085132C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3C1F0E7D" w14:textId="77777777" w:rsidR="009E3129" w:rsidRPr="00E5249E" w:rsidRDefault="009E3129" w:rsidP="00372066">
      <w:pPr>
        <w:ind w:right="180"/>
        <w:contextualSpacing/>
        <w:jc w:val="both"/>
        <w:rPr>
          <w:sz w:val="24"/>
          <w:szCs w:val="24"/>
        </w:rPr>
      </w:pPr>
    </w:p>
    <w:sectPr w:rsidR="009E3129" w:rsidRPr="00E5249E" w:rsidSect="0037206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AA7"/>
    <w:multiLevelType w:val="multilevel"/>
    <w:tmpl w:val="BD5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82F"/>
    <w:multiLevelType w:val="multilevel"/>
    <w:tmpl w:val="EB9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66FFF"/>
    <w:multiLevelType w:val="multilevel"/>
    <w:tmpl w:val="AA6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36BFE"/>
    <w:multiLevelType w:val="multilevel"/>
    <w:tmpl w:val="76F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5A3CCD"/>
    <w:multiLevelType w:val="multilevel"/>
    <w:tmpl w:val="AB2E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565E86"/>
    <w:multiLevelType w:val="multilevel"/>
    <w:tmpl w:val="F314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75"/>
    <w:rsid w:val="000E317C"/>
    <w:rsid w:val="002E4962"/>
    <w:rsid w:val="00372066"/>
    <w:rsid w:val="004F7A5D"/>
    <w:rsid w:val="006E185A"/>
    <w:rsid w:val="006F68E2"/>
    <w:rsid w:val="009E3129"/>
    <w:rsid w:val="00B323DE"/>
    <w:rsid w:val="00D94775"/>
    <w:rsid w:val="00E45FC1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B2E2"/>
  <w15:chartTrackingRefBased/>
  <w15:docId w15:val="{9DA4D9F1-E7CB-4259-A3D6-0C0863E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F68E2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6F68E2"/>
  </w:style>
  <w:style w:type="paragraph" w:styleId="a5">
    <w:name w:val="List Paragraph"/>
    <w:basedOn w:val="a"/>
    <w:qFormat/>
    <w:rsid w:val="009E31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6">
    <w:name w:val="Strong"/>
    <w:basedOn w:val="a0"/>
    <w:uiPriority w:val="22"/>
    <w:qFormat/>
    <w:rsid w:val="009E3129"/>
    <w:rPr>
      <w:b/>
      <w:bCs/>
    </w:rPr>
  </w:style>
  <w:style w:type="paragraph" w:customStyle="1" w:styleId="futurismarkdown-listitem">
    <w:name w:val="futurismarkdown-listitem"/>
    <w:basedOn w:val="a"/>
    <w:rsid w:val="006E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E185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4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3</cp:revision>
  <dcterms:created xsi:type="dcterms:W3CDTF">2024-10-16T09:11:00Z</dcterms:created>
  <dcterms:modified xsi:type="dcterms:W3CDTF">2024-10-31T06:29:00Z</dcterms:modified>
</cp:coreProperties>
</file>