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ED54AA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r>
        <w:lastRenderedPageBreak/>
        <w:t>АННОТАЦИЯ</w:t>
      </w:r>
      <w:bookmarkEnd w:id="1"/>
      <w:bookmarkEnd w:id="2"/>
      <w:bookmarkEnd w:id="3"/>
      <w:bookmarkEnd w:id="4"/>
      <w:bookmarkEnd w:id="5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6" w:name="_Toc417326851"/>
      <w:bookmarkStart w:id="7" w:name="_Toc417326990"/>
      <w:bookmarkStart w:id="8" w:name="_Toc417380428"/>
      <w:bookmarkStart w:id="9" w:name="_Toc417541365"/>
      <w:bookmarkStart w:id="10" w:name="_Toc419717936"/>
      <w:r>
        <w:lastRenderedPageBreak/>
        <w:t>СОДЕРЖАНИЕ</w:t>
      </w:r>
      <w:bookmarkEnd w:id="6"/>
      <w:bookmarkEnd w:id="7"/>
      <w:bookmarkEnd w:id="8"/>
      <w:bookmarkEnd w:id="9"/>
      <w:bookmarkEnd w:id="10"/>
    </w:p>
    <w:p w:rsidR="00287312" w:rsidRDefault="00287312">
      <w:pPr>
        <w:pStyle w:val="11"/>
        <w:tabs>
          <w:tab w:val="right" w:leader="dot" w:pos="9486"/>
        </w:tabs>
      </w:pPr>
    </w:p>
    <w:p w:rsidR="004B2214" w:rsidRDefault="00ED54AA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717937" w:history="1">
        <w:r w:rsidR="004B2214" w:rsidRPr="00B2110A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8" w:history="1">
        <w:r w:rsidR="004B2214" w:rsidRPr="00B2110A">
          <w:rPr>
            <w:rStyle w:val="ab"/>
            <w:noProof/>
          </w:rPr>
          <w:t>ВВЕДЕНИЕ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39" w:history="1">
        <w:r w:rsidR="004B2214" w:rsidRPr="00B2110A">
          <w:rPr>
            <w:rStyle w:val="ab"/>
            <w:noProof/>
            <w:lang w:val="en-US"/>
          </w:rPr>
          <w:t>1.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ТЕХНИЧЕСКОЕ ЗАДАНИЕ НА СОЗДАНИЕ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0" w:history="1">
        <w:r w:rsidR="004B2214" w:rsidRPr="00B2110A">
          <w:rPr>
            <w:rStyle w:val="ab"/>
            <w:noProof/>
          </w:rPr>
          <w:t>1.1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Назначение и цели создания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1" w:history="1">
        <w:r w:rsidR="004B2214" w:rsidRPr="00B2110A">
          <w:rPr>
            <w:rStyle w:val="ab"/>
            <w:noProof/>
          </w:rPr>
          <w:t>1.2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Характеристика объекта автоматизации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2" w:history="1">
        <w:r w:rsidR="004B2214" w:rsidRPr="00B2110A">
          <w:rPr>
            <w:rStyle w:val="ab"/>
            <w:noProof/>
            <w:lang w:val="en-US"/>
          </w:rPr>
          <w:t>1.2.1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Общее описание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3" w:history="1">
        <w:r w:rsidR="004B2214" w:rsidRPr="00B2110A">
          <w:rPr>
            <w:rStyle w:val="ab"/>
            <w:noProof/>
            <w:lang w:val="en-US"/>
          </w:rPr>
          <w:t>1.2.2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Структура и принципы функционирования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4" w:history="1">
        <w:r w:rsidR="004B2214" w:rsidRPr="00B2110A">
          <w:rPr>
            <w:rStyle w:val="ab"/>
            <w:noProof/>
          </w:rPr>
          <w:t>1.2.3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Существующая информационная система и ее недостатки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5" w:history="1">
        <w:r w:rsidR="004B2214" w:rsidRPr="00B2110A">
          <w:rPr>
            <w:rStyle w:val="ab"/>
            <w:noProof/>
          </w:rPr>
          <w:t>1.2.4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Анализ аналогичных разработок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6" w:history="1">
        <w:r w:rsidR="004B2214" w:rsidRPr="00B2110A">
          <w:rPr>
            <w:rStyle w:val="ab"/>
            <w:noProof/>
          </w:rPr>
          <w:t>1.2.5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Актуальность проводимой разработки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7" w:history="1">
        <w:r w:rsidR="004B2214" w:rsidRPr="00B2110A">
          <w:rPr>
            <w:rStyle w:val="ab"/>
            <w:noProof/>
          </w:rPr>
          <w:t>1.3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Общие требования к системе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8" w:history="1">
        <w:r w:rsidR="004B2214" w:rsidRPr="00B2110A">
          <w:rPr>
            <w:rStyle w:val="ab"/>
            <w:noProof/>
          </w:rPr>
          <w:t>1.3.1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структуре и функционированию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49" w:history="1">
        <w:r w:rsidR="004B2214" w:rsidRPr="00B2110A">
          <w:rPr>
            <w:rStyle w:val="ab"/>
            <w:noProof/>
          </w:rPr>
          <w:t>1.3.2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Дополнительные требования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0" w:history="1">
        <w:r w:rsidR="004B2214" w:rsidRPr="00B2110A">
          <w:rPr>
            <w:rStyle w:val="ab"/>
            <w:noProof/>
          </w:rPr>
          <w:t>1.4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функциям, выполняемым системой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1" w:history="1">
        <w:r w:rsidR="004B2214" w:rsidRPr="00B2110A">
          <w:rPr>
            <w:rStyle w:val="ab"/>
            <w:noProof/>
          </w:rPr>
          <w:t>1.4.1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 xml:space="preserve">Сбор информации для интеграции по каждому из </w:t>
        </w:r>
        <w:r w:rsidR="004B2214" w:rsidRPr="00B2110A">
          <w:rPr>
            <w:rStyle w:val="ab"/>
            <w:noProof/>
            <w:lang w:val="en-US"/>
          </w:rPr>
          <w:t>API</w:t>
        </w:r>
        <w:r w:rsidR="004B2214" w:rsidRPr="00B2110A">
          <w:rPr>
            <w:rStyle w:val="ab"/>
            <w:noProof/>
          </w:rPr>
          <w:t>-методов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2" w:history="1">
        <w:r w:rsidR="004B2214" w:rsidRPr="00B2110A">
          <w:rPr>
            <w:rStyle w:val="ab"/>
            <w:noProof/>
          </w:rPr>
          <w:t>1.4.2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Функция привязки данных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3" w:history="1">
        <w:r w:rsidR="004B2214" w:rsidRPr="00B2110A">
          <w:rPr>
            <w:rStyle w:val="ab"/>
            <w:noProof/>
          </w:rPr>
          <w:t>1.4.3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Первая поставка данных организацией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4" w:history="1">
        <w:r w:rsidR="004B2214" w:rsidRPr="00B2110A">
          <w:rPr>
            <w:rStyle w:val="ab"/>
            <w:noProof/>
          </w:rPr>
          <w:t>1.4.4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Формирование списка интеграционных запросов на поставку данных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5" w:history="1">
        <w:r w:rsidR="004B2214" w:rsidRPr="00B2110A">
          <w:rPr>
            <w:rStyle w:val="ab"/>
            <w:noProof/>
          </w:rPr>
          <w:t>1.4.5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Формирование ссылок на файлы документов организации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6" w:history="1">
        <w:r w:rsidR="004B2214" w:rsidRPr="00B2110A">
          <w:rPr>
            <w:rStyle w:val="ab"/>
            <w:noProof/>
          </w:rPr>
          <w:t>1.4.6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Очередь запросов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7" w:history="1">
        <w:r w:rsidR="004B2214" w:rsidRPr="00B2110A">
          <w:rPr>
            <w:rStyle w:val="ab"/>
            <w:noProof/>
          </w:rPr>
          <w:t>1.4.7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Отображение списка запросов к ИС «Реформа ЖКХ»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8" w:history="1">
        <w:r w:rsidR="004B2214" w:rsidRPr="00B2110A">
          <w:rPr>
            <w:rStyle w:val="ab"/>
            <w:noProof/>
          </w:rPr>
          <w:t>1.4.8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Формирование отображения истории выполнения запросов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59" w:history="1">
        <w:r w:rsidR="004B2214" w:rsidRPr="00B2110A">
          <w:rPr>
            <w:rStyle w:val="ab"/>
            <w:noProof/>
          </w:rPr>
          <w:t>1.4.9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Формирование статистики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0" w:history="1">
        <w:r w:rsidR="004B2214" w:rsidRPr="00B2110A">
          <w:rPr>
            <w:rStyle w:val="ab"/>
            <w:noProof/>
          </w:rPr>
          <w:t>1.5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видам обеспечения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1" w:history="1">
        <w:r w:rsidR="004B2214" w:rsidRPr="00B2110A">
          <w:rPr>
            <w:rStyle w:val="ab"/>
            <w:noProof/>
          </w:rPr>
          <w:t>1.5.1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математическому обеспечению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2" w:history="1">
        <w:r w:rsidR="004B2214" w:rsidRPr="00B2110A">
          <w:rPr>
            <w:rStyle w:val="ab"/>
            <w:noProof/>
          </w:rPr>
          <w:t>1.5.2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информационному обеспечению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4B221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3" w:history="1">
        <w:r w:rsidR="004B2214" w:rsidRPr="00B2110A">
          <w:rPr>
            <w:rStyle w:val="ab"/>
            <w:noProof/>
          </w:rPr>
          <w:t>1.5.3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программному обеспечению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4" w:history="1">
        <w:r w:rsidR="004B2214" w:rsidRPr="00B2110A">
          <w:rPr>
            <w:rStyle w:val="ab"/>
            <w:noProof/>
          </w:rPr>
          <w:t>1.5.4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Требования к техническому обеспечению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5" w:history="1">
        <w:r w:rsidR="004B2214" w:rsidRPr="00B2110A">
          <w:rPr>
            <w:rStyle w:val="ab"/>
            <w:noProof/>
          </w:rPr>
          <w:t>2.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МОДЕЛЬ ИСХОДНОЙ ИНФОРМАЦИОННОЙ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6" w:history="1">
        <w:r w:rsidR="004B2214" w:rsidRPr="00B2110A">
          <w:rPr>
            <w:rStyle w:val="ab"/>
            <w:noProof/>
          </w:rPr>
          <w:t>3.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ИНФОРМАЦИОННОЕ ОБЕСПЕЧЕНИЕ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7" w:history="1">
        <w:r w:rsidR="004B2214" w:rsidRPr="00B2110A">
          <w:rPr>
            <w:rStyle w:val="ab"/>
            <w:noProof/>
          </w:rPr>
          <w:t>4.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МАТЕМАТИЧЕСКОЕ ОБЕСПЕЧЕНИЕ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8" w:history="1">
        <w:r w:rsidR="004B2214" w:rsidRPr="00B2110A">
          <w:rPr>
            <w:rStyle w:val="ab"/>
            <w:noProof/>
          </w:rPr>
          <w:t>5.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ПРОГРАММНОЕ ОБЕСПЕЧЕНИЕ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69" w:history="1">
        <w:r w:rsidR="004B2214" w:rsidRPr="00B2110A">
          <w:rPr>
            <w:rStyle w:val="ab"/>
            <w:noProof/>
          </w:rPr>
          <w:t>6.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ТЕХНИЧЕСКОЕ ОБЕСПЕЧЕНИЕ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0" w:history="1">
        <w:r w:rsidR="004B2214" w:rsidRPr="00B2110A">
          <w:rPr>
            <w:rStyle w:val="ab"/>
            <w:noProof/>
          </w:rPr>
          <w:t>7.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ТЕСТИРОВАНИЕ СИСТЕМЫ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1" w:history="1">
        <w:r w:rsidR="004B2214" w:rsidRPr="00B2110A">
          <w:rPr>
            <w:rStyle w:val="ab"/>
            <w:noProof/>
          </w:rPr>
          <w:t>8.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ЭКОНОМИЧЕСКИЙ РАЗДЕЛ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2" w:history="1">
        <w:r w:rsidR="004B2214" w:rsidRPr="00B2110A">
          <w:rPr>
            <w:rStyle w:val="ab"/>
            <w:noProof/>
          </w:rPr>
          <w:t>8.1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3" w:history="1">
        <w:r w:rsidR="004B2214" w:rsidRPr="00B2110A">
          <w:rPr>
            <w:rStyle w:val="ab"/>
            <w:noProof/>
          </w:rPr>
          <w:t>8.2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затрат на материальные ресурсы и сырье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4" w:history="1">
        <w:r w:rsidR="004B2214" w:rsidRPr="00B2110A">
          <w:rPr>
            <w:rStyle w:val="ab"/>
            <w:noProof/>
          </w:rPr>
          <w:t>8.3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затрат на оплату труда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5" w:history="1">
        <w:r w:rsidR="004B2214" w:rsidRPr="00B2110A">
          <w:rPr>
            <w:rStyle w:val="ab"/>
            <w:noProof/>
            <w:lang w:val="en-US"/>
          </w:rPr>
          <w:t>8.4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отчислений в социальные фонды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6" w:history="1">
        <w:r w:rsidR="004B2214" w:rsidRPr="00B2110A">
          <w:rPr>
            <w:rStyle w:val="ab"/>
            <w:noProof/>
            <w:lang w:val="en-US"/>
          </w:rPr>
          <w:t>8.5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амортизации оборудования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7" w:history="1">
        <w:r w:rsidR="004B2214" w:rsidRPr="00B2110A">
          <w:rPr>
            <w:rStyle w:val="ab"/>
            <w:noProof/>
          </w:rPr>
          <w:t>8.6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себестоимости разработки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8" w:history="1">
        <w:r w:rsidR="004B2214" w:rsidRPr="00B2110A">
          <w:rPr>
            <w:rStyle w:val="ab"/>
            <w:noProof/>
          </w:rPr>
          <w:t>8.7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плановой прибыли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79" w:history="1">
        <w:r w:rsidR="004B2214" w:rsidRPr="00B2110A">
          <w:rPr>
            <w:rStyle w:val="ab"/>
            <w:noProof/>
          </w:rPr>
          <w:t>8.8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0" w:history="1">
        <w:r w:rsidR="004B2214" w:rsidRPr="00B2110A">
          <w:rPr>
            <w:rStyle w:val="ab"/>
            <w:noProof/>
          </w:rPr>
          <w:t>9.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БЕЗОПАСНОСТЬ И ЭКОЛОГИЧНОСТЬ ОБЪЕКТА ПРОЕКТИРОВАНИЯ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1" w:history="1">
        <w:r w:rsidR="004B2214" w:rsidRPr="00B2110A">
          <w:rPr>
            <w:rStyle w:val="ab"/>
            <w:noProof/>
          </w:rPr>
          <w:t>9.1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Исходные данные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2" w:history="1">
        <w:r w:rsidR="004B2214" w:rsidRPr="00B2110A">
          <w:rPr>
            <w:rStyle w:val="ab"/>
            <w:noProof/>
          </w:rPr>
          <w:t>9.2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Перечень нормативных документов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3" w:history="1">
        <w:r w:rsidR="004B2214" w:rsidRPr="00B2110A">
          <w:rPr>
            <w:rStyle w:val="ab"/>
            <w:noProof/>
          </w:rPr>
          <w:t>9.3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Анализ потенциальных опасностей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4" w:history="1">
        <w:r w:rsidR="004B2214" w:rsidRPr="00B2110A">
          <w:rPr>
            <w:rStyle w:val="ab"/>
            <w:noProof/>
          </w:rPr>
          <w:t>9.3.1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Анализ вредных и опасных производственных факторов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5" w:history="1">
        <w:r w:rsidR="004B2214" w:rsidRPr="00B2110A">
          <w:rPr>
            <w:rStyle w:val="ab"/>
            <w:noProof/>
          </w:rPr>
          <w:t>9.3.2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Анализ воздействия на окружающую среду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6" w:history="1">
        <w:r w:rsidR="004B2214" w:rsidRPr="00B2110A">
          <w:rPr>
            <w:rStyle w:val="ab"/>
            <w:noProof/>
          </w:rPr>
          <w:t>9.3.3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Анализ возможных чрезвычайных ситуаций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7" w:history="1">
        <w:r w:rsidR="004B2214" w:rsidRPr="00B2110A">
          <w:rPr>
            <w:rStyle w:val="ab"/>
            <w:noProof/>
          </w:rPr>
          <w:t>9.4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Мероприятия по охране труда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8" w:history="1">
        <w:r w:rsidR="004B2214" w:rsidRPr="00B2110A">
          <w:rPr>
            <w:rStyle w:val="ab"/>
            <w:noProof/>
          </w:rPr>
          <w:t>9.4.1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Мероприятия по обеспечению комфортных условий труда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89" w:history="1">
        <w:r w:rsidR="004B2214" w:rsidRPr="00B2110A">
          <w:rPr>
            <w:rStyle w:val="ab"/>
            <w:noProof/>
          </w:rPr>
          <w:t>9.4.2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0" w:history="1">
        <w:r w:rsidR="004B2214" w:rsidRPr="00B2110A">
          <w:rPr>
            <w:rStyle w:val="ab"/>
            <w:noProof/>
          </w:rPr>
          <w:t>9.5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Мероприятия по охране окружающей среды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1" w:history="1">
        <w:r w:rsidR="004B2214" w:rsidRPr="00B2110A">
          <w:rPr>
            <w:rStyle w:val="ab"/>
            <w:noProof/>
          </w:rPr>
          <w:t>9.6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Мероприятия по защите от чрезвычайных ситуаций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2" w:history="1">
        <w:r w:rsidR="004B2214" w:rsidRPr="00B2110A">
          <w:rPr>
            <w:rStyle w:val="ab"/>
            <w:noProof/>
          </w:rPr>
          <w:t>9.7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Расчетная часть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3" w:history="1">
        <w:r w:rsidR="004B2214" w:rsidRPr="00B2110A">
          <w:rPr>
            <w:rStyle w:val="ab"/>
            <w:noProof/>
          </w:rPr>
          <w:t>9.7.1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уровня шума на рабочем месте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4" w:history="1">
        <w:r w:rsidR="004B2214" w:rsidRPr="00B2110A">
          <w:rPr>
            <w:rStyle w:val="ab"/>
            <w:noProof/>
          </w:rPr>
          <w:t>9.7.2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Расчет величины освещенности рабочего пространства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5" w:history="1">
        <w:r w:rsidR="004B2214" w:rsidRPr="00B2110A">
          <w:rPr>
            <w:rStyle w:val="ab"/>
            <w:noProof/>
          </w:rPr>
          <w:t>9.8</w:t>
        </w:r>
        <w:r w:rsidR="004B22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214" w:rsidRPr="00B2110A">
          <w:rPr>
            <w:rStyle w:val="ab"/>
            <w:noProof/>
          </w:rPr>
          <w:t>Оценка эффективности принятых решений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B2214" w:rsidRDefault="00ED54AA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717996" w:history="1">
        <w:r w:rsidR="004B2214" w:rsidRPr="00B2110A">
          <w:rPr>
            <w:rStyle w:val="ab"/>
            <w:noProof/>
          </w:rPr>
          <w:t>ЗАКЛЮЧЕНИЕ</w:t>
        </w:r>
        <w:r w:rsidR="004B22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214">
          <w:rPr>
            <w:noProof/>
            <w:webHidden/>
          </w:rPr>
          <w:instrText xml:space="preserve"> PAGEREF _Toc419717996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221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87312" w:rsidRDefault="00ED54AA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1" w:name="_Toc419717937"/>
      <w:r w:rsidRPr="00E472EC">
        <w:lastRenderedPageBreak/>
        <w:t>ПЕРЕЧЕНЬ ИСПОЛЬЗУЕМЫХ УСЛОВНЫХ ОБОЗНАЧЕНИЙ, СОКРАЩЕНИЙ И ТЕРМИНОВ</w:t>
      </w:r>
      <w:bookmarkEnd w:id="11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Default="00B32CA2" w:rsidP="00AB7728">
      <w:pPr>
        <w:spacing w:line="360" w:lineRule="auto"/>
        <w:rPr>
          <w:lang w:val="en-US"/>
        </w:rPr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Default="004D4050" w:rsidP="00AB7728">
      <w:pPr>
        <w:spacing w:line="360" w:lineRule="auto"/>
      </w:pPr>
      <w:r>
        <w:rPr>
          <w:lang w:val="en-US"/>
        </w:rPr>
        <w:t>ORM – object relational mapping</w:t>
      </w:r>
      <w:r w:rsidR="00B32CA2">
        <w:t xml:space="preserve">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2" w:name="_Toc419717938"/>
      <w:r>
        <w:lastRenderedPageBreak/>
        <w:t>ВВЕДЕНИЕ</w:t>
      </w:r>
      <w:bookmarkEnd w:id="12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3" w:name="_Toc417326852"/>
      <w:bookmarkStart w:id="14" w:name="_Toc419717939"/>
      <w:r>
        <w:lastRenderedPageBreak/>
        <w:t>ТЕХНИЧЕСКОЕ ЗАДАНИЕ НА СОЗДАНИЕ СИСТЕМЫ</w:t>
      </w:r>
      <w:bookmarkEnd w:id="13"/>
      <w:bookmarkEnd w:id="14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5" w:name="_Toc419717940"/>
      <w:r w:rsidR="005C2874">
        <w:t>Назначение и цели создания системы</w:t>
      </w:r>
      <w:bookmarkEnd w:id="15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543B4C">
      <w:pPr>
        <w:pStyle w:val="af4"/>
        <w:numPr>
          <w:ilvl w:val="0"/>
          <w:numId w:val="10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543B4C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6" w:name="_Toc419717941"/>
      <w:r>
        <w:t>Характеристика объекта автоматизации</w:t>
      </w:r>
      <w:bookmarkEnd w:id="16"/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</w:t>
      </w:r>
      <w:proofErr w:type="gramStart"/>
      <w:r>
        <w:t>между</w:t>
      </w:r>
      <w:proofErr w:type="gramEnd"/>
      <w:r>
        <w:t xml:space="preserve">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7" w:name="_Toc419717942"/>
      <w:r>
        <w:t>Общее описание</w:t>
      </w:r>
      <w:bookmarkEnd w:id="17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543B4C">
      <w:pPr>
        <w:pStyle w:val="af4"/>
        <w:numPr>
          <w:ilvl w:val="0"/>
          <w:numId w:val="9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543B4C">
      <w:pPr>
        <w:pStyle w:val="af4"/>
        <w:numPr>
          <w:ilvl w:val="0"/>
          <w:numId w:val="9"/>
        </w:numPr>
      </w:pPr>
      <w:r w:rsidRPr="00FA4CD8">
        <w:t>всероссийским рейтингом управляющих компаний;</w:t>
      </w:r>
    </w:p>
    <w:p w:rsidR="00FA4CD8" w:rsidRDefault="00FA4CD8" w:rsidP="00543B4C">
      <w:pPr>
        <w:pStyle w:val="af4"/>
        <w:numPr>
          <w:ilvl w:val="0"/>
          <w:numId w:val="9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543B4C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543B4C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543B4C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8" w:name="_Toc419717943"/>
      <w:r>
        <w:t>Структура и принципы функционирования</w:t>
      </w:r>
      <w:bookmarkEnd w:id="18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>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 xml:space="preserve">дулем интеграции, </w:t>
      </w:r>
      <w:r w:rsidR="00802C0A">
        <w:lastRenderedPageBreak/>
        <w:t>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19" w:name="_Toc419717944"/>
      <w:r>
        <w:t>Существующая информационная система и ее недостатки</w:t>
      </w:r>
      <w:bookmarkEnd w:id="19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0" w:name="_Toc419717945"/>
      <w:r>
        <w:t>Анализ аналогичных разработок</w:t>
      </w:r>
      <w:bookmarkEnd w:id="20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</w:t>
      </w:r>
      <w:r w:rsidR="00326079">
        <w:lastRenderedPageBreak/>
        <w:t>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543B4C">
      <w:pPr>
        <w:pStyle w:val="af4"/>
        <w:numPr>
          <w:ilvl w:val="0"/>
          <w:numId w:val="7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543B4C">
      <w:pPr>
        <w:pStyle w:val="af4"/>
        <w:numPr>
          <w:ilvl w:val="0"/>
          <w:numId w:val="7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543B4C">
      <w:pPr>
        <w:pStyle w:val="af4"/>
        <w:numPr>
          <w:ilvl w:val="0"/>
          <w:numId w:val="7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1" w:name="_Toc419717946"/>
      <w:r>
        <w:t>Актуальность проводимой разработки</w:t>
      </w:r>
      <w:bookmarkEnd w:id="21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2" w:name="_Toc419717947"/>
      <w:r w:rsidR="005C2874">
        <w:t>Общие требования к системе</w:t>
      </w:r>
      <w:bookmarkEnd w:id="22"/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717948"/>
      <w:r>
        <w:t>Требования к структуре и функционированию системы</w:t>
      </w:r>
      <w:bookmarkEnd w:id="23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</w:t>
      </w:r>
      <w:r>
        <w:lastRenderedPageBreak/>
        <w:t>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543B4C">
      <w:pPr>
        <w:pStyle w:val="af4"/>
        <w:numPr>
          <w:ilvl w:val="0"/>
          <w:numId w:val="6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543B4C">
      <w:pPr>
        <w:pStyle w:val="af4"/>
        <w:numPr>
          <w:ilvl w:val="0"/>
          <w:numId w:val="6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543B4C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543B4C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543B4C">
      <w:pPr>
        <w:pStyle w:val="af4"/>
        <w:numPr>
          <w:ilvl w:val="0"/>
          <w:numId w:val="6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543B4C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4" w:name="_Toc419717949"/>
      <w:r>
        <w:t>Дополнительные требования</w:t>
      </w:r>
      <w:bookmarkEnd w:id="24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</w:t>
      </w:r>
      <w:r w:rsidR="00297087">
        <w:lastRenderedPageBreak/>
        <w:t xml:space="preserve">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543B4C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543B4C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543B4C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543B4C">
      <w:pPr>
        <w:pStyle w:val="af4"/>
        <w:numPr>
          <w:ilvl w:val="0"/>
          <w:numId w:val="5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543B4C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5" w:name="_Toc419717950"/>
      <w:r w:rsidR="005C2874">
        <w:t>Требования к функциям, выполняемым системой</w:t>
      </w:r>
      <w:bookmarkEnd w:id="25"/>
    </w:p>
    <w:p w:rsidR="00FC7CAA" w:rsidRDefault="005C2FDC" w:rsidP="00FC7CAA">
      <w:pPr>
        <w:pStyle w:val="3"/>
        <w:numPr>
          <w:ilvl w:val="2"/>
          <w:numId w:val="1"/>
        </w:numPr>
      </w:pPr>
      <w:bookmarkStart w:id="26" w:name="_Toc419717951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6"/>
    </w:p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7" w:name="_Toc419717952"/>
      <w:r w:rsidRPr="005F41F4">
        <w:lastRenderedPageBreak/>
        <w:t>Функция привязки данных</w:t>
      </w:r>
      <w:bookmarkEnd w:id="27"/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28" w:name="_Toc419717953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28"/>
    </w:p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29" w:name="_Toc419717954"/>
      <w:r w:rsidRPr="00D36ECC">
        <w:t>Формирование списка интеграционных запросов на поставку данных</w:t>
      </w:r>
      <w:bookmarkEnd w:id="29"/>
      <w:r w:rsidRPr="00D36ECC">
        <w:t xml:space="preserve"> </w:t>
      </w: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0" w:name="_Toc419717955"/>
      <w:r w:rsidRPr="005F41F4">
        <w:lastRenderedPageBreak/>
        <w:t>Формирование ссылок на файлы документов организации</w:t>
      </w:r>
      <w:bookmarkEnd w:id="30"/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1" w:name="_Toc419717956"/>
      <w:r>
        <w:t>Очередь запросов</w:t>
      </w:r>
      <w:bookmarkEnd w:id="31"/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2" w:name="_Toc419717957"/>
      <w:r>
        <w:t>Отображение списка запросов к ИС «Реформа ЖКХ»</w:t>
      </w:r>
      <w:bookmarkEnd w:id="32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3" w:name="_Toc419717958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3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717959"/>
      <w:r>
        <w:t>Формирование статистики</w:t>
      </w:r>
      <w:bookmarkEnd w:id="34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5" w:name="_Toc419717960"/>
      <w:r w:rsidR="005C2874" w:rsidRPr="008A15D2">
        <w:t>Требования к видам обеспечения</w:t>
      </w:r>
      <w:bookmarkEnd w:id="35"/>
    </w:p>
    <w:p w:rsidR="00B95C1B" w:rsidRDefault="005C2874" w:rsidP="00675D84">
      <w:pPr>
        <w:pStyle w:val="3"/>
        <w:numPr>
          <w:ilvl w:val="2"/>
          <w:numId w:val="1"/>
        </w:numPr>
      </w:pPr>
      <w:bookmarkStart w:id="36" w:name="_Toc419717961"/>
      <w:r>
        <w:t>Требования</w:t>
      </w:r>
      <w:r w:rsidR="001B0B3D">
        <w:t xml:space="preserve"> к математическому обеспечению</w:t>
      </w:r>
      <w:bookmarkEnd w:id="36"/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543B4C">
      <w:pPr>
        <w:pStyle w:val="af4"/>
        <w:numPr>
          <w:ilvl w:val="0"/>
          <w:numId w:val="4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543B4C">
      <w:pPr>
        <w:pStyle w:val="af4"/>
        <w:numPr>
          <w:ilvl w:val="0"/>
          <w:numId w:val="4"/>
        </w:numPr>
      </w:pPr>
      <w:r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543B4C">
      <w:pPr>
        <w:pStyle w:val="af4"/>
        <w:numPr>
          <w:ilvl w:val="0"/>
          <w:numId w:val="4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543B4C">
      <w:pPr>
        <w:pStyle w:val="af4"/>
        <w:numPr>
          <w:ilvl w:val="0"/>
          <w:numId w:val="4"/>
        </w:numPr>
      </w:pPr>
      <w:r>
        <w:lastRenderedPageBreak/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7" w:name="_Toc419717962"/>
      <w:r>
        <w:t>Требования к информационному обеспечению</w:t>
      </w:r>
      <w:bookmarkEnd w:id="37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38" w:name="_Toc419717963"/>
      <w:r>
        <w:t>Требования программному обеспечению</w:t>
      </w:r>
      <w:bookmarkEnd w:id="38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39" w:name="_Toc419717964"/>
      <w:r>
        <w:t xml:space="preserve">Требования к техническому </w:t>
      </w:r>
      <w:r w:rsidR="008A15D2">
        <w:t>обеспечению</w:t>
      </w:r>
      <w:bookmarkEnd w:id="39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lastRenderedPageBreak/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543B4C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543B4C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543B4C">
      <w:pPr>
        <w:pStyle w:val="af4"/>
        <w:numPr>
          <w:ilvl w:val="0"/>
          <w:numId w:val="3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543B4C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543B4C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r>
        <w:lastRenderedPageBreak/>
        <w:t>МОДЕЛЬ ДАННЫХ СИСТЕМЫ</w:t>
      </w:r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Стандарт функционального моделирования </w:t>
      </w:r>
      <w:r>
        <w:rPr>
          <w:lang w:val="en-US"/>
        </w:rPr>
        <w:t>IDEF0</w:t>
      </w:r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8D3B9F" w:rsidP="009D29CF">
      <w:pPr>
        <w:pStyle w:val="af4"/>
      </w:pPr>
      <w:r>
        <w:t>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543B4C">
      <w:pPr>
        <w:pStyle w:val="af4"/>
        <w:numPr>
          <w:ilvl w:val="0"/>
          <w:numId w:val="11"/>
        </w:numPr>
      </w:pPr>
      <w:r>
        <w:lastRenderedPageBreak/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543B4C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543B4C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543B4C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r>
        <w:rPr>
          <w:lang w:val="en-US"/>
        </w:rPr>
        <w:t>IDEF0</w:t>
      </w:r>
      <w:r>
        <w:t>-модель приложения интеграции</w:t>
      </w:r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proofErr w:type="gramStart"/>
      <w:r w:rsidR="008D3B9F">
        <w:t>Данное</w:t>
      </w:r>
      <w:proofErr w:type="gramEnd"/>
      <w:r>
        <w:t xml:space="preserve"> ПО поддерживает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rPr>
          <w:noProof/>
        </w:rPr>
        <w:lastRenderedPageBreak/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</w:t>
      </w:r>
      <w:r w:rsidR="008D3B9F">
        <w:t>нной в раскрытии своих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8D3B9F">
        <w:t xml:space="preserve">загрузки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</w:t>
      </w:r>
      <w:r w:rsidR="008D3B9F">
        <w:t xml:space="preserve"> </w:t>
      </w:r>
      <w:r w:rsidR="008D3B9F">
        <w:rPr>
          <w:lang w:val="en-US"/>
        </w:rPr>
        <w:t>API-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0" w:name="_Toc417326854"/>
      <w:bookmarkStart w:id="41" w:name="_Toc419717966"/>
      <w:r>
        <w:lastRenderedPageBreak/>
        <w:t>ИНФОРМАЦИОННОЕ ОБЕСПЕЧЕНИЕ СИСТЕМЫ</w:t>
      </w:r>
      <w:bookmarkEnd w:id="40"/>
      <w:bookmarkEnd w:id="41"/>
    </w:p>
    <w:p w:rsidR="008D3B9F" w:rsidRDefault="00204453" w:rsidP="008D3B9F">
      <w:pPr>
        <w:pStyle w:val="2"/>
        <w:numPr>
          <w:ilvl w:val="1"/>
          <w:numId w:val="1"/>
        </w:numPr>
      </w:pPr>
      <w:r>
        <w:t>Выбор технологий</w:t>
      </w:r>
      <w:r w:rsidR="008D3B9F">
        <w:t xml:space="preserve"> управления данными</w:t>
      </w:r>
    </w:p>
    <w:p w:rsidR="000A70F8" w:rsidRDefault="000A70F8" w:rsidP="000A70F8">
      <w:pPr>
        <w:pStyle w:val="3"/>
        <w:numPr>
          <w:ilvl w:val="2"/>
          <w:numId w:val="1"/>
        </w:numPr>
      </w:pPr>
      <w:r>
        <w:t>Выбор СУБД</w:t>
      </w:r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>Выбранная технология имеет ряд преимуществ, так и недостатков. К положительным сторонам можно отнести:</w:t>
      </w:r>
    </w:p>
    <w:p w:rsidR="00CA0A2C" w:rsidRPr="00CA0A2C" w:rsidRDefault="00CA0A2C" w:rsidP="00543B4C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>
        <w:t xml:space="preserve">для,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543B4C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используемых проектов компании </w:t>
      </w:r>
      <w:r>
        <w:rPr>
          <w:lang w:val="en-US"/>
        </w:rPr>
        <w:t>Microsoft</w:t>
      </w:r>
      <w:r>
        <w:t>, поэтому в интернете существует множество сообществ и официальная документация, которые помогут разрешить любой вопрос, возникший в процессе разработки</w:t>
      </w:r>
      <w:r w:rsidRPr="00CA0A2C">
        <w:t>;</w:t>
      </w:r>
    </w:p>
    <w:p w:rsidR="00CA0A2C" w:rsidRPr="000A70F8" w:rsidRDefault="00AA475D" w:rsidP="00543B4C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CA0A2C">
        <w:t xml:space="preserve">являющийся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543B4C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объема данных в 10 Гб для свободной версии.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 недостатками являются:</w:t>
      </w:r>
    </w:p>
    <w:p w:rsidR="00603267" w:rsidRPr="00603267" w:rsidRDefault="00603267" w:rsidP="00543B4C">
      <w:pPr>
        <w:pStyle w:val="af4"/>
        <w:numPr>
          <w:ilvl w:val="0"/>
          <w:numId w:val="13"/>
        </w:numPr>
      </w:pPr>
      <w:r>
        <w:rPr>
          <w:lang w:val="en-US"/>
        </w:rPr>
        <w:t>MSS</w:t>
      </w:r>
      <w:r w:rsidRPr="00603267">
        <w:t xml:space="preserve"> </w:t>
      </w:r>
      <w:proofErr w:type="gramStart"/>
      <w:r>
        <w:t>должен</w:t>
      </w:r>
      <w:proofErr w:type="gramEnd"/>
      <w:r>
        <w:t xml:space="preserve"> использоваться в совокупности с другими технологиями программирования от</w:t>
      </w:r>
      <w:r w:rsidRPr="00603267">
        <w:t xml:space="preserve"> </w:t>
      </w:r>
      <w:r>
        <w:rPr>
          <w:lang w:val="en-US"/>
        </w:rPr>
        <w:t>Microsoft</w:t>
      </w:r>
      <w:r>
        <w:t xml:space="preserve">. Хотя в данном случае это скорее положительная сторона, так как проект объектового учета использует объектно-ориентированные технологии доступа к данным </w:t>
      </w:r>
      <w:r>
        <w:rPr>
          <w:lang w:val="en-US"/>
        </w:rPr>
        <w:t>ADO</w:t>
      </w:r>
      <w:r w:rsidRPr="00603267">
        <w:t>.</w:t>
      </w:r>
      <w:r>
        <w:rPr>
          <w:lang w:val="en-US"/>
        </w:rPr>
        <w:t>NET</w:t>
      </w:r>
      <w:r w:rsidRPr="00603267">
        <w:t xml:space="preserve"> </w:t>
      </w:r>
      <w:r>
        <w:rPr>
          <w:lang w:val="en-US"/>
        </w:rPr>
        <w:t>Entity</w:t>
      </w:r>
      <w:r w:rsidRPr="00603267">
        <w:t xml:space="preserve"> </w:t>
      </w:r>
      <w:r>
        <w:rPr>
          <w:lang w:val="en-US"/>
        </w:rPr>
        <w:t>Framework</w:t>
      </w:r>
      <w:r w:rsidRPr="00603267">
        <w:t xml:space="preserve"> </w:t>
      </w:r>
      <w:r>
        <w:t xml:space="preserve">и </w:t>
      </w:r>
      <w:r>
        <w:rPr>
          <w:lang w:val="en-US"/>
        </w:rPr>
        <w:t>LINQ</w:t>
      </w:r>
      <w:r w:rsidRPr="00603267">
        <w:t xml:space="preserve"> </w:t>
      </w:r>
      <w:r>
        <w:rPr>
          <w:lang w:val="en-US"/>
        </w:rPr>
        <w:t>to</w:t>
      </w:r>
      <w:r w:rsidRPr="00603267">
        <w:t xml:space="preserve"> </w:t>
      </w:r>
      <w:r>
        <w:rPr>
          <w:lang w:val="en-US"/>
        </w:rPr>
        <w:t>SQL</w:t>
      </w:r>
      <w:r w:rsidRPr="00603267">
        <w:t>;</w:t>
      </w:r>
    </w:p>
    <w:p w:rsidR="00603267" w:rsidRDefault="00603267" w:rsidP="00543B4C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r>
        <w:lastRenderedPageBreak/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7931EF">
        <w:t xml:space="preserve">запросов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543B4C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543B4C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Сложность заключается в том, что у каждого разработчика есть своя база</w:t>
      </w:r>
      <w:r w:rsidR="00326D12">
        <w:t>, куда он вносит новые изменения. После этого он должен сравнить изменения, установленные другими программистами, разрешить все 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 изменения.</w:t>
      </w:r>
    </w:p>
    <w:p w:rsidR="00737A30" w:rsidRPr="004D4050" w:rsidRDefault="00737A30" w:rsidP="00737A30">
      <w:pPr>
        <w:pStyle w:val="af4"/>
        <w:rPr>
          <w:lang w:val="en-US"/>
        </w:rPr>
      </w:pPr>
      <w:r>
        <w:t>Проект модуля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t xml:space="preserve">данных использовался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r>
        <w:lastRenderedPageBreak/>
        <w:t>Т</w:t>
      </w:r>
      <w:r w:rsidR="00104D5D">
        <w:t xml:space="preserve">ехнологии </w:t>
      </w:r>
      <w:r w:rsidR="00104D5D">
        <w:rPr>
          <w:lang w:val="en-US"/>
        </w:rPr>
        <w:t>ORM</w:t>
      </w:r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 программирования,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 xml:space="preserve">код для этих целей уже проверен и, как правило, хорошо оптимизирован, что, несомненно, является плюсом применения технологии </w:t>
      </w:r>
      <w:r>
        <w:rPr>
          <w:lang w:val="en-US"/>
        </w:rPr>
        <w:t>ORM</w:t>
      </w:r>
      <w:r>
        <w:t>.</w:t>
      </w:r>
      <w:r w:rsidR="00E7659B">
        <w:t xml:space="preserve"> Однако основным недостатком использования 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-система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>обычно затрагивается только при разработке крупных высоконагруженных проектов, потому что приходится выбирать между удобством и производительностью.</w:t>
      </w:r>
    </w:p>
    <w:p w:rsidR="00E7659B" w:rsidRPr="00E7659B" w:rsidRDefault="00E7659B" w:rsidP="00262146">
      <w:pPr>
        <w:pStyle w:val="af4"/>
        <w:ind w:firstLine="0"/>
      </w:pPr>
      <w:r>
        <w:tab/>
        <w:t xml:space="preserve">Модуль  интеграции систем объектового учета не является высоконагруженным приложением, поэтому выбор пал использование </w:t>
      </w:r>
      <w:r>
        <w:rPr>
          <w:lang w:val="en-US"/>
        </w:rPr>
        <w:t>ORM</w:t>
      </w:r>
      <w:r w:rsidRPr="00E7659B">
        <w:t>.</w:t>
      </w:r>
      <w:r>
        <w:t xml:space="preserve">         </w:t>
      </w:r>
    </w:p>
    <w:p w:rsidR="006B5B7F" w:rsidRDefault="00147995" w:rsidP="00C72B1F">
      <w:pPr>
        <w:pStyle w:val="af4"/>
        <w:rPr>
          <w:lang w:val="en-US"/>
        </w:rPr>
      </w:pPr>
      <w:r>
        <w:t xml:space="preserve">   </w:t>
      </w:r>
    </w:p>
    <w:p w:rsidR="00E7659B" w:rsidRPr="003E4C34" w:rsidRDefault="00E7659B" w:rsidP="003E4C34">
      <w:pPr>
        <w:pStyle w:val="3"/>
        <w:numPr>
          <w:ilvl w:val="2"/>
          <w:numId w:val="1"/>
        </w:numPr>
        <w:rPr>
          <w:lang w:val="en-US"/>
        </w:rPr>
      </w:pPr>
      <w:r w:rsidRPr="003E4C34">
        <w:lastRenderedPageBreak/>
        <w:t>Сравнение</w:t>
      </w:r>
      <w:r w:rsidRPr="003E4C34">
        <w:rPr>
          <w:lang w:val="en-US"/>
        </w:rPr>
        <w:t xml:space="preserve"> ORM </w:t>
      </w:r>
      <w:r w:rsidRPr="003E4C34">
        <w:t>технологий</w:t>
      </w:r>
      <w:r w:rsidRPr="003E4C34">
        <w:rPr>
          <w:lang w:val="en-US"/>
        </w:rPr>
        <w:t xml:space="preserve"> LINQ </w:t>
      </w:r>
      <w:r w:rsidR="003E4C34">
        <w:rPr>
          <w:lang w:val="en-US"/>
        </w:rPr>
        <w:t>t</w:t>
      </w:r>
      <w:r w:rsidRPr="003E4C34">
        <w:rPr>
          <w:lang w:val="en-US"/>
        </w:rPr>
        <w:t xml:space="preserve">o SQL </w:t>
      </w:r>
      <w:r w:rsidRPr="003E4C34">
        <w:t>и</w:t>
      </w:r>
      <w:r w:rsidRPr="003E4C34">
        <w:rPr>
          <w:lang w:val="en-US"/>
        </w:rPr>
        <w:t xml:space="preserve"> Entity Framework</w:t>
      </w:r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DA2AFD" w:rsidRDefault="00DA2AFD" w:rsidP="00DA2AFD">
      <w:pPr>
        <w:pStyle w:val="af4"/>
        <w:jc w:val="left"/>
      </w:pPr>
    </w:p>
    <w:p w:rsidR="00E20F88" w:rsidRPr="00E20F88" w:rsidRDefault="00E20F88" w:rsidP="00E20F88">
      <w:pPr>
        <w:pStyle w:val="af4"/>
      </w:pPr>
      <w:r w:rsidRPr="00E20F88">
        <w:t xml:space="preserve">Проведя сравнительный анализ ORM, выбор был сделан в пользу EF. Это решение объясняется более широким спектром возможностей при использовании </w:t>
      </w:r>
      <w:proofErr w:type="gramStart"/>
      <w:r w:rsidRPr="00E20F88">
        <w:t>данной</w:t>
      </w:r>
      <w:proofErr w:type="gramEnd"/>
      <w:r w:rsidRPr="00E20F88">
        <w:t xml:space="preserve"> ORM-технологии. 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r>
        <w:lastRenderedPageBreak/>
        <w:t xml:space="preserve">Особенности применения </w:t>
      </w:r>
      <w:r>
        <w:rPr>
          <w:lang w:val="en-US"/>
        </w:rPr>
        <w:t>ORM Entity Framework</w:t>
      </w:r>
    </w:p>
    <w:p w:rsidR="00584F3C" w:rsidRDefault="00584F3C" w:rsidP="00D94CF8">
      <w:pPr>
        <w:pStyle w:val="af4"/>
      </w:pPr>
    </w:p>
    <w:p w:rsidR="00DA2AFD" w:rsidRDefault="00DA2AFD">
      <w:pPr>
        <w:spacing w:after="200" w:line="276" w:lineRule="auto"/>
        <w:jc w:val="left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2" w:name="_Toc417326855"/>
      <w:bookmarkStart w:id="43" w:name="_Toc419717967"/>
      <w:r>
        <w:lastRenderedPageBreak/>
        <w:t>МАТЕМАТИЧЕСКОЕ ОБЕСПЕЧЕНИЕ СИСТЕМЫ</w:t>
      </w:r>
      <w:bookmarkEnd w:id="42"/>
      <w:bookmarkEnd w:id="4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4" w:name="_Toc417326856"/>
      <w:bookmarkStart w:id="45" w:name="_Toc419717968"/>
      <w:r>
        <w:lastRenderedPageBreak/>
        <w:t>ПРОГРАММНОЕ ОБЕСПЕЧЕНИЕ СИСТЕМЫ</w:t>
      </w:r>
      <w:bookmarkEnd w:id="44"/>
      <w:bookmarkEnd w:id="4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6" w:name="_Toc417326857"/>
      <w:bookmarkStart w:id="47" w:name="_Toc419717969"/>
      <w:r>
        <w:lastRenderedPageBreak/>
        <w:t>ТЕХНИЧЕСКОЕ ОБЕСПЕЧЕНИЕ СИСТЕМЫ</w:t>
      </w:r>
      <w:bookmarkEnd w:id="46"/>
      <w:bookmarkEnd w:id="4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8" w:name="_Toc417326858"/>
      <w:bookmarkStart w:id="49" w:name="_Toc419717970"/>
      <w:r>
        <w:lastRenderedPageBreak/>
        <w:t>ТЕСТИРОВАНИЕ СИСТЕМЫ</w:t>
      </w:r>
      <w:bookmarkEnd w:id="48"/>
      <w:bookmarkEnd w:id="4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0" w:name="_Toc417326859"/>
      <w:bookmarkStart w:id="51" w:name="_Toc419717971"/>
      <w:r>
        <w:lastRenderedPageBreak/>
        <w:t>ЭКОНОМИЧЕСКИЙ РАЗДЕЛ</w:t>
      </w:r>
      <w:bookmarkEnd w:id="50"/>
      <w:bookmarkEnd w:id="51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52" w:name="_Toc419717972"/>
      <w:r>
        <w:t>Расчет показателя трудоемкости для разработанного программного продукта</w:t>
      </w:r>
      <w:bookmarkEnd w:id="52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ED54AA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ED54AA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67</w:t>
      </w:r>
      <w:r w:rsidR="001C450B" w:rsidRPr="001C450B">
        <w:rPr>
          <w:shd w:val="clear" w:color="auto" w:fill="FFFFFF"/>
        </w:rPr>
        <w:t>,5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53" w:name="_Toc419717973"/>
      <w:r w:rsidR="00C01EA8">
        <w:t>Расчет затрат на материальные ресурсы и сырье</w:t>
      </w:r>
      <w:bookmarkEnd w:id="53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Default="00C01EA8" w:rsidP="00E7659B">
      <w:pPr>
        <w:pStyle w:val="af4"/>
        <w:rPr>
          <w:shd w:val="clear" w:color="auto" w:fill="FFFFFF"/>
          <w:lang w:val="en-US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ED54AA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ED54AA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ED54AA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</w:t>
      </w:r>
      <w:proofErr w:type="spellStart"/>
      <w:r w:rsidRPr="004F6611">
        <w:rPr>
          <w:shd w:val="clear" w:color="auto" w:fill="FFFFFF"/>
        </w:rPr>
        <w:t>мерятся</w:t>
      </w:r>
      <w:proofErr w:type="spellEnd"/>
      <w:r w:rsidRPr="004F6611">
        <w:rPr>
          <w:shd w:val="clear" w:color="auto" w:fill="FFFFFF"/>
        </w:rPr>
        <w:t xml:space="preserve">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153,7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171,39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54" w:name="_Toc419717974"/>
      <w:r w:rsidRPr="002238A4">
        <w:t>Расчет затрат на оплату труда</w:t>
      </w:r>
      <w:bookmarkEnd w:id="54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ED54AA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Default="007B211F" w:rsidP="007B211F">
      <w:pPr>
        <w:rPr>
          <w:rFonts w:eastAsiaTheme="majorEastAsia"/>
          <w:lang w:val="en-US"/>
        </w:rPr>
      </w:pPr>
    </w:p>
    <w:p w:rsidR="00E7659B" w:rsidRDefault="00E7659B" w:rsidP="007B211F">
      <w:pPr>
        <w:rPr>
          <w:rFonts w:eastAsiaTheme="majorEastAsia"/>
          <w:lang w:val="en-US"/>
        </w:rPr>
      </w:pPr>
    </w:p>
    <w:p w:rsidR="00E7659B" w:rsidRPr="00E7659B" w:rsidRDefault="00E7659B" w:rsidP="007B211F">
      <w:pPr>
        <w:rPr>
          <w:rFonts w:eastAsiaTheme="majorEastAsia"/>
          <w:lang w:val="en-US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1C450B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1C450B">
              <w:rPr>
                <w:color w:val="000000"/>
                <w:szCs w:val="28"/>
                <w:lang w:val="en-US"/>
              </w:rPr>
              <w:t>3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42 400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4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55" w:name="_Toc419717975"/>
      <w:r w:rsidRPr="007B211F">
        <w:t>Расчет отчислений в социальные фонды</w:t>
      </w:r>
      <w:bookmarkEnd w:id="55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Default="007B211F" w:rsidP="00B468DF">
      <w:pPr>
        <w:pStyle w:val="af4"/>
        <w:rPr>
          <w:lang w:val="en-US"/>
        </w:rPr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Default="00E7659B" w:rsidP="007B211F">
      <w:pPr>
        <w:ind w:firstLine="708"/>
        <w:rPr>
          <w:lang w:val="en-US"/>
        </w:rPr>
      </w:pPr>
    </w:p>
    <w:p w:rsidR="00E7659B" w:rsidRPr="00E7659B" w:rsidRDefault="00E7659B" w:rsidP="007B211F">
      <w:pPr>
        <w:ind w:firstLine="708"/>
        <w:rPr>
          <w:lang w:val="en-US"/>
        </w:rPr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43 400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56" w:name="_Toc419717976"/>
      <w:r w:rsidRPr="00A9260B">
        <w:rPr>
          <w:szCs w:val="20"/>
        </w:rPr>
        <w:t>Расчет амортизации оборудования</w:t>
      </w:r>
      <w:bookmarkEnd w:id="56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ED54AA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ED54AA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ED54AA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ED54AA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ED54AA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57" w:name="_Toc419717977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57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171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39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43 400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873B0F" w:rsidRDefault="00873B0F" w:rsidP="004E7614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89 696,19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58" w:name="_Toc419717978"/>
      <w:r>
        <w:t>Расчет плановой прибыли</w:t>
      </w:r>
      <w:bookmarkEnd w:id="58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ED54AA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=21 527,12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59" w:name="_Toc419717979"/>
      <w:r>
        <w:t>Расчет основных технико-экономических показателей и эффективности использования программного продукта</w:t>
      </w:r>
      <w:bookmarkEnd w:id="59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shd w:val="clear" w:color="auto" w:fill="FFFFFF"/>
        </w:rPr>
        <w:t>89</w:t>
      </w:r>
      <w:r w:rsidR="00873B0F">
        <w:rPr>
          <w:shd w:val="clear" w:color="auto" w:fill="FFFFFF"/>
          <w:lang w:val="en-US"/>
        </w:rPr>
        <w:t> </w:t>
      </w:r>
      <w:r w:rsidR="00873B0F" w:rsidRPr="00873B0F">
        <w:rPr>
          <w:shd w:val="clear" w:color="auto" w:fill="FFFFFF"/>
        </w:rPr>
        <w:t>696,19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ED54AA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ED54AA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Default="00C919C5" w:rsidP="00B468DF">
      <w:pPr>
        <w:pStyle w:val="af4"/>
      </w:pPr>
      <w:r>
        <w:t>Экономический эффект равен:</w:t>
      </w:r>
    </w:p>
    <w:p w:rsidR="00C919C5" w:rsidRDefault="00ED54AA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21 527,12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696,19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0" w:name="_Toc417326860"/>
      <w:bookmarkStart w:id="61" w:name="_Toc419717980"/>
      <w:r>
        <w:lastRenderedPageBreak/>
        <w:t xml:space="preserve">БЕЗОПАСНОСТЬ И ЭКОЛОГИЧНОСТЬ </w:t>
      </w:r>
      <w:bookmarkEnd w:id="60"/>
      <w:bookmarkEnd w:id="61"/>
      <w:r w:rsidR="00BD0CEF">
        <w:t>ПРОЕКТА</w:t>
      </w:r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2" w:name="_Toc419717981"/>
      <w:r>
        <w:t>Исходные данные</w:t>
      </w:r>
      <w:bookmarkEnd w:id="62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изучение принципов и методологий </w:t>
            </w: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lastRenderedPageBreak/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  <w:r w:rsidR="007B6B5A">
              <w:rPr>
                <w:sz w:val="24"/>
                <w:szCs w:val="24"/>
              </w:rPr>
              <w:t xml:space="preserve"> 9.3.3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3" w:name="_Toc419717982"/>
      <w:r>
        <w:t>Перечень нормативных документов</w:t>
      </w:r>
      <w:bookmarkEnd w:id="63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543B4C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64" w:name="_Toc419717983"/>
      <w:r>
        <w:t xml:space="preserve">Анализ </w:t>
      </w:r>
      <w:r w:rsidR="00285EC2">
        <w:t>потенциальных опасностей</w:t>
      </w:r>
      <w:bookmarkEnd w:id="64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.55pt;height:9in" o:ole="">
            <v:imagedata r:id="rId15" o:title=""/>
          </v:shape>
          <o:OLEObject Type="Embed" ProgID="Visio.Drawing.11" ShapeID="_x0000_i1027" DrawAspect="Content" ObjectID="_1493543613" r:id="rId16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65" w:name="_Toc419717984"/>
      <w:r>
        <w:lastRenderedPageBreak/>
        <w:t>Ана</w:t>
      </w:r>
      <w:r w:rsidR="00F925E2">
        <w:t>лиз вредных и опасных производственных факторов</w:t>
      </w:r>
      <w:bookmarkEnd w:id="65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5" type="#_x0000_t75" style="width:474.55pt;height:413.2pt" o:ole="">
            <v:imagedata r:id="rId17" o:title=""/>
          </v:shape>
          <o:OLEObject Type="Embed" ProgID="Visio.Drawing.11" ShapeID="_x0000_i1025" DrawAspect="Content" ObjectID="_1493543614" r:id="rId18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543B4C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543B4C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543B4C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543B4C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543B4C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543B4C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543B4C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543B4C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543B4C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543B4C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543B4C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543B4C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543B4C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543B4C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</w:t>
      </w:r>
      <w:proofErr w:type="gramStart"/>
      <w:r w:rsidR="00B808CC" w:rsidRPr="00FD590A">
        <w:t xml:space="preserve">Уровень глаз должен приходиться </w:t>
      </w:r>
      <w:r>
        <w:t>на центр или 2/3 высоты экрана</w:t>
      </w:r>
      <w:r w:rsidRPr="00B468DF">
        <w:t>;</w:t>
      </w:r>
      <w:proofErr w:type="gramEnd"/>
    </w:p>
    <w:p w:rsidR="00B808CC" w:rsidRPr="00FD590A" w:rsidRDefault="00211201" w:rsidP="00543B4C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543B4C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543B4C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543B4C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543B4C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543B4C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543B4C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543B4C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543B4C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543B4C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543B4C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543B4C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543B4C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543B4C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543B4C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543B4C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543B4C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543B4C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66" w:name="_Toc419717985"/>
      <w:r>
        <w:t>Анализ воздействия на окружающую среду</w:t>
      </w:r>
      <w:bookmarkEnd w:id="66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67" w:name="_Toc419717986"/>
      <w:r>
        <w:t>Анализ возможных чрезвычайных ситуаций</w:t>
      </w:r>
      <w:bookmarkEnd w:id="67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6" type="#_x0000_t75" style="width:474.55pt;height:552.85pt" o:ole="">
            <v:imagedata r:id="rId19" o:title=""/>
          </v:shape>
          <o:OLEObject Type="Embed" ProgID="Visio.Drawing.11" ShapeID="_x0000_i1026" DrawAspect="Content" ObjectID="_1493543615" r:id="rId20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543B4C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543B4C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68" w:name="_Toc419717987"/>
      <w:r>
        <w:t>Мероприятия по охране труда</w:t>
      </w:r>
      <w:bookmarkEnd w:id="68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543B4C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543B4C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543B4C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543B4C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69" w:name="_Toc419717988"/>
      <w:r>
        <w:t>Мероприятия по обеспечению комфортных условий труда</w:t>
      </w:r>
      <w:bookmarkEnd w:id="69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543B4C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543B4C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543B4C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543B4C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543B4C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543B4C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0" w:name="_Toc419717989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0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543B4C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543B4C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543B4C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543B4C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543B4C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543B4C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543B4C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543B4C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543B4C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1" w:name="_Toc419717990"/>
      <w:r w:rsidR="00F925E2">
        <w:t>Мероприятия по охране окружающей среды</w:t>
      </w:r>
      <w:bookmarkEnd w:id="71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543B4C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543B4C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543B4C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543B4C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2" w:name="_Toc419717991"/>
      <w:r w:rsidR="00F925E2">
        <w:t>Мероприятия по защите от чрезвычайных ситуаций</w:t>
      </w:r>
      <w:bookmarkEnd w:id="72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543B4C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543B4C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543B4C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73" w:name="_Toc419717992"/>
      <w:r w:rsidR="007A3016">
        <w:t>Расчетная часть</w:t>
      </w:r>
      <w:bookmarkEnd w:id="73"/>
    </w:p>
    <w:p w:rsidR="0098799A" w:rsidRDefault="0098799A" w:rsidP="00E448B9">
      <w:pPr>
        <w:pStyle w:val="3"/>
        <w:numPr>
          <w:ilvl w:val="2"/>
          <w:numId w:val="1"/>
        </w:numPr>
      </w:pPr>
      <w:bookmarkStart w:id="74" w:name="_Toc419717993"/>
      <w:r>
        <w:t>Расчет уровня шума на рабочем месте</w:t>
      </w:r>
      <w:bookmarkEnd w:id="74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75" w:name="_Toc419717994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75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ED54AA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ED54AA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ED54AA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76" w:name="_Toc419717995"/>
      <w:r w:rsidR="00F925E2">
        <w:t>Оценка эффективности принятых решений</w:t>
      </w:r>
      <w:bookmarkEnd w:id="76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77" w:name="_Toc417326861"/>
      <w:bookmarkStart w:id="78" w:name="_Toc419717996"/>
      <w:r>
        <w:lastRenderedPageBreak/>
        <w:t>ЗАКЛЮЧЕНИЕ</w:t>
      </w:r>
      <w:bookmarkEnd w:id="77"/>
      <w:bookmarkEnd w:id="78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B4C" w:rsidRDefault="00543B4C" w:rsidP="00712841">
      <w:r>
        <w:separator/>
      </w:r>
    </w:p>
  </w:endnote>
  <w:endnote w:type="continuationSeparator" w:id="0">
    <w:p w:rsidR="00543B4C" w:rsidRDefault="00543B4C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B4C" w:rsidRDefault="00543B4C" w:rsidP="00712841">
      <w:r>
        <w:separator/>
      </w:r>
    </w:p>
  </w:footnote>
  <w:footnote w:type="continuationSeparator" w:id="0">
    <w:p w:rsidR="00543B4C" w:rsidRDefault="00543B4C" w:rsidP="00712841">
      <w:r>
        <w:continuationSeparator/>
      </w:r>
    </w:p>
  </w:footnote>
  <w:footnote w:id="1">
    <w:p w:rsidR="00B468DF" w:rsidRDefault="00B468DF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B468DF" w:rsidRDefault="00B468DF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B468DF" w:rsidRPr="008034D0" w:rsidRDefault="00B468DF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B468DF" w:rsidRPr="00D569F7" w:rsidRDefault="00B468DF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B468DF" w:rsidRDefault="00B468DF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B468DF" w:rsidRDefault="00B468DF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B468DF" w:rsidRDefault="00B468DF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B468DF" w:rsidRPr="00512DB5" w:rsidRDefault="00B468DF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F" w:rsidRDefault="00B468DF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D94CF8">
                    <w:rPr>
                      <w:rFonts w:ascii="GOST type A" w:hAnsi="GOST type A"/>
                      <w:noProof/>
                      <w:sz w:val="24"/>
                    </w:rPr>
                    <w:t>31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B468DF" w:rsidRPr="0091662E" w:rsidRDefault="00B468DF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8DF" w:rsidRDefault="00B468DF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B468DF" w:rsidRDefault="00B468DF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20F88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B468DF" w:rsidRPr="00834C39" w:rsidRDefault="00B468DF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B468DF" w:rsidRPr="00834C39" w:rsidRDefault="00B468DF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B468DF" w:rsidRPr="00834C39" w:rsidRDefault="00B468DF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B468DF" w:rsidRPr="006D701C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B468DF" w:rsidRDefault="00B468DF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B468DF" w:rsidRPr="00834C39" w:rsidRDefault="00B468DF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B468DF" w:rsidRPr="00BC72A5" w:rsidRDefault="00B468DF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B468DF" w:rsidRPr="002F5725" w:rsidRDefault="00B468DF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B468DF" w:rsidRPr="00834C39" w:rsidRDefault="00B468DF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B468DF" w:rsidRDefault="00B468DF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B468DF" w:rsidRPr="00834C39" w:rsidRDefault="00B468DF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5"/>
  </w:num>
  <w:num w:numId="4">
    <w:abstractNumId w:val="19"/>
  </w:num>
  <w:num w:numId="5">
    <w:abstractNumId w:val="4"/>
  </w:num>
  <w:num w:numId="6">
    <w:abstractNumId w:val="24"/>
  </w:num>
  <w:num w:numId="7">
    <w:abstractNumId w:val="2"/>
  </w:num>
  <w:num w:numId="8">
    <w:abstractNumId w:val="1"/>
  </w:num>
  <w:num w:numId="9">
    <w:abstractNumId w:val="26"/>
  </w:num>
  <w:num w:numId="10">
    <w:abstractNumId w:val="25"/>
  </w:num>
  <w:num w:numId="11">
    <w:abstractNumId w:val="30"/>
  </w:num>
  <w:num w:numId="12">
    <w:abstractNumId w:val="3"/>
  </w:num>
  <w:num w:numId="13">
    <w:abstractNumId w:val="18"/>
  </w:num>
  <w:num w:numId="14">
    <w:abstractNumId w:val="28"/>
  </w:num>
  <w:num w:numId="15">
    <w:abstractNumId w:val="11"/>
  </w:num>
  <w:num w:numId="16">
    <w:abstractNumId w:val="20"/>
  </w:num>
  <w:num w:numId="17">
    <w:abstractNumId w:val="29"/>
  </w:num>
  <w:num w:numId="18">
    <w:abstractNumId w:val="9"/>
  </w:num>
  <w:num w:numId="19">
    <w:abstractNumId w:val="8"/>
  </w:num>
  <w:num w:numId="20">
    <w:abstractNumId w:val="15"/>
  </w:num>
  <w:num w:numId="21">
    <w:abstractNumId w:val="7"/>
  </w:num>
  <w:num w:numId="22">
    <w:abstractNumId w:val="0"/>
  </w:num>
  <w:num w:numId="23">
    <w:abstractNumId w:val="10"/>
  </w:num>
  <w:num w:numId="24">
    <w:abstractNumId w:val="16"/>
  </w:num>
  <w:num w:numId="25">
    <w:abstractNumId w:val="31"/>
  </w:num>
  <w:num w:numId="26">
    <w:abstractNumId w:val="27"/>
  </w:num>
  <w:num w:numId="27">
    <w:abstractNumId w:val="21"/>
  </w:num>
  <w:num w:numId="28">
    <w:abstractNumId w:val="22"/>
  </w:num>
  <w:num w:numId="29">
    <w:abstractNumId w:val="6"/>
  </w:num>
  <w:num w:numId="30">
    <w:abstractNumId w:val="12"/>
  </w:num>
  <w:num w:numId="31">
    <w:abstractNumId w:val="14"/>
  </w:num>
  <w:num w:numId="32">
    <w:abstractNumId w:val="17"/>
  </w:num>
  <w:num w:numId="33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2AB7"/>
    <w:rsid w:val="00065384"/>
    <w:rsid w:val="00072087"/>
    <w:rsid w:val="000831F9"/>
    <w:rsid w:val="00095C84"/>
    <w:rsid w:val="00095DB3"/>
    <w:rsid w:val="000A70F8"/>
    <w:rsid w:val="000C48CF"/>
    <w:rsid w:val="000D0267"/>
    <w:rsid w:val="000D4F59"/>
    <w:rsid w:val="000E31B1"/>
    <w:rsid w:val="00103256"/>
    <w:rsid w:val="00104D5D"/>
    <w:rsid w:val="001113C9"/>
    <w:rsid w:val="00146399"/>
    <w:rsid w:val="00146D46"/>
    <w:rsid w:val="00147995"/>
    <w:rsid w:val="001759DA"/>
    <w:rsid w:val="001B0B3D"/>
    <w:rsid w:val="001B191A"/>
    <w:rsid w:val="001C054A"/>
    <w:rsid w:val="001C450B"/>
    <w:rsid w:val="001F1E47"/>
    <w:rsid w:val="001F7C52"/>
    <w:rsid w:val="00204453"/>
    <w:rsid w:val="00205309"/>
    <w:rsid w:val="00211201"/>
    <w:rsid w:val="002238A4"/>
    <w:rsid w:val="00236167"/>
    <w:rsid w:val="00250D67"/>
    <w:rsid w:val="00260A6D"/>
    <w:rsid w:val="00262146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2E3CF6"/>
    <w:rsid w:val="003042BA"/>
    <w:rsid w:val="00310A3D"/>
    <w:rsid w:val="003110DB"/>
    <w:rsid w:val="00315E67"/>
    <w:rsid w:val="0032334E"/>
    <w:rsid w:val="00325D41"/>
    <w:rsid w:val="00326079"/>
    <w:rsid w:val="00326D12"/>
    <w:rsid w:val="00335181"/>
    <w:rsid w:val="00337F37"/>
    <w:rsid w:val="00337FEF"/>
    <w:rsid w:val="00365281"/>
    <w:rsid w:val="003826C5"/>
    <w:rsid w:val="00391F6D"/>
    <w:rsid w:val="00394262"/>
    <w:rsid w:val="0039566E"/>
    <w:rsid w:val="00397891"/>
    <w:rsid w:val="003E1AFB"/>
    <w:rsid w:val="003E4C34"/>
    <w:rsid w:val="003E56FE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41FD"/>
    <w:rsid w:val="004C6727"/>
    <w:rsid w:val="004C7780"/>
    <w:rsid w:val="004D2E2D"/>
    <w:rsid w:val="004D4050"/>
    <w:rsid w:val="004E2189"/>
    <w:rsid w:val="004E7463"/>
    <w:rsid w:val="004E7614"/>
    <w:rsid w:val="004F2494"/>
    <w:rsid w:val="004F6611"/>
    <w:rsid w:val="005019C9"/>
    <w:rsid w:val="00512DB5"/>
    <w:rsid w:val="005226A7"/>
    <w:rsid w:val="00524061"/>
    <w:rsid w:val="00534D29"/>
    <w:rsid w:val="00535531"/>
    <w:rsid w:val="00542EDC"/>
    <w:rsid w:val="00543B4C"/>
    <w:rsid w:val="00553E81"/>
    <w:rsid w:val="00554AEC"/>
    <w:rsid w:val="005636D4"/>
    <w:rsid w:val="00571223"/>
    <w:rsid w:val="0057272B"/>
    <w:rsid w:val="00573121"/>
    <w:rsid w:val="00576D6F"/>
    <w:rsid w:val="00582F41"/>
    <w:rsid w:val="00584F3C"/>
    <w:rsid w:val="005907FD"/>
    <w:rsid w:val="00597B1D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F3D72"/>
    <w:rsid w:val="005F41F4"/>
    <w:rsid w:val="00603267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50B5"/>
    <w:rsid w:val="006B5B7F"/>
    <w:rsid w:val="006C503D"/>
    <w:rsid w:val="006C776D"/>
    <w:rsid w:val="006D42FB"/>
    <w:rsid w:val="006F0428"/>
    <w:rsid w:val="006F344E"/>
    <w:rsid w:val="006F4A7C"/>
    <w:rsid w:val="006F6683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37A30"/>
    <w:rsid w:val="007475E7"/>
    <w:rsid w:val="00750312"/>
    <w:rsid w:val="00750420"/>
    <w:rsid w:val="0075641D"/>
    <w:rsid w:val="00784CE3"/>
    <w:rsid w:val="007931EF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3B9F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76A8"/>
    <w:rsid w:val="00A33BEF"/>
    <w:rsid w:val="00A542A2"/>
    <w:rsid w:val="00A6521A"/>
    <w:rsid w:val="00A67F77"/>
    <w:rsid w:val="00A77567"/>
    <w:rsid w:val="00A8283B"/>
    <w:rsid w:val="00A909FA"/>
    <w:rsid w:val="00A9260B"/>
    <w:rsid w:val="00AA475D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68DF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5C9"/>
    <w:rsid w:val="00BA377E"/>
    <w:rsid w:val="00BC4079"/>
    <w:rsid w:val="00BC51E3"/>
    <w:rsid w:val="00BC72A5"/>
    <w:rsid w:val="00BD0CEF"/>
    <w:rsid w:val="00BD32EC"/>
    <w:rsid w:val="00BD3AE4"/>
    <w:rsid w:val="00BE0052"/>
    <w:rsid w:val="00BF6E3B"/>
    <w:rsid w:val="00C01EA8"/>
    <w:rsid w:val="00C06AA5"/>
    <w:rsid w:val="00C14CEA"/>
    <w:rsid w:val="00C22711"/>
    <w:rsid w:val="00C22ECB"/>
    <w:rsid w:val="00C37154"/>
    <w:rsid w:val="00C449F4"/>
    <w:rsid w:val="00C51055"/>
    <w:rsid w:val="00C62EFB"/>
    <w:rsid w:val="00C64719"/>
    <w:rsid w:val="00C72B1F"/>
    <w:rsid w:val="00C75DF5"/>
    <w:rsid w:val="00C771D6"/>
    <w:rsid w:val="00C80F1C"/>
    <w:rsid w:val="00C919C5"/>
    <w:rsid w:val="00CA0A2C"/>
    <w:rsid w:val="00CA2045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94294"/>
    <w:rsid w:val="00D94CF8"/>
    <w:rsid w:val="00DA2AFD"/>
    <w:rsid w:val="00DA41E1"/>
    <w:rsid w:val="00DA6DF4"/>
    <w:rsid w:val="00DB48E1"/>
    <w:rsid w:val="00DC098E"/>
    <w:rsid w:val="00DC7CA3"/>
    <w:rsid w:val="00DD1282"/>
    <w:rsid w:val="00DD38DA"/>
    <w:rsid w:val="00DD51DC"/>
    <w:rsid w:val="00DE3D6B"/>
    <w:rsid w:val="00E146F7"/>
    <w:rsid w:val="00E20F88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7659B"/>
    <w:rsid w:val="00E77593"/>
    <w:rsid w:val="00E82D0E"/>
    <w:rsid w:val="00E8360E"/>
    <w:rsid w:val="00EA6343"/>
    <w:rsid w:val="00EB0256"/>
    <w:rsid w:val="00EB21F4"/>
    <w:rsid w:val="00EC4147"/>
    <w:rsid w:val="00ED0051"/>
    <w:rsid w:val="00ED4A05"/>
    <w:rsid w:val="00ED54AA"/>
    <w:rsid w:val="00F20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583C"/>
    <w:rsid w:val="00FC7CAA"/>
    <w:rsid w:val="00FD590A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8D7EF-9F60-47BE-969E-E3B0DB45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72</Pages>
  <Words>11800</Words>
  <Characters>67264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188</cp:revision>
  <cp:lastPrinted>2015-05-14T06:36:00Z</cp:lastPrinted>
  <dcterms:created xsi:type="dcterms:W3CDTF">2015-04-21T07:44:00Z</dcterms:created>
  <dcterms:modified xsi:type="dcterms:W3CDTF">2015-05-19T09:26:00Z</dcterms:modified>
</cp:coreProperties>
</file>