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40" w:rsidRPr="00CD6B28" w:rsidRDefault="00A236E0" w:rsidP="00945FEA">
      <w:pPr>
        <w:spacing w:line="276" w:lineRule="auto"/>
        <w:ind w:firstLine="0"/>
        <w:jc w:val="center"/>
        <w:rPr>
          <w:b/>
          <w:sz w:val="32"/>
          <w:szCs w:val="32"/>
        </w:rPr>
      </w:pPr>
      <w:r w:rsidRPr="00CD6B28">
        <w:rPr>
          <w:b/>
          <w:sz w:val="32"/>
          <w:szCs w:val="32"/>
        </w:rPr>
        <w:t>В.М.</w:t>
      </w:r>
      <w:r>
        <w:rPr>
          <w:b/>
          <w:sz w:val="32"/>
          <w:szCs w:val="32"/>
        </w:rPr>
        <w:t xml:space="preserve"> </w:t>
      </w:r>
      <w:proofErr w:type="spellStart"/>
      <w:r w:rsidR="000567BF" w:rsidRPr="00CD6B28">
        <w:rPr>
          <w:b/>
          <w:sz w:val="32"/>
          <w:szCs w:val="32"/>
        </w:rPr>
        <w:t>Кандаулов</w:t>
      </w:r>
      <w:proofErr w:type="spellEnd"/>
      <w:r w:rsidR="000567BF" w:rsidRPr="00CD6B28">
        <w:rPr>
          <w:b/>
          <w:sz w:val="32"/>
          <w:szCs w:val="32"/>
        </w:rPr>
        <w:t xml:space="preserve">, </w:t>
      </w:r>
      <w:r w:rsidRPr="00CD6B28">
        <w:rPr>
          <w:b/>
          <w:sz w:val="32"/>
          <w:szCs w:val="32"/>
        </w:rPr>
        <w:t>М.И.</w:t>
      </w:r>
      <w:r>
        <w:rPr>
          <w:b/>
          <w:sz w:val="32"/>
          <w:szCs w:val="32"/>
        </w:rPr>
        <w:t xml:space="preserve"> </w:t>
      </w:r>
      <w:proofErr w:type="spellStart"/>
      <w:r w:rsidR="000567BF" w:rsidRPr="00CD6B28">
        <w:rPr>
          <w:b/>
          <w:sz w:val="32"/>
          <w:szCs w:val="32"/>
        </w:rPr>
        <w:t>Поковба</w:t>
      </w:r>
      <w:proofErr w:type="spellEnd"/>
      <w:r w:rsidR="00945FEA" w:rsidRPr="00CD6B28">
        <w:rPr>
          <w:b/>
          <w:sz w:val="32"/>
          <w:szCs w:val="32"/>
        </w:rPr>
        <w:t xml:space="preserve">, </w:t>
      </w:r>
      <w:r w:rsidR="009205F9" w:rsidRPr="00CD6B28">
        <w:rPr>
          <w:b/>
          <w:sz w:val="32"/>
          <w:szCs w:val="32"/>
        </w:rPr>
        <w:t xml:space="preserve">А.С. </w:t>
      </w:r>
      <w:proofErr w:type="spellStart"/>
      <w:r w:rsidR="00605E40" w:rsidRPr="00CD6B28">
        <w:rPr>
          <w:b/>
          <w:sz w:val="32"/>
          <w:szCs w:val="32"/>
        </w:rPr>
        <w:t>Желепов</w:t>
      </w:r>
      <w:proofErr w:type="spellEnd"/>
      <w:r w:rsidR="004F1AE4">
        <w:rPr>
          <w:rStyle w:val="af1"/>
          <w:b/>
          <w:sz w:val="32"/>
          <w:szCs w:val="32"/>
        </w:rPr>
        <w:footnoteReference w:id="1"/>
      </w:r>
    </w:p>
    <w:p w:rsidR="009205F9" w:rsidRPr="00A236E0" w:rsidRDefault="00E16B86" w:rsidP="00C30C76">
      <w:pPr>
        <w:pStyle w:val="1"/>
        <w:rPr>
          <w:rFonts w:eastAsia="Times New Roman"/>
        </w:rPr>
      </w:pPr>
      <w:r>
        <w:rPr>
          <w:rFonts w:eastAsia="Times New Roman"/>
        </w:rPr>
        <w:t>ОРГАНИЗАЦИЯ МЕЖРОГРАММНОГО ВЗАИМОДЕЙСТВИЯ ФЕДЕРАЛЬНОЙ И РЕГИОНАЛЬНОЙ СИСТЕМ ОБЪЕКТОВОГО УЧЕТА</w:t>
      </w:r>
    </w:p>
    <w:p w:rsidR="00CD6B28" w:rsidRPr="00A236E0" w:rsidRDefault="00CD6B28" w:rsidP="00CD6B28"/>
    <w:p w:rsidR="00605E40" w:rsidRPr="00015D32" w:rsidRDefault="00605E40" w:rsidP="00C73520">
      <w:pPr>
        <w:pStyle w:val="a5"/>
        <w:pBdr>
          <w:top w:val="single" w:sz="4" w:space="1" w:color="auto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 w:rsidRPr="00015D32">
        <w:rPr>
          <w:rFonts w:ascii="Times New Roman" w:eastAsia="Times New Roman" w:hAnsi="Times New Roman" w:cs="Times New Roman"/>
          <w:b/>
          <w:sz w:val="26"/>
          <w:szCs w:val="26"/>
        </w:rPr>
        <w:t>Аннотация</w:t>
      </w:r>
      <w:r w:rsidR="00015D32" w:rsidRPr="00015D32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015D3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94CE6">
        <w:rPr>
          <w:rFonts w:ascii="Times New Roman" w:eastAsia="Times New Roman" w:hAnsi="Times New Roman" w:cs="Times New Roman"/>
          <w:sz w:val="26"/>
          <w:szCs w:val="26"/>
        </w:rPr>
        <w:t>В статье рассматрива</w:t>
      </w:r>
      <w:r w:rsidR="001E31D9">
        <w:rPr>
          <w:rFonts w:ascii="Times New Roman" w:eastAsia="Times New Roman" w:hAnsi="Times New Roman" w:cs="Times New Roman"/>
          <w:sz w:val="26"/>
          <w:szCs w:val="26"/>
        </w:rPr>
        <w:t xml:space="preserve">ются основные методологии разработки механизмов взаимодействия информационных систем. </w:t>
      </w:r>
      <w:r w:rsidR="00A1336C">
        <w:rPr>
          <w:rFonts w:ascii="Times New Roman" w:eastAsia="Times New Roman" w:hAnsi="Times New Roman" w:cs="Times New Roman"/>
          <w:sz w:val="26"/>
          <w:szCs w:val="26"/>
        </w:rPr>
        <w:t xml:space="preserve">Приводится описание возможностей федерального портала «Реформа ЖКХ» и </w:t>
      </w:r>
      <w:r w:rsidR="00A1336C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r w:rsidR="00A1336C" w:rsidRPr="00A1336C">
        <w:rPr>
          <w:rFonts w:ascii="Times New Roman" w:eastAsia="Times New Roman" w:hAnsi="Times New Roman" w:cs="Times New Roman"/>
          <w:sz w:val="26"/>
          <w:szCs w:val="26"/>
        </w:rPr>
        <w:t>-</w:t>
      </w:r>
      <w:r w:rsidR="00A1336C">
        <w:rPr>
          <w:rFonts w:ascii="Times New Roman" w:eastAsia="Times New Roman" w:hAnsi="Times New Roman" w:cs="Times New Roman"/>
          <w:sz w:val="26"/>
          <w:szCs w:val="26"/>
        </w:rPr>
        <w:t xml:space="preserve">интерфейса, предоставляемого разработчиками для </w:t>
      </w:r>
      <w:r w:rsidR="007B5765">
        <w:rPr>
          <w:rFonts w:ascii="Times New Roman" w:eastAsia="Times New Roman" w:hAnsi="Times New Roman" w:cs="Times New Roman"/>
          <w:sz w:val="26"/>
          <w:szCs w:val="26"/>
        </w:rPr>
        <w:t xml:space="preserve">интеграции с внешними системами. Рассматривается реальный пример интеграции федерального портала и региональной системы объектового учета.   </w:t>
      </w:r>
      <w:r w:rsidR="00A1336C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1E31D9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:rsidR="00605E40" w:rsidRDefault="00605E40" w:rsidP="00605E40">
      <w:pPr>
        <w:pStyle w:val="a5"/>
        <w:rPr>
          <w:rFonts w:ascii="Times New Roman" w:eastAsia="Times New Roman" w:hAnsi="Times New Roman" w:cs="Times New Roman"/>
          <w:sz w:val="32"/>
        </w:rPr>
      </w:pPr>
    </w:p>
    <w:p w:rsidR="00605E40" w:rsidRPr="00C11F81" w:rsidRDefault="00605E40" w:rsidP="009205F9">
      <w:pPr>
        <w:pStyle w:val="a5"/>
        <w:pBdr>
          <w:bottom w:val="single" w:sz="4" w:space="1" w:color="auto"/>
        </w:pBdr>
        <w:rPr>
          <w:rFonts w:ascii="Times New Roman" w:eastAsia="Times New Roman" w:hAnsi="Times New Roman" w:cs="Times New Roman"/>
          <w:sz w:val="26"/>
          <w:szCs w:val="26"/>
        </w:rPr>
      </w:pPr>
      <w:r w:rsidRPr="00015D32">
        <w:rPr>
          <w:rFonts w:ascii="Times New Roman" w:eastAsia="Times New Roman" w:hAnsi="Times New Roman" w:cs="Times New Roman"/>
          <w:b/>
          <w:sz w:val="26"/>
          <w:szCs w:val="26"/>
        </w:rPr>
        <w:t>Ключевые слова:</w:t>
      </w:r>
      <w:r w:rsidR="00015D32" w:rsidRPr="00015D3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01AA">
        <w:rPr>
          <w:rFonts w:ascii="Times New Roman" w:eastAsia="Times New Roman" w:hAnsi="Times New Roman" w:cs="Times New Roman"/>
          <w:sz w:val="26"/>
          <w:szCs w:val="26"/>
          <w:lang w:val="en-US"/>
        </w:rPr>
        <w:t>reformagkh</w:t>
      </w:r>
      <w:proofErr w:type="spellEnd"/>
      <w:r w:rsidR="003401AA" w:rsidRPr="003401AA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Start"/>
      <w:r w:rsidR="003401AA">
        <w:rPr>
          <w:rFonts w:ascii="Times New Roman" w:eastAsia="Times New Roman" w:hAnsi="Times New Roman" w:cs="Times New Roman"/>
          <w:sz w:val="26"/>
          <w:szCs w:val="26"/>
          <w:lang w:val="en-US"/>
        </w:rPr>
        <w:t>ru</w:t>
      </w:r>
      <w:proofErr w:type="spellEnd"/>
      <w:r w:rsidR="003401AA" w:rsidRPr="003401A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0828A5">
        <w:rPr>
          <w:rFonts w:ascii="Times New Roman" w:eastAsia="Times New Roman" w:hAnsi="Times New Roman" w:cs="Times New Roman"/>
          <w:sz w:val="26"/>
          <w:szCs w:val="26"/>
        </w:rPr>
        <w:t>интеграция</w:t>
      </w:r>
      <w:r w:rsidR="00C73520" w:rsidRPr="00C73520">
        <w:rPr>
          <w:rFonts w:ascii="Times New Roman" w:eastAsia="Times New Roman" w:hAnsi="Times New Roman" w:cs="Times New Roman"/>
          <w:sz w:val="26"/>
          <w:szCs w:val="26"/>
        </w:rPr>
        <w:t>,</w:t>
      </w:r>
      <w:r w:rsidR="000828A5">
        <w:rPr>
          <w:rFonts w:ascii="Times New Roman" w:eastAsia="Times New Roman" w:hAnsi="Times New Roman" w:cs="Times New Roman"/>
          <w:sz w:val="26"/>
          <w:szCs w:val="26"/>
        </w:rPr>
        <w:t xml:space="preserve"> информационная система</w:t>
      </w:r>
      <w:r w:rsidR="00D13EAC" w:rsidRPr="00D13EA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D13EAC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r w:rsidR="00D13EAC" w:rsidRPr="00D13EAC">
        <w:rPr>
          <w:rFonts w:ascii="Times New Roman" w:eastAsia="Times New Roman" w:hAnsi="Times New Roman" w:cs="Times New Roman"/>
          <w:sz w:val="26"/>
          <w:szCs w:val="26"/>
        </w:rPr>
        <w:t>-</w:t>
      </w:r>
      <w:r w:rsidR="00D13EAC">
        <w:rPr>
          <w:rFonts w:ascii="Times New Roman" w:eastAsia="Times New Roman" w:hAnsi="Times New Roman" w:cs="Times New Roman"/>
          <w:sz w:val="26"/>
          <w:szCs w:val="26"/>
        </w:rPr>
        <w:t>интерфейс</w:t>
      </w:r>
      <w:r w:rsidR="00C11F81" w:rsidRPr="00C11F8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C11F81">
        <w:rPr>
          <w:rFonts w:ascii="Times New Roman" w:eastAsia="Times New Roman" w:hAnsi="Times New Roman" w:cs="Times New Roman"/>
          <w:sz w:val="26"/>
          <w:szCs w:val="26"/>
        </w:rPr>
        <w:t>АИС: Объектовый учет</w:t>
      </w:r>
      <w:r w:rsidR="009D0C1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7C4C67" w:rsidRPr="007C4C67" w:rsidRDefault="007C4C67" w:rsidP="003C6C30">
      <w:pPr>
        <w:ind w:firstLine="0"/>
        <w:rPr>
          <w:b/>
        </w:rPr>
      </w:pPr>
    </w:p>
    <w:p w:rsidR="00EE7684" w:rsidRDefault="00867E60" w:rsidP="003C6C30">
      <w:pPr>
        <w:ind w:firstLine="0"/>
      </w:pPr>
      <w:r w:rsidRPr="00867E60">
        <w:rPr>
          <w:b/>
        </w:rPr>
        <w:t>Введение</w:t>
      </w:r>
      <w:r w:rsidR="00782A5A" w:rsidRPr="00867E60">
        <w:rPr>
          <w:b/>
        </w:rPr>
        <w:t>.</w:t>
      </w:r>
      <w:bookmarkStart w:id="0" w:name="OLE_LINK11"/>
      <w:bookmarkStart w:id="1" w:name="OLE_LINK12"/>
      <w:r w:rsidR="00747683">
        <w:t xml:space="preserve"> </w:t>
      </w:r>
      <w:bookmarkEnd w:id="0"/>
      <w:bookmarkEnd w:id="1"/>
      <w:r w:rsidR="003C6C30" w:rsidRPr="003C6C30">
        <w:t xml:space="preserve">Интеграцией данных в информационных системах (ИС) называется обеспечение единого унифицированного интерфейса </w:t>
      </w:r>
      <w:r w:rsidR="009A7C8B">
        <w:t xml:space="preserve">доступа </w:t>
      </w:r>
      <w:r w:rsidR="003C6C30" w:rsidRPr="003C6C30">
        <w:t xml:space="preserve">к неоднородным и независимым источникам информации. Чтобы понять процесс интеграции информационных систем достаточно представить ситуацию, когда необходимо организовать транспортное сообщение между берегами реки. В этом случае существует несколько решений проблемы: строительство моста или организация паромной переправы. Каждый из представленных способов имеет уникальные особенности. </w:t>
      </w:r>
      <w:r w:rsidR="00B10513">
        <w:t>И</w:t>
      </w:r>
      <w:r w:rsidR="003C6C30" w:rsidRPr="003C6C30">
        <w:t>нтеграция представляет</w:t>
      </w:r>
      <w:r w:rsidR="009C613E">
        <w:t xml:space="preserve"> собой</w:t>
      </w:r>
      <w:r w:rsidR="003C6C30" w:rsidRPr="003C6C30">
        <w:t xml:space="preserve"> достаточно сложную задачу, которая требует предварительного решения ряда вопросов:</w:t>
      </w:r>
    </w:p>
    <w:p w:rsidR="003C6C30" w:rsidRDefault="0026414A" w:rsidP="0026414A">
      <w:pPr>
        <w:pStyle w:val="a3"/>
        <w:numPr>
          <w:ilvl w:val="0"/>
          <w:numId w:val="26"/>
        </w:numPr>
      </w:pPr>
      <w:r>
        <w:t>У</w:t>
      </w:r>
      <w:r w:rsidR="003C6C30">
        <w:t>становить уровень интеграции, который определяется объемом передаваемых данных (т.е. нужно ответить на вопрос: необходимо ли “строить мост” или же достаточно ограничиться бо</w:t>
      </w:r>
      <w:r>
        <w:t>лее простым и быстрым решением).</w:t>
      </w:r>
    </w:p>
    <w:p w:rsidR="003C6C30" w:rsidRDefault="0026414A" w:rsidP="003C6C30">
      <w:pPr>
        <w:pStyle w:val="a3"/>
        <w:numPr>
          <w:ilvl w:val="0"/>
          <w:numId w:val="26"/>
        </w:numPr>
      </w:pPr>
      <w:r>
        <w:lastRenderedPageBreak/>
        <w:t>О</w:t>
      </w:r>
      <w:r w:rsidR="00DE4549">
        <w:t>пределить свойства и структуру</w:t>
      </w:r>
      <w:r w:rsidR="003C6C30">
        <w:t xml:space="preserve"> источников данных. Информационные системы, как правило, разрабатываются независимо друг от друг</w:t>
      </w:r>
      <w:r>
        <w:t>а и имеют различные архитектуры.</w:t>
      </w:r>
    </w:p>
    <w:p w:rsidR="003C6C30" w:rsidRDefault="0026414A" w:rsidP="003C6C30">
      <w:pPr>
        <w:pStyle w:val="a3"/>
        <w:numPr>
          <w:ilvl w:val="0"/>
          <w:numId w:val="26"/>
        </w:numPr>
      </w:pPr>
      <w:r>
        <w:t>В</w:t>
      </w:r>
      <w:r w:rsidR="003C6C30">
        <w:t>ыполнить анализ доступных технических возможностей. Анализ позволит установить способы интеграции и программные средства, которые могут быть применены в конкретном случае.</w:t>
      </w:r>
    </w:p>
    <w:p w:rsidR="003C6C30" w:rsidRDefault="003C6C30" w:rsidP="003C6C30">
      <w:pPr>
        <w:ind w:firstLine="0"/>
      </w:pPr>
      <w:r w:rsidRPr="003C6C30">
        <w:rPr>
          <w:b/>
        </w:rPr>
        <w:t>Механизмы взаимодействия информационных систем.</w:t>
      </w:r>
      <w:r>
        <w:t xml:space="preserve"> Существует множество </w:t>
      </w:r>
      <w:proofErr w:type="gramStart"/>
      <w:r>
        <w:t>методологий разработки механизмов взаимодействий информационных систем</w:t>
      </w:r>
      <w:proofErr w:type="gramEnd"/>
      <w:r>
        <w:t>. Самый распространенный из подходов заключается в  использовании API, представляющем собой набор готовых процедур и функций для использования во внешних программных продуктах. API-интерфейс строится на основе протоколов обмена данными, среди которых наибольшее распространение получили методологии REST</w:t>
      </w:r>
      <w:r w:rsidR="002D3541">
        <w:t xml:space="preserve"> </w:t>
      </w:r>
      <w:r w:rsidR="002D3541" w:rsidRPr="002D3541">
        <w:t>[1]</w:t>
      </w:r>
      <w:r>
        <w:t>, RPC и SOAP</w:t>
      </w:r>
      <w:r w:rsidR="002D3541" w:rsidRPr="002D3541">
        <w:t xml:space="preserve"> [2]</w:t>
      </w:r>
      <w:r>
        <w:t>.</w:t>
      </w:r>
    </w:p>
    <w:p w:rsidR="003C6C30" w:rsidRDefault="003C6C30" w:rsidP="003C6C30">
      <w:r>
        <w:t xml:space="preserve">REST является методом взаимодействия компонентов приложений в сети Интернет, при котором вызов API- процедуры или функции представляет собой HTTP-запрос. Необходимые данные передаются в качестве параметров запроса. </w:t>
      </w:r>
    </w:p>
    <w:p w:rsidR="003C6C30" w:rsidRDefault="003C6C30" w:rsidP="003C6C30">
      <w:r>
        <w:tab/>
        <w:t xml:space="preserve">Вызов удаленных процедур (RPC) позволяет выполнять функции в другом адресном пространстве, при этом данные передаются в качестве параметров вызываемых процедур. Особенностью этого подхода синхронизации данных является наличие двух компонентов: сетевого протокола обмена и языка </w:t>
      </w:r>
      <w:proofErr w:type="spellStart"/>
      <w:r>
        <w:t>сериализации</w:t>
      </w:r>
      <w:proofErr w:type="spellEnd"/>
      <w:r>
        <w:t xml:space="preserve"> объектов. В качестве транспортного уровня обычно используются протоколы UDP и TCP, а применяемые программные средства обеспечивают необходимый механизм </w:t>
      </w:r>
      <w:proofErr w:type="spellStart"/>
      <w:r>
        <w:t>сериализации</w:t>
      </w:r>
      <w:proofErr w:type="spellEnd"/>
      <w:r>
        <w:t xml:space="preserve"> данных.</w:t>
      </w:r>
    </w:p>
    <w:p w:rsidR="003C6C30" w:rsidRDefault="003C6C30" w:rsidP="003C6C30">
      <w:r>
        <w:tab/>
        <w:t xml:space="preserve">Методология SOAP позволяет производить обмен между информационными системами посредством отправки </w:t>
      </w:r>
      <w:proofErr w:type="gramStart"/>
      <w:r>
        <w:t>структурированных</w:t>
      </w:r>
      <w:proofErr w:type="gramEnd"/>
      <w:r>
        <w:t xml:space="preserve"> xml-сообщений. Преимущество этого подхода заключается в способе  представления данных, который позволяет повторить структуру любого передаваемого объекта. Библиотеки по </w:t>
      </w:r>
      <w:proofErr w:type="spellStart"/>
      <w:r>
        <w:t>сериализации</w:t>
      </w:r>
      <w:proofErr w:type="spellEnd"/>
      <w:r>
        <w:t>/</w:t>
      </w:r>
      <w:proofErr w:type="spellStart"/>
      <w:r>
        <w:t>десериализации</w:t>
      </w:r>
      <w:proofErr w:type="spellEnd"/>
      <w:r>
        <w:t xml:space="preserve"> xml-сообщений поддерживаются  множеством технологий программирования. </w:t>
      </w:r>
      <w:r>
        <w:lastRenderedPageBreak/>
        <w:t>Это делает методологию SOAP наиболее предпочтительной при выборе способа организации информационного обмена.</w:t>
      </w:r>
    </w:p>
    <w:p w:rsidR="003C6C30" w:rsidRPr="003C6C30" w:rsidRDefault="003C6C30" w:rsidP="003C6C30">
      <w:pPr>
        <w:ind w:firstLine="0"/>
      </w:pPr>
      <w:r w:rsidRPr="003C6C30">
        <w:rPr>
          <w:b/>
        </w:rPr>
        <w:t>Федеральная информационная система «Реформа ЖКХ».</w:t>
      </w:r>
      <w:r>
        <w:t xml:space="preserve"> </w:t>
      </w:r>
      <w:r w:rsidRPr="003C6C30">
        <w:t xml:space="preserve">Сфера жилищно-коммунального хозяйства (ЖКХ) является одной из самых </w:t>
      </w:r>
      <w:r w:rsidR="00457B51">
        <w:t>востребованных</w:t>
      </w:r>
      <w:r w:rsidRPr="003C6C30">
        <w:t xml:space="preserve"> площадок для разработки программных решений. Э</w:t>
      </w:r>
      <w:r w:rsidR="00436884">
        <w:t>то</w:t>
      </w:r>
      <w:r w:rsidRPr="003C6C30">
        <w:t xml:space="preserve"> объясняется возможностью программного решения существующих задач,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</w:t>
      </w:r>
      <w:r w:rsidR="00B45543">
        <w:t>квалифицированном</w:t>
      </w:r>
      <w:r w:rsidRPr="003C6C30">
        <w:t xml:space="preserve"> и своевременном решении коммунальных проблем управляющими компаниями.   </w:t>
      </w:r>
    </w:p>
    <w:p w:rsidR="003C6C30" w:rsidRPr="003C6C30" w:rsidRDefault="003C6C30" w:rsidP="003C6C30">
      <w:r w:rsidRPr="003C6C30">
        <w:tab/>
        <w:t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</w:t>
      </w:r>
      <w:r w:rsidR="00D525A1" w:rsidRPr="00D525A1">
        <w:t xml:space="preserve"> [3]</w:t>
      </w:r>
      <w:r w:rsidRPr="003C6C30">
        <w:t>. Согласно постановлению управляющие компании обязаны раскрывать информацию о реальном состоянии ЖКХ на федеральном портале “Реформа ЖКХ” (далее Реформа).</w:t>
      </w:r>
    </w:p>
    <w:p w:rsidR="003C6C30" w:rsidRPr="003C6C30" w:rsidRDefault="003C6C30" w:rsidP="003C6C30">
      <w:r w:rsidRPr="003C6C30">
        <w:t xml:space="preserve">Реформа представляет собой интернет-ресурс, при </w:t>
      </w:r>
      <w:proofErr w:type="gramStart"/>
      <w:r w:rsidRPr="003C6C30">
        <w:t>использовании</w:t>
      </w:r>
      <w:proofErr w:type="gramEnd"/>
      <w:r w:rsidRPr="003C6C30">
        <w:t xml:space="preserve"> которого пользователь имеет возможность ознакомиться с:</w:t>
      </w:r>
    </w:p>
    <w:p w:rsidR="003C6C30" w:rsidRDefault="006A2FAF" w:rsidP="003C6C30">
      <w:pPr>
        <w:pStyle w:val="a3"/>
        <w:numPr>
          <w:ilvl w:val="0"/>
          <w:numId w:val="28"/>
        </w:numPr>
      </w:pPr>
      <w:r>
        <w:t>Д</w:t>
      </w:r>
      <w:r w:rsidR="003C6C30">
        <w:t>анными процессов домоу</w:t>
      </w:r>
      <w:r>
        <w:t>правления, которые загружаются организациями.</w:t>
      </w:r>
    </w:p>
    <w:p w:rsidR="003C6C30" w:rsidRDefault="006A2FAF" w:rsidP="003C6C30">
      <w:pPr>
        <w:pStyle w:val="a3"/>
        <w:numPr>
          <w:ilvl w:val="0"/>
          <w:numId w:val="28"/>
        </w:numPr>
      </w:pPr>
      <w:r>
        <w:t>В</w:t>
      </w:r>
      <w:r w:rsidR="003C6C30">
        <w:t>сероссийским</w:t>
      </w:r>
      <w:r>
        <w:t xml:space="preserve"> рейтингом управляющих компаний.</w:t>
      </w:r>
    </w:p>
    <w:p w:rsidR="003C6C30" w:rsidRDefault="006A2FAF" w:rsidP="003C6C30">
      <w:pPr>
        <w:pStyle w:val="a3"/>
        <w:numPr>
          <w:ilvl w:val="0"/>
          <w:numId w:val="28"/>
        </w:numPr>
      </w:pPr>
      <w:r>
        <w:t>В</w:t>
      </w:r>
      <w:r w:rsidR="003C6C30">
        <w:t>сероссийским мониторингом решения задачи переселения граждан из аварийного и ветхого жилья.</w:t>
      </w:r>
    </w:p>
    <w:p w:rsidR="003C6C30" w:rsidRDefault="003C6C30" w:rsidP="003C6C30">
      <w:r>
        <w:t xml:space="preserve">Для предоставления данных управляющей 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возможность загружать и изменять данные </w:t>
      </w:r>
      <w:proofErr w:type="gramStart"/>
      <w:r>
        <w:t>по</w:t>
      </w:r>
      <w:proofErr w:type="gramEnd"/>
      <w:r>
        <w:t>:</w:t>
      </w:r>
    </w:p>
    <w:p w:rsidR="003C6C30" w:rsidRPr="003C6C30" w:rsidRDefault="003C6C30" w:rsidP="003C6C30">
      <w:pPr>
        <w:pStyle w:val="a3"/>
        <w:numPr>
          <w:ilvl w:val="0"/>
          <w:numId w:val="30"/>
        </w:numPr>
        <w:rPr>
          <w:lang w:eastAsia="ru-RU"/>
        </w:rPr>
      </w:pPr>
      <w:r w:rsidRPr="003C6C30">
        <w:rPr>
          <w:lang w:eastAsia="ru-RU"/>
        </w:rPr>
        <w:lastRenderedPageBreak/>
        <w:t>конструктивным элементам, состоянию и параметрам объекта;</w:t>
      </w:r>
    </w:p>
    <w:p w:rsidR="003C6C30" w:rsidRPr="003C6C30" w:rsidRDefault="003C6C30" w:rsidP="003C6C30">
      <w:pPr>
        <w:pStyle w:val="a3"/>
        <w:numPr>
          <w:ilvl w:val="0"/>
          <w:numId w:val="30"/>
        </w:numPr>
        <w:rPr>
          <w:lang w:eastAsia="ru-RU"/>
        </w:rPr>
      </w:pPr>
      <w:r w:rsidRPr="003C6C30">
        <w:rPr>
          <w:lang w:eastAsia="ru-RU"/>
        </w:rPr>
        <w:t>списку домов, находящихся в управлении;</w:t>
      </w:r>
    </w:p>
    <w:p w:rsidR="003C6C30" w:rsidRPr="003C6C30" w:rsidRDefault="003C6C30" w:rsidP="003C6C30">
      <w:pPr>
        <w:pStyle w:val="a3"/>
        <w:numPr>
          <w:ilvl w:val="0"/>
          <w:numId w:val="30"/>
        </w:numPr>
        <w:rPr>
          <w:lang w:eastAsia="ru-RU"/>
        </w:rPr>
      </w:pPr>
      <w:r w:rsidRPr="003C6C30">
        <w:rPr>
          <w:lang w:eastAsia="ru-RU"/>
        </w:rPr>
        <w:t xml:space="preserve">прикрепленным файлам нормативных актов и документов. </w:t>
      </w:r>
    </w:p>
    <w:p w:rsidR="003C6C30" w:rsidRDefault="003C6C30" w:rsidP="003C6C30">
      <w:r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3C6C30" w:rsidRDefault="003C6C30" w:rsidP="003C6C30">
      <w:r>
        <w:t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Проблема возникает во время загрузки данных в несколько источников одновременно (в  региональную систему и в Реформу), что приводит к дополнительным временным затратам на сопоставление данных. Разработчики федеральной системы предусмотрели этот вариант событий и предоставили API</w:t>
      </w:r>
      <w:r w:rsidR="0062154F" w:rsidRPr="0062154F">
        <w:t xml:space="preserve"> [4]</w:t>
      </w:r>
      <w:r>
        <w:t xml:space="preserve"> для интеграции с другими информационными системами.</w:t>
      </w:r>
    </w:p>
    <w:p w:rsidR="003C6C30" w:rsidRDefault="003C6C30" w:rsidP="003C6C30">
      <w:r>
        <w:t>Для организации обмена данными посредством API-интерфейса создатели портала использовали технологию web-служб</w:t>
      </w:r>
      <w:r w:rsidR="00B031AF" w:rsidRPr="00B031AF">
        <w:t xml:space="preserve"> [5]</w:t>
      </w:r>
      <w:r>
        <w:t xml:space="preserve">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</w:t>
      </w:r>
      <w:proofErr w:type="gramStart"/>
      <w:r>
        <w:t>образом</w:t>
      </w:r>
      <w:proofErr w:type="gramEnd"/>
      <w:r>
        <w:t xml:space="preserve"> реализован двусторонний канал обмена информацией.</w:t>
      </w:r>
    </w:p>
    <w:p w:rsidR="003C6C30" w:rsidRDefault="003C6C30" w:rsidP="003C6C30">
      <w:r>
        <w:t xml:space="preserve">Процесс обмена данными происходит по сценарию, </w:t>
      </w:r>
      <w:proofErr w:type="gramStart"/>
      <w:r>
        <w:t>состоящим</w:t>
      </w:r>
      <w:proofErr w:type="gramEnd"/>
      <w:r>
        <w:t xml:space="preserve"> из следующих действий:</w:t>
      </w:r>
    </w:p>
    <w:p w:rsidR="003C6C30" w:rsidRPr="003C6C30" w:rsidRDefault="003C6C30" w:rsidP="003C6C30">
      <w:pPr>
        <w:pStyle w:val="a3"/>
        <w:numPr>
          <w:ilvl w:val="0"/>
          <w:numId w:val="32"/>
        </w:numPr>
        <w:rPr>
          <w:lang w:eastAsia="ru-RU"/>
        </w:rPr>
      </w:pPr>
      <w:r w:rsidRPr="003C6C30">
        <w:rPr>
          <w:lang w:eastAsia="ru-RU"/>
        </w:rPr>
        <w:t xml:space="preserve">формирование структуры данных для информационного обмена. В программной реализации - это класс, описывающий некий объект </w:t>
      </w:r>
      <w:r w:rsidRPr="003C6C30">
        <w:rPr>
          <w:lang w:eastAsia="ru-RU"/>
        </w:rPr>
        <w:lastRenderedPageBreak/>
        <w:t>(паспорт дома, информация по организации за отчетный период и т.д.);</w:t>
      </w:r>
    </w:p>
    <w:p w:rsidR="003C6C30" w:rsidRPr="003C6C30" w:rsidRDefault="003C6C30" w:rsidP="003C6C30">
      <w:pPr>
        <w:pStyle w:val="a3"/>
        <w:numPr>
          <w:ilvl w:val="0"/>
          <w:numId w:val="32"/>
        </w:numPr>
        <w:rPr>
          <w:lang w:eastAsia="ru-RU"/>
        </w:rPr>
      </w:pPr>
      <w:r w:rsidRPr="003C6C30">
        <w:rPr>
          <w:lang w:eastAsia="ru-RU"/>
        </w:rPr>
        <w:t>преобразование структуры данных в xml-формат и отправка сообщения с помощью вызова API-функции;</w:t>
      </w:r>
    </w:p>
    <w:p w:rsidR="003C6C30" w:rsidRPr="003C6C30" w:rsidRDefault="003C6C30" w:rsidP="003C6C30">
      <w:pPr>
        <w:pStyle w:val="a3"/>
        <w:numPr>
          <w:ilvl w:val="0"/>
          <w:numId w:val="32"/>
        </w:numPr>
        <w:rPr>
          <w:lang w:eastAsia="ru-RU"/>
        </w:rPr>
      </w:pPr>
      <w:r w:rsidRPr="003C6C30">
        <w:rPr>
          <w:lang w:eastAsia="ru-RU"/>
        </w:rPr>
        <w:t xml:space="preserve">обработка ответа от web-службы Реформы. Ответ приходит в виде xml-сообщения. </w:t>
      </w:r>
    </w:p>
    <w:p w:rsidR="003C6C30" w:rsidRDefault="003C6C30" w:rsidP="003C6C30">
      <w:pPr>
        <w:ind w:firstLine="0"/>
      </w:pPr>
      <w:r w:rsidRPr="003C6C30">
        <w:rPr>
          <w:b/>
        </w:rPr>
        <w:t xml:space="preserve">Интеграция системы регионального объектового учета </w:t>
      </w:r>
      <w:proofErr w:type="gramStart"/>
      <w:r w:rsidRPr="003C6C30">
        <w:rPr>
          <w:b/>
        </w:rPr>
        <w:t>с</w:t>
      </w:r>
      <w:proofErr w:type="gramEnd"/>
      <w:r w:rsidRPr="003C6C30">
        <w:rPr>
          <w:b/>
        </w:rPr>
        <w:t xml:space="preserve"> «</w:t>
      </w:r>
      <w:proofErr w:type="gramStart"/>
      <w:r w:rsidRPr="003C6C30">
        <w:rPr>
          <w:b/>
        </w:rPr>
        <w:t>Реформа</w:t>
      </w:r>
      <w:proofErr w:type="gramEnd"/>
      <w:r w:rsidRPr="003C6C30">
        <w:rPr>
          <w:b/>
        </w:rPr>
        <w:t xml:space="preserve"> ЖКХ».</w:t>
      </w:r>
      <w:r>
        <w:t xml:space="preserve"> Модуль интеграция с федеральным порталом “Реформа ЖКХ” был разработан для региональной системы </w:t>
      </w:r>
      <w:r w:rsidR="00916265">
        <w:t>АИС: О</w:t>
      </w:r>
      <w:r>
        <w:t>бъектов</w:t>
      </w:r>
      <w:r w:rsidR="00916265">
        <w:t>ый</w:t>
      </w:r>
      <w:r>
        <w:t xml:space="preserve"> учет (далее ОУ). ОУ представляет собой программный продукт, который автоматизирует процессы работ, выполняемых управляющими организациями. Задача интеграции с Реформой была поставлена по просьбам пользователей, представителей управляющих компаний, которые обязаны согласно постановлению Правительства РФ раскрывать свои данные на федеральном портале.</w:t>
      </w:r>
    </w:p>
    <w:p w:rsidR="003C6C30" w:rsidRPr="003C6C30" w:rsidRDefault="003C6C30" w:rsidP="003C6C30">
      <w:r>
        <w:t>На начальном этапе разработки модуля интеграции был получен доступ к тестовому контуру федерального портала для проверки корректной работы API-процедур. По результатам анализа возможностей обмена данными были выявлены следующие проблемы:</w:t>
      </w:r>
    </w:p>
    <w:p w:rsidR="002F2402" w:rsidRPr="002F2402" w:rsidRDefault="00F65B8A" w:rsidP="003C6C30">
      <w:pPr>
        <w:pStyle w:val="a3"/>
        <w:numPr>
          <w:ilvl w:val="0"/>
          <w:numId w:val="33"/>
        </w:numPr>
      </w:pPr>
      <w:r>
        <w:t>н</w:t>
      </w:r>
      <w:r w:rsidR="003C6C30">
        <w:t xml:space="preserve">есовершенства методов API-интерфейса. </w:t>
      </w:r>
      <w:proofErr w:type="gramStart"/>
      <w:r w:rsidR="003C6C30">
        <w:t>При преобразовании WSDL-документа в программный код</w:t>
      </w:r>
      <w:r w:rsidR="007C2590">
        <w:t>,</w:t>
      </w:r>
      <w:r w:rsidR="003C6C30">
        <w:t xml:space="preserve"> настройка разрешения отправки сервисом ответных xml-сообщений на интеграционные запросы  производится вручную.</w:t>
      </w:r>
      <w:proofErr w:type="gramEnd"/>
      <w:r w:rsidR="003C6C30">
        <w:t xml:space="preserve"> Это </w:t>
      </w:r>
      <w:r w:rsidR="002F2402">
        <w:t>делается для того</w:t>
      </w:r>
      <w:r w:rsidR="003C6C30">
        <w:t xml:space="preserve">, </w:t>
      </w:r>
      <w:r w:rsidR="002F2402">
        <w:t>чтобы сервис мог возвращать ответные</w:t>
      </w:r>
      <w:r w:rsidR="003C6C30">
        <w:t xml:space="preserve"> сообщени</w:t>
      </w:r>
      <w:r w:rsidR="002F2402">
        <w:t>я</w:t>
      </w:r>
      <w:r w:rsidR="003C6C30">
        <w:t>, в том числе и об ошибках</w:t>
      </w:r>
      <w:r w:rsidR="002F2402" w:rsidRPr="002F2402">
        <w:t>;</w:t>
      </w:r>
    </w:p>
    <w:p w:rsidR="003C6C30" w:rsidRPr="003C6C30" w:rsidRDefault="00F65B8A" w:rsidP="003C6C30">
      <w:pPr>
        <w:pStyle w:val="a3"/>
        <w:numPr>
          <w:ilvl w:val="0"/>
          <w:numId w:val="33"/>
        </w:numPr>
      </w:pPr>
      <w:r>
        <w:t>п</w:t>
      </w:r>
      <w:r w:rsidR="003C6C30">
        <w:t>отребности разработки специального расширения на уровне отправки сообщений. При каждом подключении к сервису Реформой выдается специальный код сессии. По логике</w:t>
      </w:r>
      <w:r w:rsidR="007C2590">
        <w:t xml:space="preserve"> работы</w:t>
      </w:r>
      <w:r w:rsidR="003C6C30">
        <w:t xml:space="preserve"> ключ должен добавляться  средствами API в заголовок каждого отправляемого xml-сообщения. Но на практике его подстановкой занимается упомянутое дополнение</w:t>
      </w:r>
      <w:r w:rsidR="003C6C30" w:rsidRPr="007C2590">
        <w:t>;</w:t>
      </w:r>
    </w:p>
    <w:p w:rsidR="003C6C30" w:rsidRDefault="00F65B8A" w:rsidP="003C6C30">
      <w:pPr>
        <w:pStyle w:val="a3"/>
        <w:numPr>
          <w:ilvl w:val="0"/>
          <w:numId w:val="33"/>
        </w:numPr>
      </w:pPr>
      <w:r>
        <w:lastRenderedPageBreak/>
        <w:t>н</w:t>
      </w:r>
      <w:r w:rsidR="003C6C30">
        <w:t xml:space="preserve">еоднородности источников данных  ИС ОУ и “Реформа ЖКХ”. В ОУ архитектура паспорта объекта состоит из более чем 150 </w:t>
      </w:r>
      <w:proofErr w:type="gramStart"/>
      <w:r w:rsidR="003C6C30">
        <w:t>взаимосвязанных</w:t>
      </w:r>
      <w:proofErr w:type="gramEnd"/>
      <w:r w:rsidR="003C6C30">
        <w:t xml:space="preserve"> sql-таблиц. Поэтому сбор данных для структур API представляет собой очень непростую задачу. Она еще больше усложняется тем, что sql-запросы к базе данных ОУ должны быть “быстрыми”, в противном случае модуль интеграции может негативно повлиять на производительность работы приложения в целом</w:t>
      </w:r>
      <w:r w:rsidR="003C6C30" w:rsidRPr="003C6C30">
        <w:t>;</w:t>
      </w:r>
    </w:p>
    <w:p w:rsidR="003C6C30" w:rsidRDefault="003C6C30" w:rsidP="003C6C30">
      <w:pPr>
        <w:pStyle w:val="a3"/>
        <w:numPr>
          <w:ilvl w:val="0"/>
          <w:numId w:val="33"/>
        </w:numPr>
      </w:pPr>
      <w:r>
        <w:t>преобразования данных из sql-выборки в API-объект требует использования подключения сторонней библиотеки или написания собственного модуля привязки данных</w:t>
      </w:r>
      <w:r w:rsidRPr="003C6C30">
        <w:t>;</w:t>
      </w:r>
    </w:p>
    <w:p w:rsidR="003C6C30" w:rsidRDefault="003C6C30" w:rsidP="003C6C30">
      <w:pPr>
        <w:pStyle w:val="a3"/>
        <w:numPr>
          <w:ilvl w:val="0"/>
          <w:numId w:val="33"/>
        </w:numPr>
      </w:pPr>
      <w:r>
        <w:t xml:space="preserve">временного ограничения сессии подключения к Реформе. В случае отправки большого количества данных может произойти </w:t>
      </w:r>
      <w:r w:rsidR="00A44060">
        <w:t>разрыв соединения</w:t>
      </w:r>
      <w:r>
        <w:t xml:space="preserve"> по тайм-ауту. Для ее предотвращения требуется разработка дополнения, которое следит за состоянием подключения и при необходимости обновляет его.</w:t>
      </w:r>
    </w:p>
    <w:p w:rsidR="003C6C30" w:rsidRDefault="003C6C30" w:rsidP="003C6C30">
      <w:r>
        <w:t>На этапе проектирования архитектуры приложения интеграции был выбран модульный подход разработки</w:t>
      </w:r>
      <w:r w:rsidR="002B5FF9" w:rsidRPr="002B5FF9">
        <w:t xml:space="preserve"> [6]</w:t>
      </w:r>
      <w:r>
        <w:t>. Он подразумевает, что проект делится на смысловые части, каждая из которых программно независима и выполняет только свою часть работы. Результаты работы одного модуля используются другим и т.д. до непосредственной поставки данных в Реформу. На рисунке 1 показана схема работы приложения интеграции.</w:t>
      </w:r>
    </w:p>
    <w:p w:rsidR="003C6C30" w:rsidRDefault="003C6C30" w:rsidP="00B47A14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2755955" cy="2840474"/>
            <wp:effectExtent l="19050" t="0" r="6295" b="0"/>
            <wp:docPr id="2" name="Рисунок 1" descr="https://lh4.googleusercontent.com/QgXfJXn_sgzpjWjvj7YuentMJQbask9WWMC79S_M5Q1bob8_miTxiR1yqv9vJmRcuDbOobV05wzlEFv8fAk0I5YW51vCBuoJeW9yDtNwwXZCbUPApvAPdlRIqzJkKtt_Q4zkT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gXfJXn_sgzpjWjvj7YuentMJQbask9WWMC79S_M5Q1bob8_miTxiR1yqv9vJmRcuDbOobV05wzlEFv8fAk0I5YW51vCBuoJeW9yDtNwwXZCbUPApvAPdlRIqzJkKtt_Q4zkTL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699" cy="284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60" w:rsidRDefault="00217B60" w:rsidP="00B47A14">
      <w:pPr>
        <w:pStyle w:val="a6"/>
      </w:pPr>
      <w:bookmarkStart w:id="2" w:name="OLE_LINK62"/>
      <w:r>
        <w:t>    </w:t>
      </w:r>
      <w:r w:rsidR="003C6C30">
        <w:t>Рисунок 1. Схема работы интеграционного слоя для ОУ и Реформа ЖКХ</w:t>
      </w:r>
    </w:p>
    <w:p w:rsidR="00B47A14" w:rsidRPr="00B47A14" w:rsidRDefault="00B47A14" w:rsidP="00B47A14">
      <w:r w:rsidRPr="00B47A14">
        <w:t>Слой интеграции состоит из двух основных  компонентов - модуля формирования очереди запросов и приложения интеграции. Модель очереди запросов была выбрана не</w:t>
      </w:r>
      <w:r w:rsidR="0038180F">
        <w:t xml:space="preserve"> </w:t>
      </w:r>
      <w:r w:rsidRPr="00B47A14">
        <w:t xml:space="preserve">случайно, так как </w:t>
      </w:r>
      <w:r w:rsidR="00C07249">
        <w:t xml:space="preserve">с ее помощью проще реализовать </w:t>
      </w:r>
      <w:r w:rsidRPr="00B47A14">
        <w:t>программ</w:t>
      </w:r>
      <w:r w:rsidR="00C07249">
        <w:t>у</w:t>
      </w:r>
      <w:r w:rsidRPr="00B47A14">
        <w:t xml:space="preserve"> взаимодействия двух информационных систем. Модель на основании записей о действиях пользователя формирует список интеграционных запросов и записывает их в журнал. </w:t>
      </w:r>
    </w:p>
    <w:p w:rsidR="00B47A14" w:rsidRPr="00B47A14" w:rsidRDefault="00B47A14" w:rsidP="00B47A14">
      <w:r w:rsidRPr="00B47A14">
        <w:t>Затем приложение интеграции обращается к таблице с подготовленными запросами и вызывает соответствующие API функции. В процессе обмена данными проводится сохранение ответных сообщений от портала, что дает возможность пользователю ознакомиться с результатами произведенного обмена данными. В случае ошибок, возникших при выполнении запросов, представитель управляющей компании может уведомить службу поддержки информационной системы объектового учета или принять решение по их устранению самостоятельно.</w:t>
      </w:r>
    </w:p>
    <w:p w:rsidR="00B47A14" w:rsidRDefault="00B47A14" w:rsidP="00B47A14">
      <w:pPr>
        <w:ind w:firstLine="0"/>
      </w:pPr>
      <w:r>
        <w:rPr>
          <w:b/>
        </w:rPr>
        <w:t xml:space="preserve">Заключение. </w:t>
      </w:r>
      <w:r>
        <w:t>Модульный подход, использованный при разработке приложения интеграции,  решил указанные проблемы. Особенностями программного решения стали:</w:t>
      </w:r>
    </w:p>
    <w:p w:rsidR="00B47A14" w:rsidRDefault="00B47A14" w:rsidP="00B47A14">
      <w:pPr>
        <w:pStyle w:val="a3"/>
        <w:numPr>
          <w:ilvl w:val="0"/>
          <w:numId w:val="35"/>
        </w:numPr>
      </w:pPr>
      <w:r>
        <w:t xml:space="preserve">эффективность - выражается в сохранении результатов действий пользователя управляющей компании в интерфейсе системы объектового учета, а затем в формировании списка </w:t>
      </w:r>
      <w:r>
        <w:lastRenderedPageBreak/>
        <w:t>соответствующих запросов на изменение, добавление и удаление данных в Реформе;</w:t>
      </w:r>
    </w:p>
    <w:p w:rsidR="00B47A14" w:rsidRDefault="00B47A14" w:rsidP="00B47A14">
      <w:pPr>
        <w:pStyle w:val="a3"/>
        <w:numPr>
          <w:ilvl w:val="0"/>
          <w:numId w:val="35"/>
        </w:numPr>
      </w:pPr>
      <w:r>
        <w:t>независимость - приложение интеграции работает отдельно от основного проекта и выполняет только операции по обмену данными;</w:t>
      </w:r>
    </w:p>
    <w:p w:rsidR="00B47A14" w:rsidRDefault="00B47A14" w:rsidP="00B47A14">
      <w:pPr>
        <w:pStyle w:val="a3"/>
        <w:numPr>
          <w:ilvl w:val="0"/>
          <w:numId w:val="35"/>
        </w:numPr>
      </w:pPr>
      <w:r>
        <w:t>гибкость - благодаря модульной организации проект может быть легко дополнен новыми модулями;</w:t>
      </w:r>
    </w:p>
    <w:p w:rsidR="00B47A14" w:rsidRPr="00122235" w:rsidRDefault="00B47A14" w:rsidP="00B47A14">
      <w:pPr>
        <w:pStyle w:val="a3"/>
        <w:numPr>
          <w:ilvl w:val="0"/>
          <w:numId w:val="35"/>
        </w:numPr>
        <w:rPr>
          <w:sz w:val="19"/>
          <w:szCs w:val="19"/>
        </w:rPr>
      </w:pPr>
      <w:r>
        <w:t>универсальность - информационные системы постоянно меняются, поэтому модуль обмена данными разработан таким образом, что добавление нов</w:t>
      </w:r>
      <w:r w:rsidRPr="00B47A14">
        <w:rPr>
          <w:sz w:val="19"/>
          <w:szCs w:val="19"/>
        </w:rPr>
        <w:t xml:space="preserve">ых </w:t>
      </w:r>
      <w:r>
        <w:t>параметров для интеграции требует небольшого количества времени при сопровождении модуля интеграции.</w:t>
      </w:r>
    </w:p>
    <w:p w:rsidR="009B709B" w:rsidRDefault="009B709B" w:rsidP="00217B60">
      <w:pPr>
        <w:ind w:firstLine="0"/>
        <w:rPr>
          <w:b/>
        </w:rPr>
      </w:pPr>
      <w:r w:rsidRPr="000B3DF5">
        <w:rPr>
          <w:b/>
        </w:rPr>
        <w:t>Список источников</w:t>
      </w:r>
    </w:p>
    <w:p w:rsidR="002D3541" w:rsidRPr="002D3541" w:rsidRDefault="002D3541" w:rsidP="002D3541">
      <w:pPr>
        <w:pStyle w:val="normal"/>
        <w:numPr>
          <w:ilvl w:val="0"/>
          <w:numId w:val="11"/>
        </w:numPr>
        <w:spacing w:before="60" w:after="20" w:line="312" w:lineRule="auto"/>
        <w:contextualSpacing/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</w:pPr>
      <w:r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REST in Practice [</w:t>
      </w:r>
      <w:r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>Текст</w:t>
      </w:r>
      <w:r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]</w:t>
      </w:r>
      <w:r w:rsidRPr="00B50AFB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.</w:t>
      </w:r>
      <w:r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 Jim Webber, </w:t>
      </w:r>
      <w:proofErr w:type="spellStart"/>
      <w:r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Savas</w:t>
      </w:r>
      <w:proofErr w:type="spellEnd"/>
      <w:r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Parastatidis</w:t>
      </w:r>
      <w:proofErr w:type="spellEnd"/>
      <w:r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, Ian Robinson – O’Reilly Media, 2010 – 448 </w:t>
      </w:r>
      <w:r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>с</w:t>
      </w:r>
      <w:r w:rsidRPr="002D3541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.</w:t>
      </w:r>
    </w:p>
    <w:p w:rsidR="002D3541" w:rsidRDefault="002D3541" w:rsidP="002D3541">
      <w:pPr>
        <w:pStyle w:val="normal"/>
        <w:numPr>
          <w:ilvl w:val="0"/>
          <w:numId w:val="11"/>
        </w:numPr>
        <w:spacing w:before="60" w:after="20" w:line="312" w:lineRule="auto"/>
        <w:contextualSpacing/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</w:pPr>
      <w:r w:rsidRPr="002D3541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Rupert Anderson. </w:t>
      </w:r>
      <w:proofErr w:type="spellStart"/>
      <w:r w:rsidRPr="00511433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SoapUI</w:t>
      </w:r>
      <w:proofErr w:type="spellEnd"/>
      <w:r w:rsidRPr="00511433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 Cookbook [</w:t>
      </w:r>
      <w:r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>Текст</w:t>
      </w:r>
      <w:r w:rsidRPr="00511433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] – </w:t>
      </w:r>
      <w:proofErr w:type="spellStart"/>
      <w:r w:rsidRPr="00511433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Packt</w:t>
      </w:r>
      <w:proofErr w:type="spellEnd"/>
      <w:r w:rsidRPr="00511433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 Publishing, 2015. – 696 </w:t>
      </w:r>
      <w:r w:rsidRPr="00DC0139"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>с</w:t>
      </w:r>
      <w:r w:rsidRPr="00511433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.</w:t>
      </w:r>
    </w:p>
    <w:p w:rsidR="00000B47" w:rsidRPr="0062154F" w:rsidRDefault="00000B47" w:rsidP="00000B47">
      <w:pPr>
        <w:pStyle w:val="a3"/>
        <w:numPr>
          <w:ilvl w:val="0"/>
          <w:numId w:val="11"/>
        </w:numPr>
        <w:rPr>
          <w:b/>
        </w:rPr>
      </w:pPr>
      <w:r>
        <w:t>Правительство РФ. Постановление № 731</w:t>
      </w:r>
      <w:r w:rsidRPr="00E87049">
        <w:t xml:space="preserve"> [</w:t>
      </w:r>
      <w:r>
        <w:t>Электронный ресурс</w:t>
      </w:r>
      <w:r w:rsidRPr="00E87049">
        <w:t>]</w:t>
      </w:r>
      <w:r>
        <w:t xml:space="preserve"> – 2014 г. – Режим доступа: </w:t>
      </w:r>
      <w:hyperlink r:id="rId9" w:history="1">
        <w:r w:rsidRPr="008E7D2C">
          <w:rPr>
            <w:rStyle w:val="ad"/>
          </w:rPr>
          <w:t>http://base.garant.ru/12179104/</w:t>
        </w:r>
      </w:hyperlink>
    </w:p>
    <w:p w:rsidR="0062154F" w:rsidRPr="00993EB9" w:rsidRDefault="0062154F" w:rsidP="0062154F">
      <w:pPr>
        <w:pStyle w:val="normal"/>
        <w:numPr>
          <w:ilvl w:val="0"/>
          <w:numId w:val="11"/>
        </w:numPr>
        <w:spacing w:before="60" w:after="20" w:line="312" w:lineRule="auto"/>
        <w:contextualSpacing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Реформа ЖКХ</w:t>
      </w:r>
      <w:r w:rsidRPr="006070A6"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Официальная документация</w:t>
      </w:r>
      <w:r w:rsidRPr="006070A6"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[Электронный ресурс] – 2015 г. –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Р</w:t>
      </w:r>
      <w:r w:rsidRPr="006070A6"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ежим доступа: </w:t>
      </w:r>
      <w:hyperlink r:id="rId10" w:history="1">
        <w:r w:rsidRPr="005F5963">
          <w:rPr>
            <w:rStyle w:val="ad"/>
            <w:rFonts w:ascii="Times New Roman" w:eastAsia="Times New Roman" w:hAnsi="Times New Roman" w:cs="Times New Roman"/>
            <w:sz w:val="30"/>
            <w:szCs w:val="30"/>
          </w:rPr>
          <w:t>https://reformagkh.ru/misc/reglament_api.doc</w:t>
        </w:r>
      </w:hyperlink>
    </w:p>
    <w:p w:rsidR="00993EB9" w:rsidRPr="005410C9" w:rsidRDefault="00993EB9" w:rsidP="00993EB9">
      <w:pPr>
        <w:pStyle w:val="normal"/>
        <w:numPr>
          <w:ilvl w:val="0"/>
          <w:numId w:val="11"/>
        </w:numPr>
        <w:spacing w:before="60" w:after="20" w:line="312" w:lineRule="auto"/>
        <w:contextualSpacing/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</w:pPr>
      <w:r w:rsidRPr="002D3541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Adam Freeman. </w:t>
      </w:r>
      <w:r w:rsidRPr="005410C9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Expert ASP.NET Web API 2 for MVC Developers [</w:t>
      </w:r>
      <w:r w:rsidRPr="00511433"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>Текст</w:t>
      </w:r>
      <w:r w:rsidRPr="005410C9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] – </w:t>
      </w:r>
      <w:proofErr w:type="spellStart"/>
      <w:r w:rsidRPr="005410C9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A</w:t>
      </w:r>
      <w:r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p</w:t>
      </w:r>
      <w:r w:rsidRPr="005410C9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ress</w:t>
      </w:r>
      <w:proofErr w:type="spellEnd"/>
      <w:r w:rsidRPr="005410C9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 xml:space="preserve">, 2014. – 688 </w:t>
      </w:r>
      <w:r w:rsidRPr="00511433"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>с</w:t>
      </w:r>
      <w:r w:rsidRPr="005410C9"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  <w:t>.</w:t>
      </w:r>
    </w:p>
    <w:p w:rsidR="0062154F" w:rsidRPr="00DC0139" w:rsidRDefault="0062154F" w:rsidP="0062154F">
      <w:pPr>
        <w:pStyle w:val="normal"/>
        <w:numPr>
          <w:ilvl w:val="0"/>
          <w:numId w:val="11"/>
        </w:numPr>
        <w:spacing w:before="60" w:after="20" w:line="312" w:lineRule="auto"/>
        <w:contextualSpacing/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</w:pPr>
      <w:r w:rsidRPr="00DC0139"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 xml:space="preserve">Приемы объектно-ориентированного проектирования. Паттерны проектирования [Текст] / Э. Гамма, Р. </w:t>
      </w:r>
      <w:proofErr w:type="spellStart"/>
      <w:r w:rsidRPr="00DC0139"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>Хелм</w:t>
      </w:r>
      <w:proofErr w:type="spellEnd"/>
      <w:r w:rsidRPr="00DC0139"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 xml:space="preserve">, Р. Джонсон, Дж. </w:t>
      </w:r>
      <w:proofErr w:type="spellStart"/>
      <w:r w:rsidRPr="00DC0139"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>Влиссидес</w:t>
      </w:r>
      <w:proofErr w:type="spellEnd"/>
      <w:r w:rsidRPr="00DC0139">
        <w:rPr>
          <w:rFonts w:ascii="Times New Roman" w:eastAsiaTheme="minorHAnsi" w:hAnsi="Times New Roman" w:cstheme="minorBidi"/>
          <w:color w:val="auto"/>
          <w:sz w:val="30"/>
          <w:szCs w:val="22"/>
          <w:lang w:eastAsia="en-US"/>
        </w:rPr>
        <w:t xml:space="preserve"> – Санкт-Петербург: Питер, 2013. – 352 с.</w:t>
      </w:r>
    </w:p>
    <w:bookmarkEnd w:id="2"/>
    <w:p w:rsidR="008D1D6B" w:rsidRDefault="008D1D6B" w:rsidP="002D3541">
      <w:pPr>
        <w:pStyle w:val="normal"/>
        <w:spacing w:before="60" w:after="20" w:line="312" w:lineRule="auto"/>
        <w:ind w:left="720"/>
        <w:contextualSpacing/>
        <w:rPr>
          <w:rFonts w:ascii="Times New Roman" w:eastAsiaTheme="minorHAnsi" w:hAnsi="Times New Roman" w:cstheme="minorBidi"/>
          <w:color w:val="auto"/>
          <w:sz w:val="30"/>
          <w:szCs w:val="22"/>
          <w:lang w:val="en-US" w:eastAsia="en-US"/>
        </w:rPr>
      </w:pPr>
    </w:p>
    <w:sectPr w:rsidR="008D1D6B" w:rsidSect="009205F9">
      <w:footnotePr>
        <w:numFmt w:val="chicago"/>
      </w:footnotePr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990" w:rsidRDefault="00254990" w:rsidP="004F1AE4">
      <w:pPr>
        <w:spacing w:line="240" w:lineRule="auto"/>
      </w:pPr>
      <w:r>
        <w:separator/>
      </w:r>
    </w:p>
  </w:endnote>
  <w:endnote w:type="continuationSeparator" w:id="0">
    <w:p w:rsidR="00254990" w:rsidRDefault="00254990" w:rsidP="004F1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990" w:rsidRDefault="00254990" w:rsidP="004F1AE4">
      <w:pPr>
        <w:spacing w:line="240" w:lineRule="auto"/>
      </w:pPr>
      <w:r>
        <w:separator/>
      </w:r>
    </w:p>
  </w:footnote>
  <w:footnote w:type="continuationSeparator" w:id="0">
    <w:p w:rsidR="00254990" w:rsidRDefault="00254990" w:rsidP="004F1AE4">
      <w:pPr>
        <w:spacing w:line="240" w:lineRule="auto"/>
      </w:pPr>
      <w:r>
        <w:continuationSeparator/>
      </w:r>
    </w:p>
  </w:footnote>
  <w:footnote w:id="1">
    <w:p w:rsidR="004F1AE4" w:rsidRPr="003B3811" w:rsidRDefault="004F1AE4" w:rsidP="004F1AE4">
      <w:pPr>
        <w:pStyle w:val="af"/>
        <w:rPr>
          <w:sz w:val="26"/>
          <w:szCs w:val="26"/>
        </w:rPr>
      </w:pPr>
      <w:r>
        <w:rPr>
          <w:rStyle w:val="af1"/>
        </w:rPr>
        <w:footnoteRef/>
      </w:r>
      <w:r>
        <w:t xml:space="preserve"> </w:t>
      </w:r>
      <w:proofErr w:type="spellStart"/>
      <w:r w:rsidRPr="003B3811">
        <w:rPr>
          <w:sz w:val="26"/>
          <w:szCs w:val="26"/>
        </w:rPr>
        <w:t>Кандаулов</w:t>
      </w:r>
      <w:proofErr w:type="spellEnd"/>
      <w:r w:rsidRPr="003B3811">
        <w:rPr>
          <w:sz w:val="26"/>
          <w:szCs w:val="26"/>
        </w:rPr>
        <w:t xml:space="preserve"> Валерий Михайлович – к.т.н., доцент каф. ИВК;  Ульяновский государственный технический университет, Ульяновск</w:t>
      </w:r>
    </w:p>
    <w:p w:rsidR="004F1AE4" w:rsidRPr="00412861" w:rsidRDefault="004F1AE4" w:rsidP="004F1AE4">
      <w:pPr>
        <w:pStyle w:val="af"/>
        <w:rPr>
          <w:sz w:val="26"/>
          <w:szCs w:val="26"/>
        </w:rPr>
      </w:pPr>
      <w:proofErr w:type="spellStart"/>
      <w:r>
        <w:rPr>
          <w:sz w:val="26"/>
          <w:szCs w:val="26"/>
        </w:rPr>
        <w:t>Поковба</w:t>
      </w:r>
      <w:proofErr w:type="spellEnd"/>
      <w:r>
        <w:rPr>
          <w:sz w:val="26"/>
          <w:szCs w:val="26"/>
        </w:rPr>
        <w:t xml:space="preserve"> Михаил Иванович – начальник отделения разработки П</w:t>
      </w:r>
      <w:proofErr w:type="gramStart"/>
      <w:r>
        <w:rPr>
          <w:sz w:val="26"/>
          <w:szCs w:val="26"/>
        </w:rPr>
        <w:t>О ООО</w:t>
      </w:r>
      <w:proofErr w:type="gramEnd"/>
      <w:r>
        <w:rPr>
          <w:sz w:val="26"/>
          <w:szCs w:val="26"/>
        </w:rPr>
        <w:t xml:space="preserve"> «АИС Город»</w:t>
      </w:r>
      <w:r w:rsidRPr="00412861">
        <w:rPr>
          <w:sz w:val="26"/>
          <w:szCs w:val="26"/>
        </w:rPr>
        <w:t xml:space="preserve">; </w:t>
      </w:r>
      <w:r>
        <w:rPr>
          <w:sz w:val="26"/>
          <w:szCs w:val="26"/>
        </w:rPr>
        <w:t>Ульяновск</w:t>
      </w:r>
    </w:p>
    <w:p w:rsidR="004F1AE4" w:rsidRPr="003B3811" w:rsidRDefault="004F1AE4" w:rsidP="004F1AE4">
      <w:pPr>
        <w:pStyle w:val="af"/>
        <w:rPr>
          <w:sz w:val="26"/>
          <w:szCs w:val="26"/>
        </w:rPr>
      </w:pPr>
      <w:proofErr w:type="spellStart"/>
      <w:r w:rsidRPr="003B3811">
        <w:rPr>
          <w:sz w:val="26"/>
          <w:szCs w:val="26"/>
        </w:rPr>
        <w:t>Желепов</w:t>
      </w:r>
      <w:proofErr w:type="spellEnd"/>
      <w:r w:rsidRPr="003B3811">
        <w:rPr>
          <w:sz w:val="26"/>
          <w:szCs w:val="26"/>
        </w:rPr>
        <w:t xml:space="preserve"> Алексей Сергеевич – студент факультета </w:t>
      </w:r>
      <w:proofErr w:type="gramStart"/>
      <w:r w:rsidRPr="003B3811">
        <w:rPr>
          <w:sz w:val="26"/>
          <w:szCs w:val="26"/>
        </w:rPr>
        <w:t>ИСТ</w:t>
      </w:r>
      <w:proofErr w:type="gramEnd"/>
      <w:r w:rsidRPr="003B3811">
        <w:rPr>
          <w:sz w:val="26"/>
          <w:szCs w:val="26"/>
        </w:rPr>
        <w:t>; Ульяновский государственный технический университет, Ульяновск</w:t>
      </w:r>
    </w:p>
    <w:p w:rsidR="004F1AE4" w:rsidRDefault="004F1AE4">
      <w:pPr>
        <w:pStyle w:val="af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118"/>
    <w:multiLevelType w:val="hybridMultilevel"/>
    <w:tmpl w:val="C1C8B8DE"/>
    <w:lvl w:ilvl="0" w:tplc="3FAE4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F04B0"/>
    <w:multiLevelType w:val="hybridMultilevel"/>
    <w:tmpl w:val="90A8110E"/>
    <w:lvl w:ilvl="0" w:tplc="E3689C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1220A2"/>
    <w:multiLevelType w:val="multilevel"/>
    <w:tmpl w:val="378C3E3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19423400"/>
    <w:multiLevelType w:val="multilevel"/>
    <w:tmpl w:val="28EA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124F3"/>
    <w:multiLevelType w:val="multilevel"/>
    <w:tmpl w:val="6C1002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1D6C7326"/>
    <w:multiLevelType w:val="hybridMultilevel"/>
    <w:tmpl w:val="DBAE32E4"/>
    <w:lvl w:ilvl="0" w:tplc="20DAB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0A520C"/>
    <w:multiLevelType w:val="hybridMultilevel"/>
    <w:tmpl w:val="6F86D15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28E671D"/>
    <w:multiLevelType w:val="multilevel"/>
    <w:tmpl w:val="0CA2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DF61ED"/>
    <w:multiLevelType w:val="hybridMultilevel"/>
    <w:tmpl w:val="3F8079F2"/>
    <w:lvl w:ilvl="0" w:tplc="99FE1B38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0A616EC"/>
    <w:multiLevelType w:val="hybridMultilevel"/>
    <w:tmpl w:val="0882B002"/>
    <w:lvl w:ilvl="0" w:tplc="A3CEA3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3615780"/>
    <w:multiLevelType w:val="multilevel"/>
    <w:tmpl w:val="BAF2581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45A319F"/>
    <w:multiLevelType w:val="multilevel"/>
    <w:tmpl w:val="C246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EA48A3"/>
    <w:multiLevelType w:val="multilevel"/>
    <w:tmpl w:val="BAA8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390BAE"/>
    <w:multiLevelType w:val="hybridMultilevel"/>
    <w:tmpl w:val="0D5A7E5C"/>
    <w:lvl w:ilvl="0" w:tplc="936C1E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EC72332"/>
    <w:multiLevelType w:val="multilevel"/>
    <w:tmpl w:val="E62E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FF7EAE"/>
    <w:multiLevelType w:val="multilevel"/>
    <w:tmpl w:val="66A8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161525"/>
    <w:multiLevelType w:val="multilevel"/>
    <w:tmpl w:val="C2F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C44736"/>
    <w:multiLevelType w:val="hybridMultilevel"/>
    <w:tmpl w:val="5E0E9292"/>
    <w:lvl w:ilvl="0" w:tplc="18B2C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1043F8"/>
    <w:multiLevelType w:val="multilevel"/>
    <w:tmpl w:val="6E76243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535C2770"/>
    <w:multiLevelType w:val="multilevel"/>
    <w:tmpl w:val="498C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677F69"/>
    <w:multiLevelType w:val="multilevel"/>
    <w:tmpl w:val="52DC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C92AFC"/>
    <w:multiLevelType w:val="hybridMultilevel"/>
    <w:tmpl w:val="2A402F9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7104D8A"/>
    <w:multiLevelType w:val="hybridMultilevel"/>
    <w:tmpl w:val="3C8E65A0"/>
    <w:lvl w:ilvl="0" w:tplc="1BB677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7C15F2D"/>
    <w:multiLevelType w:val="hybridMultilevel"/>
    <w:tmpl w:val="81DE92E2"/>
    <w:lvl w:ilvl="0" w:tplc="6B7CF2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5270D"/>
    <w:multiLevelType w:val="hybridMultilevel"/>
    <w:tmpl w:val="CBFAD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845D80"/>
    <w:multiLevelType w:val="hybridMultilevel"/>
    <w:tmpl w:val="A8F65A30"/>
    <w:lvl w:ilvl="0" w:tplc="A23AFC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52D5B"/>
    <w:multiLevelType w:val="multilevel"/>
    <w:tmpl w:val="6562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D61813"/>
    <w:multiLevelType w:val="multilevel"/>
    <w:tmpl w:val="800849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5C91011D"/>
    <w:multiLevelType w:val="hybridMultilevel"/>
    <w:tmpl w:val="9A70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6C37F4"/>
    <w:multiLevelType w:val="hybridMultilevel"/>
    <w:tmpl w:val="76121F36"/>
    <w:lvl w:ilvl="0" w:tplc="80FE2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725F2"/>
    <w:multiLevelType w:val="hybridMultilevel"/>
    <w:tmpl w:val="FF783A60"/>
    <w:lvl w:ilvl="0" w:tplc="7BCA6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D31FC1"/>
    <w:multiLevelType w:val="hybridMultilevel"/>
    <w:tmpl w:val="EF2ABA28"/>
    <w:lvl w:ilvl="0" w:tplc="9D08BD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7217EC"/>
    <w:multiLevelType w:val="hybridMultilevel"/>
    <w:tmpl w:val="0E0E932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E993D70"/>
    <w:multiLevelType w:val="hybridMultilevel"/>
    <w:tmpl w:val="8AD0EDF4"/>
    <w:lvl w:ilvl="0" w:tplc="47001C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B15F2E"/>
    <w:multiLevelType w:val="hybridMultilevel"/>
    <w:tmpl w:val="9B42B6B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4"/>
  </w:num>
  <w:num w:numId="2">
    <w:abstractNumId w:val="27"/>
  </w:num>
  <w:num w:numId="3">
    <w:abstractNumId w:val="10"/>
  </w:num>
  <w:num w:numId="4">
    <w:abstractNumId w:val="25"/>
  </w:num>
  <w:num w:numId="5">
    <w:abstractNumId w:val="4"/>
  </w:num>
  <w:num w:numId="6">
    <w:abstractNumId w:val="0"/>
  </w:num>
  <w:num w:numId="7">
    <w:abstractNumId w:val="18"/>
  </w:num>
  <w:num w:numId="8">
    <w:abstractNumId w:val="29"/>
  </w:num>
  <w:num w:numId="9">
    <w:abstractNumId w:val="2"/>
  </w:num>
  <w:num w:numId="10">
    <w:abstractNumId w:val="5"/>
  </w:num>
  <w:num w:numId="11">
    <w:abstractNumId w:val="23"/>
  </w:num>
  <w:num w:numId="12">
    <w:abstractNumId w:val="11"/>
  </w:num>
  <w:num w:numId="13">
    <w:abstractNumId w:val="15"/>
  </w:num>
  <w:num w:numId="14">
    <w:abstractNumId w:val="31"/>
  </w:num>
  <w:num w:numId="15">
    <w:abstractNumId w:val="30"/>
  </w:num>
  <w:num w:numId="16">
    <w:abstractNumId w:val="17"/>
  </w:num>
  <w:num w:numId="17">
    <w:abstractNumId w:val="33"/>
  </w:num>
  <w:num w:numId="18">
    <w:abstractNumId w:val="13"/>
  </w:num>
  <w:num w:numId="19">
    <w:abstractNumId w:val="26"/>
  </w:num>
  <w:num w:numId="20">
    <w:abstractNumId w:val="22"/>
  </w:num>
  <w:num w:numId="21">
    <w:abstractNumId w:val="19"/>
  </w:num>
  <w:num w:numId="22">
    <w:abstractNumId w:val="9"/>
  </w:num>
  <w:num w:numId="23">
    <w:abstractNumId w:val="14"/>
  </w:num>
  <w:num w:numId="24">
    <w:abstractNumId w:val="1"/>
  </w:num>
  <w:num w:numId="25">
    <w:abstractNumId w:val="7"/>
  </w:num>
  <w:num w:numId="26">
    <w:abstractNumId w:val="8"/>
  </w:num>
  <w:num w:numId="27">
    <w:abstractNumId w:val="16"/>
  </w:num>
  <w:num w:numId="28">
    <w:abstractNumId w:val="32"/>
  </w:num>
  <w:num w:numId="29">
    <w:abstractNumId w:val="12"/>
  </w:num>
  <w:num w:numId="30">
    <w:abstractNumId w:val="21"/>
  </w:num>
  <w:num w:numId="31">
    <w:abstractNumId w:val="3"/>
  </w:num>
  <w:num w:numId="32">
    <w:abstractNumId w:val="6"/>
  </w:num>
  <w:num w:numId="33">
    <w:abstractNumId w:val="28"/>
  </w:num>
  <w:num w:numId="34">
    <w:abstractNumId w:val="20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/>
  <w:rsids>
    <w:rsidRoot w:val="00605E40"/>
    <w:rsid w:val="00000B47"/>
    <w:rsid w:val="00015D32"/>
    <w:rsid w:val="00045BD8"/>
    <w:rsid w:val="000534F4"/>
    <w:rsid w:val="000567BF"/>
    <w:rsid w:val="000828A5"/>
    <w:rsid w:val="00083654"/>
    <w:rsid w:val="000931BB"/>
    <w:rsid w:val="000B0E0B"/>
    <w:rsid w:val="000B286F"/>
    <w:rsid w:val="000B3DF5"/>
    <w:rsid w:val="000D4774"/>
    <w:rsid w:val="00122235"/>
    <w:rsid w:val="00124957"/>
    <w:rsid w:val="001422F9"/>
    <w:rsid w:val="001459C6"/>
    <w:rsid w:val="00192456"/>
    <w:rsid w:val="001D7D92"/>
    <w:rsid w:val="001E31D9"/>
    <w:rsid w:val="00217B60"/>
    <w:rsid w:val="00254990"/>
    <w:rsid w:val="0026414A"/>
    <w:rsid w:val="002B5FF9"/>
    <w:rsid w:val="002D0259"/>
    <w:rsid w:val="002D3541"/>
    <w:rsid w:val="002E34DC"/>
    <w:rsid w:val="002F2402"/>
    <w:rsid w:val="003206D8"/>
    <w:rsid w:val="00322516"/>
    <w:rsid w:val="003350C2"/>
    <w:rsid w:val="00337F37"/>
    <w:rsid w:val="003401AA"/>
    <w:rsid w:val="00373CEF"/>
    <w:rsid w:val="0038180F"/>
    <w:rsid w:val="003C6C30"/>
    <w:rsid w:val="004244BE"/>
    <w:rsid w:val="004320A7"/>
    <w:rsid w:val="00436884"/>
    <w:rsid w:val="00457341"/>
    <w:rsid w:val="00457B51"/>
    <w:rsid w:val="004D445C"/>
    <w:rsid w:val="004F1AE4"/>
    <w:rsid w:val="00511433"/>
    <w:rsid w:val="005410C9"/>
    <w:rsid w:val="0054324E"/>
    <w:rsid w:val="00560D90"/>
    <w:rsid w:val="0056489D"/>
    <w:rsid w:val="005C081E"/>
    <w:rsid w:val="005D7EBB"/>
    <w:rsid w:val="00605E40"/>
    <w:rsid w:val="006070A6"/>
    <w:rsid w:val="00617A3F"/>
    <w:rsid w:val="0062154F"/>
    <w:rsid w:val="006232A7"/>
    <w:rsid w:val="00650E96"/>
    <w:rsid w:val="00696CCE"/>
    <w:rsid w:val="006A2FAF"/>
    <w:rsid w:val="006F1C18"/>
    <w:rsid w:val="006F6683"/>
    <w:rsid w:val="00747683"/>
    <w:rsid w:val="00782A5A"/>
    <w:rsid w:val="007B5765"/>
    <w:rsid w:val="007C2590"/>
    <w:rsid w:val="007C4C67"/>
    <w:rsid w:val="00804544"/>
    <w:rsid w:val="00867E60"/>
    <w:rsid w:val="00894CE6"/>
    <w:rsid w:val="008D1D6B"/>
    <w:rsid w:val="00916265"/>
    <w:rsid w:val="009205F9"/>
    <w:rsid w:val="0094369C"/>
    <w:rsid w:val="00945FEA"/>
    <w:rsid w:val="00964BD6"/>
    <w:rsid w:val="0097110A"/>
    <w:rsid w:val="00993EB9"/>
    <w:rsid w:val="009A7C8B"/>
    <w:rsid w:val="009B709B"/>
    <w:rsid w:val="009C613E"/>
    <w:rsid w:val="009D0C18"/>
    <w:rsid w:val="009E4E54"/>
    <w:rsid w:val="00A1336C"/>
    <w:rsid w:val="00A15543"/>
    <w:rsid w:val="00A2323B"/>
    <w:rsid w:val="00A236E0"/>
    <w:rsid w:val="00A25ADE"/>
    <w:rsid w:val="00A44060"/>
    <w:rsid w:val="00AC4852"/>
    <w:rsid w:val="00AF4C90"/>
    <w:rsid w:val="00B02491"/>
    <w:rsid w:val="00B031AF"/>
    <w:rsid w:val="00B10513"/>
    <w:rsid w:val="00B20158"/>
    <w:rsid w:val="00B45543"/>
    <w:rsid w:val="00B47A14"/>
    <w:rsid w:val="00B50AFB"/>
    <w:rsid w:val="00B905CD"/>
    <w:rsid w:val="00C07249"/>
    <w:rsid w:val="00C11F81"/>
    <w:rsid w:val="00C30C76"/>
    <w:rsid w:val="00C73520"/>
    <w:rsid w:val="00CD6B28"/>
    <w:rsid w:val="00D13EAC"/>
    <w:rsid w:val="00D2709C"/>
    <w:rsid w:val="00D4330F"/>
    <w:rsid w:val="00D525A1"/>
    <w:rsid w:val="00D54C4F"/>
    <w:rsid w:val="00DC0139"/>
    <w:rsid w:val="00DC58F5"/>
    <w:rsid w:val="00DE4549"/>
    <w:rsid w:val="00E13F69"/>
    <w:rsid w:val="00E16B86"/>
    <w:rsid w:val="00E4481F"/>
    <w:rsid w:val="00E87049"/>
    <w:rsid w:val="00EA0CB6"/>
    <w:rsid w:val="00EC2E85"/>
    <w:rsid w:val="00EC43ED"/>
    <w:rsid w:val="00EE7684"/>
    <w:rsid w:val="00EE7EAF"/>
    <w:rsid w:val="00EF0C69"/>
    <w:rsid w:val="00F21D2C"/>
    <w:rsid w:val="00F65B8A"/>
    <w:rsid w:val="00F852BA"/>
    <w:rsid w:val="00F90C80"/>
    <w:rsid w:val="00FA48DD"/>
    <w:rsid w:val="00FD5CC9"/>
    <w:rsid w:val="00FE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683"/>
    <w:pPr>
      <w:spacing w:after="0" w:line="312" w:lineRule="auto"/>
      <w:ind w:firstLine="567"/>
      <w:jc w:val="both"/>
    </w:pPr>
    <w:rPr>
      <w:rFonts w:ascii="Times New Roman" w:hAnsi="Times New Roman"/>
      <w:sz w:val="30"/>
    </w:rPr>
  </w:style>
  <w:style w:type="paragraph" w:styleId="1">
    <w:name w:val="heading 1"/>
    <w:basedOn w:val="a"/>
    <w:next w:val="a"/>
    <w:link w:val="10"/>
    <w:uiPriority w:val="9"/>
    <w:qFormat/>
    <w:rsid w:val="009205F9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5F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customStyle="1" w:styleId="a5">
    <w:name w:val="Листинг программы"/>
    <w:rsid w:val="00782A5A"/>
    <w:pPr>
      <w:spacing w:after="0" w:line="240" w:lineRule="auto"/>
      <w:jc w:val="both"/>
    </w:pPr>
    <w:rPr>
      <w:rFonts w:ascii="Courier New" w:eastAsia="Arial" w:hAnsi="Courier New" w:cs="Arial"/>
      <w:color w:val="000000"/>
      <w:sz w:val="20"/>
      <w:szCs w:val="20"/>
      <w:lang w:eastAsia="ru-RU"/>
    </w:rPr>
  </w:style>
  <w:style w:type="paragraph" w:styleId="a6">
    <w:name w:val="Title"/>
    <w:aliases w:val="Подпись рисунка"/>
    <w:basedOn w:val="a"/>
    <w:next w:val="a"/>
    <w:link w:val="a7"/>
    <w:uiPriority w:val="10"/>
    <w:qFormat/>
    <w:rsid w:val="00782A5A"/>
    <w:pP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6"/>
      <w:szCs w:val="52"/>
    </w:rPr>
  </w:style>
  <w:style w:type="character" w:customStyle="1" w:styleId="a7">
    <w:name w:val="Название Знак"/>
    <w:aliases w:val="Подпись рисунка Знак"/>
    <w:basedOn w:val="a0"/>
    <w:link w:val="a6"/>
    <w:uiPriority w:val="10"/>
    <w:rsid w:val="00782A5A"/>
    <w:rPr>
      <w:rFonts w:ascii="Times New Roman" w:eastAsiaTheme="majorEastAsia" w:hAnsi="Times New Roman" w:cstheme="majorBidi"/>
      <w:spacing w:val="5"/>
      <w:kern w:val="28"/>
      <w:sz w:val="26"/>
      <w:szCs w:val="52"/>
    </w:rPr>
  </w:style>
  <w:style w:type="character" w:styleId="a8">
    <w:name w:val="Subtle Reference"/>
    <w:aliases w:val="Листинг"/>
    <w:basedOn w:val="a0"/>
    <w:uiPriority w:val="31"/>
    <w:qFormat/>
    <w:rsid w:val="00782A5A"/>
    <w:rPr>
      <w:rFonts w:ascii="Courier New" w:hAnsi="Courier New"/>
      <w:smallCaps/>
      <w:color w:val="auto"/>
      <w:sz w:val="20"/>
      <w:u w:val="none"/>
      <w:bdr w:val="none" w:sz="0" w:space="0" w:color="auto"/>
    </w:rPr>
  </w:style>
  <w:style w:type="paragraph" w:styleId="a9">
    <w:name w:val="Subtitle"/>
    <w:aliases w:val="Таблица"/>
    <w:basedOn w:val="a"/>
    <w:next w:val="a"/>
    <w:link w:val="aa"/>
    <w:uiPriority w:val="11"/>
    <w:qFormat/>
    <w:rsid w:val="00EF0C69"/>
    <w:pPr>
      <w:numPr>
        <w:ilvl w:val="1"/>
      </w:numPr>
      <w:ind w:firstLine="567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aliases w:val="Таблица Знак"/>
    <w:basedOn w:val="a0"/>
    <w:link w:val="a9"/>
    <w:uiPriority w:val="11"/>
    <w:rsid w:val="00EF0C69"/>
    <w:rPr>
      <w:rFonts w:ascii="Times New Roman" w:eastAsiaTheme="majorEastAsia" w:hAnsi="Times New Roman" w:cstheme="majorBidi"/>
      <w:iCs/>
      <w:spacing w:val="15"/>
      <w:sz w:val="30"/>
      <w:szCs w:val="24"/>
    </w:rPr>
  </w:style>
  <w:style w:type="paragraph" w:customStyle="1" w:styleId="normal">
    <w:name w:val="normal"/>
    <w:rsid w:val="00867E60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D4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D4774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0B3DF5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EE76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C43ED"/>
  </w:style>
  <w:style w:type="paragraph" w:styleId="af">
    <w:name w:val="footnote text"/>
    <w:basedOn w:val="a"/>
    <w:link w:val="af0"/>
    <w:uiPriority w:val="99"/>
    <w:semiHidden/>
    <w:unhideWhenUsed/>
    <w:rsid w:val="004F1AE4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F1AE4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4F1AE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formagkh.ru/misc/reglament_api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se.garant.ru/121791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5FAF8-345A-4C45-ABEE-3A860847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2015-06-15T11:26:00Z</dcterms:created>
  <dcterms:modified xsi:type="dcterms:W3CDTF">2015-06-15T11:26:00Z</dcterms:modified>
</cp:coreProperties>
</file>