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rFonts ns0:ascii="Arial" ns0:hAnsi="Arial"/>
        </ns0:rPr>
        <ns0:t>ISRM Expert Network</ns0:t>
      </ns0:r>
    </ns0:p>
    <ns0:p>
      <ns0:r>
        <ns0:rPr>
          <ns0:rFonts ns0:ascii="Arial" ns0:hAnsi="Arial"/>
          <ns0:b/>
          <ns0:color ns0:val="1F7A8C"/>
          <ns0:sz ns0:val="26"/>
        </ns0:rPr>
        <ns0:t>Партнерське рішення щодо обсягу, моделі співпраці та пілота</ns0:t>
      </ns0:r>
    </ns0:p>
    <ns0:p>
      <ns0:pPr>
        <ns0:keepLines/>
      </ns0:pPr>
      <ns0:r>
        <ns0:rPr>
          <ns0:rFonts ns0:ascii="Arial" ns0:hAnsi="Arial"/>
          <ns0:b/>
        </ns0:rPr>
        <ns0:t>Статус:</ns0:t>
      </ns0:r>
      <ns0:r>
        <ns0:rPr>
          <ns0:rFonts ns0:ascii="Arial" ns0:hAnsi="Arial"/>
        </ns0:rPr>
        <ns0:t xml:space="preserve"> робочий документ для обговорення трьома партнерами. Перший контракт має бути окремим обмеженим пілотом одного замовника. Це не затверджений бюджет, графік, комерційна оферта чи обіцянка результату. Історичні розрахунки в цьому документі позначені як неактивні й не є ціною поточного обсягу.</ns0:t>
      </ns0:r>
    </ns0:p>
    <ns0:p>
      <ns0:pPr>
        <ns0:keepLines/>
      </ns0:pPr>
      <ns0:r>
        <ns0:rPr>
          <ns0:rFonts ns0:ascii="Arial" ns0:hAnsi="Arial"/>
          <ns0:b/>
        </ns0:rPr>
        <ns0:t>Короткий висновок.</ns0:t>
      </ns0:r>
      <ns0:r>
        <ns0:rPr>
          <ns0:rFonts ns0:ascii="Arial" ns0:hAnsi="Arial"/>
        </ns0:rPr>
        <ns0:t xml:space="preserve"> Довгострокова продуктова гіпотеза — керований цикл добровільний профіль → пошук і добір групи → виконання запиту/проєкту → збереження результатів. Це бачення не є обсягом першого контракту. Перший контракт — обмежений пілот одного клієнта; можливості публічного доступу, членства й роботи з кількома спільнотами розглядаються окремо після пілота. Програмне забезпечення саме по собі не гарантує залучення, внесків, зростання членства чи повернення інвестицій.</ns0:t>
      </ns0:r>
    </ns0:p>
    <ns0:p>
      <ns0:pPr>
        <ns0:keepLines/>
      </ns0:pPr>
      <ns0:r>
        <ns0:rPr>
          <ns0:rFonts ns0:ascii="Arial" ns0:hAnsi="Arial"/>
          <ns0:b/>
        </ns0:rPr>
        <ns0:t>Рішення зараз.</ns0:t>
      </ns0:r>
      <ns0:r>
        <ns0:rPr>
          <ns0:rFonts ns0:ascii="Arial" ns0:hAnsi="Arial"/>
        </ns0:rPr>
        <ns0:t xml:space="preserve"> Погодити, чи готуємо для замовника контракт на обмежений пілот, спільну розробку, чи окремо обговорюємо майбутнє володіння кодом. Усі варіанти проходять однакові три ворота: погодження початкової ідеї та потреб → затверджене ТЗ і критерії приймання → погоджений бюджет і контракт.</ns0:t>
      </ns0:r>
    </ns0:p>
    <ns0:p>
      <ns0:pPr>
        <ns0:keepLines/>
      </ns0:pPr>
      <ns0:r>
        <ns0:rPr>
          <ns0:rFonts ns0:ascii="Arial" ns0:hAnsi="Arial"/>
          <ns0:i/>
        </ns0:rPr>
        <ns0:t>Той самий обсяг робіт має той самий базовий effort, але IP-права, повторне використання, ризики, супровід, ексклюзивність і передача коду можуть змінити комерційні умови. Тому твердження «статус не впливає на бюджет» коректне лише для незмінного обсягу та однакових прав/обов’язків.</ns0:t>
      </ns0:r>
    </ns0:p>
    <ns0:p>
      <ns0:pPr>
        <ns0:pStyle ns0:val="Heading1"/>
      </ns0:pPr>
      <ns0:r>
        <ns0:rPr>
          <ns0:rFonts ns0:ascii="Arial" ns0:hAnsi="Arial"/>
        </ns0:rPr>
        <ns0:t>Продуктова логіка та цінність</ns0:t>
      </ns0:r>
    </ns0:p>
    <ns0:p>
      <ns0:pPr>
        <ns0:keepLines/>
      </ns0:pPr>
      <ns0:r>
        <ns0:rPr>
          <ns0:rFonts ns0:ascii="Arial" ns0:hAnsi="Arial"/>
          <ns0:i ns0:val="0"/>
        </ns0:rPr>
        <ns0:t>Платформа має перетворювати розподілену експертизу на керовану спроможність спільноти, а не лише показувати граф. Робочий цикл починається з наявного проєктного pipeline та стратегії розвитку спільноти: визначаються gaps експертизи й стратегічні напрями; у наявній мережі шукаються кандидати й формується первинна група; задаються agenda та критерії таргетування; проводяться опитування, запрошення й перевірка участі; формується група для події, обговорення, клієнтського проєкту чи дослідження; результат перетворюється на висновок, публікацію та запис у базі знань; зворотний зв’язок і підтверджена робота створюють підстави для нових профілів, запитів і запрошень до членства. Далі можуть іти конференції, каталог експертів і публікацій та навчання — лише коли є відповідна тема, попит і погоджений сервіс. Це пов’язує актуальну експертизу з розподілом клієнтського потоку, якістю результатів і потенційно активними членствами, але причинний ефект і внески мають бути виміряні пілотом, а не обіцяні.</ns0:t>
      </ns0:r>
    </ns0:p>
    <ns0:p>
      <ns0:pPr>
        <ns0:spacing ns0:before="80" ns0:after="140"/>
        <ns0:jc ns0:val="center"/>
      </ns0:pPr>
      <ns0:r>
        <ns0:rPr>
          <ns0:rFonts ns0:ascii="Arial" ns0:hAnsi="Arial"/>
          <ns0:b/>
          <ns0:color ns0:val="1F7A8C"/>
          <ns0:sz ns0:val="20"/>
        </ns0:rPr>
        <ns0:t>Згода й профіль  →  пошук / сегмент  →  група / подія / проєкт  →  експертний результат  →  знання та зворотний зв’язок  →  нові профілі й запити  →  наступний цикл</ns0:t>
      </ns0:r>
    </ns0:p>
    <ns0:p>
      <ns0:pPr>
        <ns0:keepLines/>
      </ns0:pPr>
      <ns0:r>
        <ns0:rPr>
          <ns0:rFonts ns0:ascii="Arial" ns0:hAnsi="Arial"/>
          <ns0:i ns0:val="0"/>
        </ns0:rPr>
        <ns0:t>Це гіпотеза про механізм повторної участі, яку треба виміряти, а не гарантія органічного зростання. Реальну користь слід підтверджувати опт-інами, релевантними відповідями, першою та повторною участю і збереженими результатами.</ns0:t>
      </ns0:r>
    </ns0:p>
    <ns0:p>
      <ns0:pPr>
        <ns0:pStyle ns0:val="Heading1"/>
      </ns0:pPr>
      <ns0:r>
        <ns0:t>Обсяг робіт і оцінка зусиль</ns0:t>
      </ns0:r>
    </ns0:p>
    <ns0:p>
      <ns0:pPr>
        <ns0:keepLines/>
      </ns0:pPr>
      <ns0:r>
        <ns0:t>Історичне джерело, неактивне для поточної пропозиції: `3_ISRM_Pricing_Model.xlsx`, аркуш `Core Estimate`, містить 13 пакетів greenfield-розробки й непідтверджені планові години. Ця оцінка не враховує повторне використання чинного репозиторію й не визначає scope першого контракту. Комерційна пропозиція має чотири окремі scope: консультації/стратегія; MVP застосунку; функції для обмеженого пілота одного клієнта; інші та післяпілотні функції. Активна загальнопроєктна книга — `ISRM_Partner_Budget_Model_Draft.xlsx`; невідомі години, ставки, зовнішні витрати й компенсація за повторне використання залишаються TBD.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3298"/>
        <ns0:gridCol ns0:w="3298"/>
      </ns0:tblGrid>
      <ns0:tr>
        <ns0:tc>
          <ns0:tcPr>
            <ns0:tcW ns0:type="dxa" ns0:w="1152"/>
            <ns0:vAlign ns0:val="top"/>
            <ns0:shd ns0:fill="17324D"/>
          </ns0:tcPr>
          <ns0:p>
            <ns0:r>
              <ns0:t>Історичний WBS ID · неактивно</ns0:t>
            </ns0:r>
          </ns0:p>
        </ns0:tc>
        <ns0:tc>
          <ns0:tcPr>
            <ns0:tcW ns0:type="dxa" ns0:w="7776"/>
            <ns0:vAlign ns0:val="top"/>
            <ns0:shd ns0:fill="17324D"/>
          </ns0:tcPr>
          <ns0:p>
            <ns0:r>
              <ns0:t>Історичний пакет / результат завершення</ns0:t>
            </ns0:r>
          </ns0:p>
        </ns0:tc>
        <ns0:tc>
          <ns0:tcPr>
            <ns0:tcW ns0:type="dxa" ns0:w="2232"/>
            <ns0:vAlign ns0:val="top"/>
            <ns0:shd ns0:fill="17324D"/>
          </ns0:tcPr>
          <ns0:p>
            <ns0:r>
              <ns0:t>Історичні планові години · не оцінка поточного scope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CORE-01</ns0:t>
            </ns0:r>
          </ns0:p>
        </ns0:tc>
        <ns0:tc>
          <ns0:tcPr>
            <ns0:tcW ns0:type="dxa" ns0:w="7776"/>
            <ns0:vAlign ns0:val="top"/>
          </ns0:tcPr>
          <ns0:p>
            <ns0:r>
              <ns0:t>Відкриття потреб; ролі й доступи; модель даних; сценарії приймання; приватність; архітектурний запис і беклог</ns0:t>
            </ns0:r>
          </ns0:p>
        </ns0:tc>
        <ns0:tc>
          <ns0:tcPr>
            <ns0:tcW ns0:type="dxa" ns0:w="2232"/>
            <ns0:vAlign ns0:val="top"/>
          </ns0:tcPr>
          <ns0:p>
            <ns0:r>
              <ns0:t>120 / 160 / 220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CORE-02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UX односторінкового простору, графові режими/шари, панелі, адаптивність, клавіатура й двомовний UI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100 / 140 / 190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CORE-03</ns0:t>
            </ns0:r>
          </ns0:p>
        </ns0:tc>
        <ns0:tc>
          <ns0:tcPr>
            <ns0:tcW ns0:type="dxa" ns0:w="7776"/>
            <ns0:vAlign ns0:val="top"/>
          </ns0:tcPr>
          <ns0:p>
            <ns0:r>
              <ns0:t>Вхід, ролі й обмеження доступу, згода та видимість профілю, відокремлення контактів, аудит</ns0:t>
            </ns0:r>
          </ns0:p>
        </ns0:tc>
        <ns0:tc>
          <ns0:tcPr>
            <ns0:tcW ns0:type="dxa" ns0:w="2232"/>
            <ns0:vAlign ns0:val="top"/>
          </ns0:tcPr>
          <ns0:p>
            <ns0:r>
              <ns0:t>180 / 240 / 330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CORE-04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Схема й міграції, перевірка даних, походження, дедуплікація, виправлення, операторські черги та API графа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180 / 260 / 380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CORE-05</ns0:t>
            </ns0:r>
          </ns0:p>
        </ns0:tc>
        <ns0:tc>
          <ns0:tcPr>
            <ns0:tcW ns0:type="dxa" ns0:w="7776"/>
            <ns0:vAlign ns0:val="top"/>
          </ns0:tcPr>
          <ns0:p>
            <ns0:r>
              <ns0:t>Профілі експертів; джерело/дата/перевіряльник доказу; статуси, виправлення та оскарження; без зведеного Trust/Influence score</ns0:t>
            </ns0:r>
          </ns0:p>
        </ns0:tc>
        <ns0:tc>
          <ns0:tcPr>
            <ns0:tcW ns0:type="dxa" ns0:w="2232"/>
            <ns0:vAlign ns0:val="top"/>
          </ns0:tcPr>
          <ns0:p>
            <ns0:r>
              <ns0:t>200 / 290 / 420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CORE-06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Пошук і фільтри, шари експертів/функцій, перемикачі, залежності, перехід із графа до досьє та текстовий еквівалент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180 / 260 / 380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CORE-07</ns0:t>
            </ns0:r>
          </ns0:p>
        </ns0:tc>
        <ns0:tc>
          <ns0:tcPr>
            <ns0:tcW ns0:type="dxa" ns0:w="7776"/>
            <ns0:vAlign ns0:val="top"/>
          </ns0:tcPr>
          <ns0:p>
            <ns0:r>
              <ns0:t>Групи, дописи, коментарі, ресурси, базові можливості, події, модерація, делеговане адміністрування й email; без складного PM та E2EE</ns0:t>
            </ns0:r>
          </ns0:p>
        </ns0:tc>
        <ns0:tc>
          <ns0:tcPr>
            <ns0:tcW ns0:type="dxa" ns0:w="2232"/>
            <ns0:vAlign ns0:val="top"/>
          </ns0:tcPr>
          <ns0:p>
            <ns0:r>
              <ns0:t>220 / 320 / 470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CORE-08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Згода на intake, кампанії/джерела, ручне сортування, передача на перевірку, онбординг і статус членства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160 / 240 / 360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CORE-09</ns0:t>
            </ns0:r>
          </ns0:p>
        </ns0:tc>
        <ns0:tc>
          <ns0:tcPr>
            <ns0:tcW ns0:type="dxa" ns0:w="7776"/>
            <ns0:vAlign ns0:val="top"/>
          </ns0:tcPr>
          <ns0:p>
            <ns0:r>
              <ns0:t>Інструменти власника групи, базові показники участі, сигнали неактивності, повторне залучення й базове призначення ролей</ns0:t>
            </ns0:r>
          </ns0:p>
        </ns0:tc>
        <ns0:tc>
          <ns0:tcPr>
            <ns0:tcW ns0:type="dxa" ns0:w="2232"/>
            <ns0:vAlign ns0:val="top"/>
          </ns0:tcPr>
          <ns0:p>
            <ns0:r>
              <ns0:t>140 / 210 / 320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CORE-10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Моделювання загроз, перевірка доступів і мінімізації, секрети/шифрування, аудит, утримання та інциденти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80 / 120 / 180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CORE-11</ns0:t>
            </ns0:r>
          </ns0:p>
        </ns0:tc>
        <ns0:tc>
          <ns0:tcPr>
            <ns0:tcW ns0:type="dxa" ns0:w="7776"/>
            <ns0:vAlign ns0:val="top"/>
          </ns0:tcPr>
          <ns0:p>
            <ns0:r>
              <ns0:t>QA ізоляції ролей/даних, імпорту, графа, потоків, мобільного/клавіатурного доступу, двомовності й приймання</ns0:t>
            </ns0:r>
          </ns0:p>
        </ns0:tc>
        <ns0:tc>
          <ns0:tcPr>
            <ns0:tcW ns0:type="dxa" ns0:w="2232"/>
            <ns0:vAlign ns0:val="top"/>
          </ns0:tcPr>
          <ns0:p>
            <ns0:r>
              <ns0:t>180 / 270 / 400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  <ns0:shd ns0:fill="F2F6F8"/>
          </ns0:tcPr>
          <ns0:p>
            <ns0:r>
              <ns0:t>CORE-12</ns0:t>
            </ns0:r>
          </ns0:p>
        </ns0:tc>
        <ns0:tc>
          <ns0:tcPr>
            <ns0:tcW ns0:type="dxa" ns0:w="7776"/>
            <ns0:vAlign ns0:val="top"/>
            <ns0:shd ns0:fill="F2F6F8"/>
          </ns0:tcPr>
          <ns0:p>
            <ns0:r>
              <ns0:t>Середовища, CI/CD, моніторинг, журнали помилок, резервне копіювання/відновлення, інструкція й передача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100 / 150 / 230</ns0:t>
            </ns0:r>
          </ns0:p>
        </ns0:tc>
      </ns0:tr>
      <ns0:tr>
        <ns0:trPr>
          <ns0:cantSplit/>
        </ns0:trPr>
        <ns0:tc>
          <ns0:tcPr>
            <ns0:tcW ns0:type="dxa" ns0:w="1152"/>
            <ns0:vAlign ns0:val="top"/>
          </ns0:tcPr>
          <ns0:p>
            <ns0:r>
              <ns0:t>CORE-13</ns0:t>
            </ns0:r>
          </ns0:p>
        </ns0:tc>
        <ns0:tc>
          <ns0:tcPr>
            <ns0:tcW ns0:type="dxa" ns0:w="7776"/>
            <ns0:vAlign ns0:val="top"/>
          </ns0:tcPr>
          <ns0:p>
            <ns0:r>
              <ns0:t>Координація залежностей і рішень, демонстрації, рев’ю, тріаж, контроль обсягу та приймання</ns0:t>
            </ns0:r>
          </ns0:p>
        </ns0:tc>
        <ns0:tc>
          <ns0:tcPr>
            <ns0:tcW ns0:type="dxa" ns0:w="2232"/>
            <ns0:vAlign ns0:val="top"/>
          </ns0:tcPr>
          <ns0:p>
            <ns0:r>
              <ns0:t>100 / 150 / 240</ns0:t>
            </ns0:r>
          </ns0:p>
        </ns0:tc>
      </ns0:tr>
    </ns0:tbl>
    <ns0:p>
      <ns0:pPr>
        <ns0:spacing ns0:after="0"/>
      </ns0:pPr>
    </ns0:p>
    <ns0:p>
      <ns0:pPr>
        <ns0:keepLines/>
      </ns0:pPr>
      <ns0:r>
        <ns0:rPr>
          <ns0:rFonts ns0:ascii="Arial" ns0:hAnsi="Arial"/>
          <ns0:b/>
        </ns0:rPr>
        <ns0:t>ІСТОРИЧНО · НЕАКТИВНО:</ns0:t>
      </ns0:r>
      <ns0:r>
        <ns0:rPr>
          <ns0:rFonts ns0:ascii="Arial" ns0:hAnsi="Arial"/>
        </ns0:rPr>
        <ns0:t xml:space="preserve"> суми 1,940 / 2,810 / 4,120 person-hours — підсумки попередніх low/base/high планових припущень для того самого переліку 13 пакетів у `3_ISRM_Pricing_Model.xlsx`. Вони не є оцінкою поточного пілота, узгодженим effort, ціною чи календарним строком; збережені лише для історичної простежуваності. Не переносити їх до активного бюджету. Поточна ціна залишається TBD, доки партнери не погодять функціональний scope, години, ставки, валюту, зовнішні витрати й комерційні умови.</ns0:t>
      </ns0:r>
    </ns0:p>
    <ns0:p>
      <ns0:pPr>
        <ns0:keepLines/>
      </ns0:pPr>
      <ns0:r>
        <ns0:rPr>
          <ns0:rFonts ns0:ascii="Arial" ns0:hAnsi="Arial"/>
          <ns0:b/>
        </ns0:rPr>
        <ns0:t>Не включено до цих 13 пакетів</ns0:t>
      </ns0:r>
      <ns0:r>
        <ns0:rPr>
          <ns0:rFonts ns0:ascii="Arial" ns0:hAnsi="Arial"/>
        </ns0:rPr>
        <ns0:t xml:space="preserve"> окремо оцінюються: pre-contract конфігуратор, де кожен сервісний вузол відкриває послідовне трьохетапне налаштування, а завершальний крок веде до пошуку експертів, затвердження задачі або включення сервісу в пропозицію; три графові стани — наявна мережа, залежності сервісів і зв’язаний граф «сервіс—експерти»; фільтри/лічильники з визначеними джерелами й знаменниками; добір, досьє та збереження іменованих груп; approval-переходи, що закріплюють обраний сервіс і групу; експорт пропозиції; імпорт/інтеграція даних замовника; шаблони клієнтського проєкту та інтеграція із зовнішнім PM-сервісом; OSINT, AI та людська перевірка; навчальний модуль/білінг; каталог, маркетплейс чи розрахунки з експертами; конференційна логістика; багатотенантний SaaS, підтримка, хостинг, ліцензії та поточні витрати. Підбір у зв’язаному графі має базуватися на узгоджених критеріях і дозволених даних, а не на непідтвердженій «статистичній схожості» чи автоматичному рейтингу. Базовий продукт за задумом має включати bounded AI integration, але use case, постачальник, дані, human-review та безпекові критерії не визначені і не входять до кошторису 13 пакетів; включення потребує окремого рядка ТЗ та оцінки. Платформа — інструмент управління експертною спільнотою та сервісними циклами, не продукт планування військових операцій; Palantir не є ціновим або продуктовим аналогом. Кожен workstream може бути скорочений, але межі, залежності й критерії приймання слід визначити до оцінювання.</ns0:t>
      </ns0:r>
    </ns0:p>
    <ns0:p>
      <ns0:pPr>
        <ns0:keepLines/>
      </ns0:pPr>
      <ns0:r>
        <ns0:rPr>
          <ns0:rFonts ns0:ascii="Arial" ns0:hAnsi="Arial"/>
          <ns0:i ns0:val="0"/>
        </ns0:rPr>
        <ns0:t>Поточний код не отримав effort-кредиту в greenfield-моделі. Перед ціноутворенням треба зіставити кожен пакет із наявною реалізацією, якістю, тестами, безпекою та придатністю до production; будь-який залік фіксувати окремим сценарієм, а не вважати автоматичною економією.</ns0:t>
      </ns0:r>
    </ns0:p>
    <ns0:p>
      <ns0:pPr>
        <ns0:pStyle ns0:val="Heading1"/>
      </ns0:pPr>
      <ns0:r>
        <ns0:rPr>
          <ns0:rFonts ns0:ascii="Arial" ns0:hAnsi="Arial"/>
        </ns0:rPr>
        <ns0:t>Бюджетні сценарії та межі точності</ns0:t>
      </ns0:r>
    </ns0:p>
    <ns0:p>
      <ns0:pPr>
        <ns0:keepLines/>
      </ns0:pPr>
      <ns0:r>
        <ns0:t>⚠ ASSUMPTION — if confirmed, довідкова чутливість: множимо планові person-hours на опубліковані Clutch діапазони вартості компаній-постачальників. Формула: години пакету × USD/provider-hour. Для цього порівняння умовно прирівнюється 1 планова person-hour до 1 provider-hour; команда/юрисдикція не обрана, тому ці результати не є офертою, кошторисом чи фактичною собівартістю.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649"/>
        <ns0:gridCol ns0:w="1649"/>
        <ns0:gridCol ns0:w="1649"/>
        <ns0:gridCol ns0:w="1649"/>
        <ns0:gridCol ns0:w="1649"/>
        <ns0:gridCol ns0:w="1649"/>
      </ns0:tblGrid>
      <ns0:tr>
        <ns0:tc>
          <ns0:tcPr>
            <ns0:tcW ns0:type="dxa" ns0:w="1584"/>
            <ns0:vAlign ns0:val="top"/>
            <ns0:shd ns0:fill="17324D"/>
          </ns0:tcPr>
          <ns0:p>
            <ns0:r>
              <ns0:t>Історичний сценарій · неактивно</ns0:t>
            </ns0:r>
          </ns0:p>
        </ns0:tc>
        <ns0:tc>
          <ns0:tcPr>
            <ns0:tcW ns0:type="dxa" ns0:w="1152"/>
            <ns0:vAlign ns0:val="top"/>
            <ns0:shd ns0:fill="17324D"/>
          </ns0:tcPr>
          <ns0:p>
            <ns0:r>
              <ns0:t>Історичні person-hours</ns0:t>
            </ns0:r>
          </ns0:p>
        </ns0:tc>
        <ns0:tc>
          <ns0:tcPr>
            <ns0:tcW ns0:type="dxa" ns0:w="1440"/>
            <ns0:vAlign ns0:val="top"/>
            <ns0:shd ns0:fill="17324D"/>
          </ns0:tcPr>
          <ns0:p>
            <ns0:r>
              <ns0:t>Україна, USD/h</ns0:t>
            </ns0:r>
          </ns0:p>
        </ns0:tc>
        <ns0:tc>
          <ns0:tcPr>
            <ns0:tcW ns0:type="dxa" ns0:w="2232"/>
            <ns0:vAlign ns0:val="top"/>
            <ns0:shd ns0:fill="17324D"/>
          </ns0:tcPr>
          <ns0:p>
            <ns0:r>
              <ns0:t>Історична rate-sensitivity, USD</ns0:t>
            </ns0:r>
          </ns0:p>
        </ns0:tc>
        <ns0:tc>
          <ns0:tcPr>
            <ns0:tcW ns0:type="dxa" ns0:w="1152"/>
            <ns0:vAlign ns0:val="top"/>
            <ns0:shd ns0:fill="17324D"/>
          </ns0:tcPr>
          <ns0:p>
            <ns0:r>
              <ns0:t>США, USD/h</ns0:t>
            </ns0:r>
          </ns0:p>
        </ns0:tc>
        <ns0:tc>
          <ns0:tcPr>
            <ns0:tcW ns0:type="dxa" ns0:w="2232"/>
            <ns0:vAlign ns0:val="top"/>
            <ns0:shd ns0:fill="17324D"/>
          </ns0:tcPr>
          <ns0:p>
            <ns0:r>
              <ns0:t>Історична rate-sensitivity, USD</ns0:t>
            </ns0:r>
          </ns0:p>
        </ns0:tc>
      </ns0:tr>
      <ns0:tr>
        <ns0:trPr>
          <ns0:cantSplit/>
        </ns0:trPr>
        <ns0:tc>
          <ns0:tcPr>
            <ns0:tcW ns0:type="dxa" ns0:w="1584"/>
            <ns0:vAlign ns0:val="top"/>
          </ns0:tcPr>
          <ns0:p>
            <ns0:r>
              <ns0:t>Низький обсяг</ns0:t>
            </ns0:r>
          </ns0:p>
        </ns0:tc>
        <ns0:tc>
          <ns0:tcPr>
            <ns0:tcW ns0:type="dxa" ns0:w="1152"/>
            <ns0:vAlign ns0:val="top"/>
          </ns0:tcPr>
          <ns0:p>
            <ns0:r>
              <ns0:t>1,940</ns0:t>
            </ns0:r>
          </ns0:p>
        </ns0:tc>
        <ns0:tc>
          <ns0:tcPr>
            <ns0:tcW ns0:type="dxa" ns0:w="1440"/>
            <ns0:vAlign ns0:val="top"/>
          </ns0:tcPr>
          <ns0:p>
            <ns0:r>
              <ns0:t>25–49</ns0:t>
            </ns0:r>
          </ns0:p>
        </ns0:tc>
        <ns0:tc>
          <ns0:tcPr>
            <ns0:tcW ns0:type="dxa" ns0:w="2232"/>
            <ns0:vAlign ns0:val="top"/>
          </ns0:tcPr>
          <ns0:p>
            <ns0:r>
              <ns0:t>48,500–95,060</ns0:t>
            </ns0:r>
          </ns0:p>
        </ns0:tc>
        <ns0:tc>
          <ns0:tcPr>
            <ns0:tcW ns0:type="dxa" ns0:w="1152"/>
            <ns0:vAlign ns0:val="top"/>
          </ns0:tcPr>
          <ns0:p>
            <ns0:r>
              <ns0:t>50–99</ns0:t>
            </ns0:r>
          </ns0:p>
        </ns0:tc>
        <ns0:tc>
          <ns0:tcPr>
            <ns0:tcW ns0:type="dxa" ns0:w="2232"/>
            <ns0:vAlign ns0:val="top"/>
          </ns0:tcPr>
          <ns0:p>
            <ns0:r>
              <ns0:t>97,000–192,060</ns0:t>
            </ns0:r>
          </ns0:p>
        </ns0:tc>
      </ns0:tr>
      <ns0:tr>
        <ns0:trPr>
          <ns0:cantSplit/>
        </ns0:trPr>
        <ns0:tc>
          <ns0:tcPr>
            <ns0:tcW ns0:type="dxa" ns0:w="1584"/>
            <ns0:vAlign ns0:val="top"/>
            <ns0:shd ns0:fill="F2F6F8"/>
          </ns0:tcPr>
          <ns0:p>
            <ns0:r>
              <ns0:t>Базовий обсяг</ns0:t>
            </ns0:r>
          </ns0:p>
        </ns0:tc>
        <ns0:tc>
          <ns0:tcPr>
            <ns0:tcW ns0:type="dxa" ns0:w="1152"/>
            <ns0:vAlign ns0:val="top"/>
            <ns0:shd ns0:fill="F2F6F8"/>
          </ns0:tcPr>
          <ns0:p>
            <ns0:r>
              <ns0:t>2,810</ns0:t>
            </ns0:r>
          </ns0:p>
        </ns0:tc>
        <ns0:tc>
          <ns0:tcPr>
            <ns0:tcW ns0:type="dxa" ns0:w="1440"/>
            <ns0:vAlign ns0:val="top"/>
            <ns0:shd ns0:fill="F2F6F8"/>
          </ns0:tcPr>
          <ns0:p>
            <ns0:r>
              <ns0:t>25–49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70,250–137,690</ns0:t>
            </ns0:r>
          </ns0:p>
        </ns0:tc>
        <ns0:tc>
          <ns0:tcPr>
            <ns0:tcW ns0:type="dxa" ns0:w="1152"/>
            <ns0:vAlign ns0:val="top"/>
            <ns0:shd ns0:fill="F2F6F8"/>
          </ns0:tcPr>
          <ns0:p>
            <ns0:r>
              <ns0:t>50–99</ns0:t>
            </ns0:r>
          </ns0:p>
        </ns0:tc>
        <ns0:tc>
          <ns0:tcPr>
            <ns0:tcW ns0:type="dxa" ns0:w="2232"/>
            <ns0:vAlign ns0:val="top"/>
            <ns0:shd ns0:fill="F2F6F8"/>
          </ns0:tcPr>
          <ns0:p>
            <ns0:r>
              <ns0:t>140,500–278,190</ns0:t>
            </ns0:r>
          </ns0:p>
        </ns0:tc>
      </ns0:tr>
      <ns0:tr>
        <ns0:trPr>
          <ns0:cantSplit/>
        </ns0:trPr>
        <ns0:tc>
          <ns0:tcPr>
            <ns0:tcW ns0:type="dxa" ns0:w="1584"/>
            <ns0:vAlign ns0:val="top"/>
          </ns0:tcPr>
          <ns0:p>
            <ns0:r>
              <ns0:t>Високий обсяг</ns0:t>
            </ns0:r>
          </ns0:p>
        </ns0:tc>
        <ns0:tc>
          <ns0:tcPr>
            <ns0:tcW ns0:type="dxa" ns0:w="1152"/>
            <ns0:vAlign ns0:val="top"/>
          </ns0:tcPr>
          <ns0:p>
            <ns0:r>
              <ns0:t>4,120</ns0:t>
            </ns0:r>
          </ns0:p>
        </ns0:tc>
        <ns0:tc>
          <ns0:tcPr>
            <ns0:tcW ns0:type="dxa" ns0:w="1440"/>
            <ns0:vAlign ns0:val="top"/>
          </ns0:tcPr>
          <ns0:p>
            <ns0:r>
              <ns0:t>25–49</ns0:t>
            </ns0:r>
          </ns0:p>
        </ns0:tc>
        <ns0:tc>
          <ns0:tcPr>
            <ns0:tcW ns0:type="dxa" ns0:w="2232"/>
            <ns0:vAlign ns0:val="top"/>
          </ns0:tcPr>
          <ns0:p>
            <ns0:r>
              <ns0:t>103,000–201,880</ns0:t>
            </ns0:r>
          </ns0:p>
        </ns0:tc>
        <ns0:tc>
          <ns0:tcPr>
            <ns0:tcW ns0:type="dxa" ns0:w="1152"/>
            <ns0:vAlign ns0:val="top"/>
          </ns0:tcPr>
          <ns0:p>
            <ns0:r>
              <ns0:t>50–99</ns0:t>
            </ns0:r>
          </ns0:p>
        </ns0:tc>
        <ns0:tc>
          <ns0:tcPr>
            <ns0:tcW ns0:type="dxa" ns0:w="2232"/>
            <ns0:vAlign ns0:val="top"/>
          </ns0:tcPr>
          <ns0:p>
            <ns0:r>
              <ns0:t>206,000–407,880</ns0:t>
            </ns0:r>
          </ns0:p>
        </ns0:tc>
      </ns0:tr>
    </ns0:tbl>
    <ns0:p>
      <ns0:pPr>
        <ns0:spacing ns0:after="0"/>
      </ns0:pPr>
    </ns0:p>
    <ns0:p>
      <ns0:pPr>
        <ns0:keepLines/>
      </ns0:pPr>
      <ns0:r>
        <ns0:rPr>
          <ns0:rFonts ns0:ascii="Arial" ns0:hAnsi="Arial"/>
          <ns0:i ns0:val="0"/>
        </ns0:rPr>
        <ns0:t>Агентський орієнтир для розробки, не гонорар окремого фахівця: Clutch Software Development Pricing Guide (https://clutch.co/developers/pricing) показує для України USD 25–49/provider-hour; сторінка Clutch для Лондона (https://clutch.co/developers/uk/england/london, рейтинг/дані переглянуто 3 жовтня 2026 року) наводить GBP 75–150/hour для більшості середніх агенцій і зазначає, що boutique specialists можуть коштувати до GBP 200/hour. Лондонський зріз не є мінімумом для всієї Британії, а джерело не доводить зіставність агенцій за однаковим ТЗ. Для верхньої межі української provider-hour ставки в GBP використано верхню межу USD 49 та довідкові курси ЄЦБ на 2 жовтня 2026 року: EUR 1 = USD 1.1225 і EUR 1 = GBP 0.85033; метод: USD→GBP = 0.85033 / 1.1225, отже USD 49 × цей крос-курс = приблизно GBP 37.12/provider-hour. За припущенням 1 планова person-hour ≈ 1 provider-hour, developer-only чутливість для 1,940 / 2,810 / 4,120 годин дорівнює відповідно приблизно GBP 72,011–145,500 / GBP 104,305–210,750 / GBP 152,931–309,000 (формула: години × GBP 37.1191 або × GBP 75). Джерело курсів: https://www.ecb.europa.eu/stats/policy_and_exchange_rates/euro_reference_exchange_rates/html/index.en.html. Для британського замовника GBP є зрозумілою рекомендованою валютою показу/контракту, але її мають затвердити партнери й замовник; це не фіксує FX-правило платежів. UAH/GBP та UAH/USD тут не перераховано: офіційний курс НБУ на дату оцінки не вдалося підтвердити, тож гривневий еквівалент не можна підміняти припущенням. Наведена developer-only чутливість — розрахункова межа між двома опублікованими орієнтирами, не оферта, не повний бюджет і не фактична собівартість; немає зіставних котирувань. Вона не включає окремо погоджені години та ставки трьох партнерів, податки, резерв, інфраструктуру, ліцензії/AI usage, підтримку, SaaS-поточні витрати чи прибуток. Не застосовувати механічний множник до ставок.</ns0:t>
      </ns0:r>
    </ns0:p>
    <ns0:p>
      <ns0:pPr>
        <ns0:keepLines/>
      </ns0:pPr>
      <ns0:r>
        <ns0:rPr>
          <ns0:rFonts ns0:ascii="Arial" ns0:hAnsi="Arial"/>
          <ns0:i ns0:val="0"/>
        </ns0:rPr>
        <ns0:t>У `ISRM_Partner_Budget_Model_Draft.xlsx` фактична контрактна ціна, валюта, ставки девелоперів і партнерів, зовнішні витрати та витрати на експлуатацію залишаються незаповненими до погодження. Порожнє означає TBD, а не нуль. Книга містить формули, але формульні кеші в основному аркуші `Project_Budget` не були перераховані й збережені; її результат не можна вважати перевіреною ціною до перерахунку сумісним табличним застосунком. `ISRM_Partner_Cost_Model_Clean.xlsx` є окремою допоміжною моделлю scope/reuse з власними припущеннями; її підсумки не додавати до загальнопроєктної книги.</ns0:t>
      </ns0:r>
    </ns0:p>
    <ns0:p>
      <ns0:pPr>
        <ns0:pStyle ns0:val="Heading2"/>
      </ns0:pPr>
      <ns0:r>
        <ns0:t>Критична перевірка попередніх цінових тверджень. Детальна формульна й джерельна звірка наведена у вкладці `Legacy_Claims` робочої книги.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4946"/>
        <ns0:gridCol ns0:w="4946"/>
      </ns0:tblGrid>
      <ns0:tr>
        <ns0:tc>
          <ns0:tcPr>
            <ns0:tcW ns0:type="dxa" ns0:w="2880"/>
            <ns0:vAlign ns0:val="top"/>
            <ns0:shd ns0:fill="17324D"/>
          </ns0:tcPr>
          <ns0:p>
            <ns0:r>
              <ns0:t>Попереднє твердження</ns0:t>
            </ns0:r>
          </ns0:p>
        </ns0:tc>
        <ns0:tc>
          <ns0:tcPr>
            <ns0:tcW ns0:type="dxa" ns0:w="8352"/>
            <ns0:vAlign ns0:val="top"/>
            <ns0:shd ns0:fill="17324D"/>
          </ns0:tcPr>
          <ns0:p>
            <ns0:r>
              <ns0:t>Критичний висновок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</ns0:tcPr>
          <ns0:p>
            <ns0:r>
              <ns0:t>Cost × 3 та €198,270</ns0:t>
            </ns0:r>
          </ns0:p>
        </ns0:tc>
        <ns0:tc>
          <ns0:tcPr>
            <ns0:tcW ns0:type="dxa" ns0:w="8352"/>
            <ns0:vAlign ns0:val="top"/>
          </ns0:tcPr>
          <ns0:p>
            <ns0:r>
              <ns0:t>Рівність €66,090 × 3 = €198,270 арифметично правильна, а €66,090 відтворюється як сума годин × ставок із таблиці. Водночас ці ставки не відтворюються з формули та вхідних даних попереднього розділу; обсяг і підстава множника не утворюють відтворюваного комерційного методу. Ціна не переноситься в нову пропозицію.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  <ns0:shd ns0:fill="F2F6F8"/>
          </ns0:tcPr>
          <ns0:p>
            <ns0:r>
              <ns0:t>DOU → погодинна собівартість</ns0:t>
            </ns0:r>
          </ns0:p>
        </ns0:tc>
        <ns0:tc>
          <ns0:tcPr>
            <ns0:tcW ns0:type="dxa" ns0:w="8352"/>
            <ns0:vAlign ns0:val="top"/>
            <ns0:shd ns0:fill="F2F6F8"/>
          </ns0:tcPr>
          <ns0:p>
            <ns0:r>
              <ns0:t>⚠ ASSUMPTION — if confirmed, applying the original formula to its stated inputs fails to reproduce the eight rates. For example, the formula gives €43.2847125/provider-hour for the architect vs the listed €48.50, and €27.6584625/provider-hour for the senior full-stack role vs €32.00. Across the source’s 2,080 task hours, the same recomputation yields €56,834.233875, not the listed €66,090; difference €9,255.766125. Inputs remain unverified. Full row-by-row formula audit is in workbook tab `Legacy_Claims`; do not use the recalculation as actual cost.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</ns0:tcPr>
          <ns0:p>
            <ns0:r>
              <ns0:t>BLS і US-множник</ns0:t>
            </ns0:r>
          </ns0:p>
        </ns0:tc>
        <ns0:tc>
          <ns0:tcPr>
            <ns0:tcW ns0:type="dxa" ns0:w="8352"/>
            <ns0:vAlign ns0:val="top"/>
          </ns0:tcPr>
          <ns0:p>
            <ns0:r>
              <ns0:t>BLS OEWS підтверджує $66.40 середньої та $100.30 90-го перцентиля погодинної зарплати Software Developers за травень 2023 року; URL вихідного документа також веде саме на 2023 рік, не 2024. Це wage estimates працівників, а не ціни підрядника. $66.40 × 3 = $199.20 арифметично, але «типовий» множник 3.0 не підтверджено BLS чи наведеною методикою. Джерело і локатор — у `Legacy_Claims`.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  <ns0:shd ns0:fill="F2F6F8"/>
          </ns0:tcPr>
          <ns0:p>
            <ns0:r>
              <ns0:t>UK денна ставка</ns0:t>
            </ns0:r>
          </ns0:p>
        </ns0:tc>
        <ns0:tc>
          <ns0:tcPr>
            <ns0:tcW ns0:type="dxa" ns0:w="8352"/>
            <ns0:vAlign ns0:val="top"/>
            <ns0:shd ns0:fill="F2F6F8"/>
          </ns0:tcPr>
          <ns0:p>
            <ns0:r>
              <ns0:t>Заявлені £650–£900 за день, поділені на 7.5 години, дають £260/3–£120 за годину, а не £140–£200. Також для порівняння в євро потрібен датований валютний курс; він не наведений. Перерахунок і межі джерела — у `Legacy_Claims`.</ns0:t>
            </ns0:r>
          </ns0:p>
        </ns0:tc>
      </ns0:tr>
      <ns0:tr>
        <ns0:tc>
          <ns0:tcPr>
            <ns0:tcW ns0:type="dxa" ns0:w="4946"/>
          </ns0:tcPr>
          <ns0:p>
            <ns0:r>
              <ns0:t>GLG: ціни та окупність</ns0:t>
            </ns0:r>
          </ns0:p>
        </ns0:tc>
        <ns0:tc>
          <ns0:tcPr>
            <ns0:tcW ns0:type="dxa" ns0:w="4946"/>
          </ns0:tcPr>
          <ns0:p>
            <ns0:r>
              <ns0:t>CIK (Central Index Key) — унікальний ідентифікатор заявника в EDGAR; вихідний матеріал наводить 0001878347, тоді як знайдений GLG S-1 подано під CIK 1661123. Це розбіжність ідентифікаторів, а не доказ, що обидва номери належать одній компанії. У зазначеному S-1 немає наведеного локатора, який підтверджує USD 50,000–300,000 за підписку чи пояснює її склад/період; немає перевіреного локатора для USD 800–1,500 за «дзвінок», його тривалості/одержувача або 30–40% частки експерта. У цьому контексті «підписка» означала б повторюваний контрактний доступ до сервісу, а «дзвінок» — консультацію експерта, але саме ці цінові деталі й базу оплати у вихідному матеріалі не доведено; їх не можна видавати за тариф GLG. «Окупність у 150–200 консультаціях» також не обґрунтована: потрібна формула upfront cost ÷ (net avoided cost per consultation), де чиста економія враховує виплату експерту, платформні та операційні витрати, а зіставлювані витрати й валюта не задані. Твердження вилучається з ціноутворення, доки не буде первинного підтвердження.</ns0:t>
            </ns0:r>
          </ns0:p>
        </ns0:tc>
      </ns0:tr>
      <ns0:tr>
        <ns0:tc>
          <ns0:tcPr>
            <ns0:tcW ns0:type="dxa" ns0:w="4946"/>
          </ns0:tcPr>
          <ns0:p>
            <ns0:r>
              <ns0:t>Palantir / FPDS / «менше 16%»</ns0:t>
            </ns0:r>
          </ns0:p>
        </ns0:tc>
        <ns0:tc>
          <ns0:tcPr>
            <ns0:tcW ns0:type="dxa" ns0:w="4946"/>
          </ns0:tcPr>
          <ns0:p>
            <ns0:r>
              <ns0:t>Palantir FY2023 Form 10-K називає $54.6 млн середнім trailing-12-month revenue для топ-20 клієнтів — це не average contract value. Твердження про стартові FPDS-контракти $1.2 млн не має award ID, періоду чи порівнянного scope. Порівняння €198,270 із $1.2 млн також змішує валюти; «менше 16%» не можна стверджувати без датованого курсу та перевірки однакового предмета. SEC-локатор і обмеження — у `Legacy_Claims`.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Arial" ns0:hAnsi="Arial"/>
        </ns0:rPr>
        <ns0:t>Команда, моделі співпраці та оплата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4946"/>
        <ns0:gridCol ns0:w="4946"/>
      </ns0:tblGrid>
      <ns0:tr>
        <ns0:tc>
          <ns0:tcPr>
            <ns0:tcW ns0:type="dxa" ns0:w="3744"/>
            <ns0:vAlign ns0:val="top"/>
            <ns0:shd ns0:fill="17324D"/>
          </ns0:tcPr>
          <ns0:p>
            <ns0:r>
              <ns0:t>Зона</ns0:t>
            </ns0:r>
          </ns0:p>
        </ns0:tc>
        <ns0:tc>
          <ns0:tcPr>
            <ns0:tcW ns0:type="dxa" ns0:w="7488"/>
            <ns0:vAlign ns0:val="top"/>
            <ns0:shd ns0:fill="17324D"/>
          </ns0:tcPr>
          <ns0:p>
            <ns0:r>
              <ns0:t>Відповідальність у моделі</ns0:t>
            </ns0:r>
          </ns0:p>
        </ns0:tc>
      </ns0:tr>
      <ns0:tr>
        <ns0:trPr>
          <ns0:cantSplit/>
        </ns0:trPr>
        <ns0:tc>
          <ns0:tcPr>
            <ns0:tcW ns0:type="dxa" ns0:w="3744"/>
            <ns0:vAlign ns0:val="top"/>
          </ns0:tcPr>
          <ns0:p>
            <ns0:r>
              <ns0:t>Комунікації з клієнтом і business development</ns0:t>
            </ns0:r>
          </ns0:p>
        </ns0:tc>
        <ns0:tc>
          <ns0:tcPr>
            <ns0:tcW ns0:type="dxa" ns0:w="7488"/>
            <ns0:vAlign ns0:val="top"/>
          </ns0:tcPr>
          <ns0:p>
            <ns0:r>
              <ns0:t>Веде потреби/очікування замовника та комерційну взаємодію.</ns0:t>
            </ns0:r>
          </ns0:p>
        </ns0:tc>
      </ns0:tr>
      <ns0:tr>
        <ns0:trPr>
          <ns0:cantSplit/>
        </ns0:trPr>
        <ns0:tc>
          <ns0:tcPr>
            <ns0:tcW ns0:type="dxa" ns0:w="3744"/>
            <ns0:vAlign ns0:val="top"/>
            <ns0:shd ns0:fill="F2F6F8"/>
          </ns0:tcPr>
          <ns0:p>
            <ns0:r>
              <ns0:t>Операції, OSINT/події та зовнішні комунікації</ns0:t>
            </ns0:r>
          </ns0:p>
        </ns0:tc>
        <ns0:tc>
          <ns0:tcPr>
            <ns0:tcW ns0:type="dxa" ns0:w="7488"/>
            <ns0:vAlign ns0:val="top"/>
            <ns0:shd ns0:fill="F2F6F8"/>
          </ns0:tcPr>
          <ns0:p>
            <ns0:r>
              <ns0:t>Координує операційні процеси, подієве управління, OSINT-потреби й зовнішні контакти.</ns0:t>
            </ns0:r>
          </ns0:p>
        </ns0:tc>
      </ns0:tr>
      <ns0:tr>
        <ns0:trPr>
          <ns0:cantSplit/>
        </ns0:trPr>
        <ns0:tc>
          <ns0:tcPr>
            <ns0:tcW ns0:type="dxa" ns0:w="3744"/>
            <ns0:vAlign ns0:val="top"/>
          </ns0:tcPr>
          <ns0:p>
            <ns0:r>
              <ns0:t>Операції, відносини з девелоперами, Product Owner і стратегія</ns0:t>
            </ns0:r>
          </ns0:p>
        </ns0:tc>
        <ns0:tc>
          <ns0:tcPr>
            <ns0:tcW ns0:type="dxa" ns0:w="7488"/>
            <ns0:vAlign ns0:val="top"/>
          </ns0:tcPr>
          <ns0:p>
            <ns0:r>
              <ns0:t>Веде розробницьку взаємодію, пріоритети продукту та стратегічні рішення.</ns0:t>
            </ns0:r>
          </ns0:p>
        </ns0:tc>
      </ns0:tr>
    </ns0:tbl>
    <ns0:p>
      <ns0:pPr>
        <ns0:spacing ns0:after="0"/>
      </ns0:pPr>
    </ns0:p>
    <ns0:p>
      <ns0:pPr>
        <ns0:keepLines/>
      </ns0:pPr>
      <ns0:r>
        <ns0:rPr>
          <ns0:rFonts ns0:ascii="Arial" ns0:hAnsi="Arial"/>
          <ns0:i ns0:val="0"/>
        </ns0:rPr>
        <ns0:t>Три партнери спільно вирішують розвиток моделі; кожен відповідає за свою зону. Для оцінки оплати кожного партнера потрібно зафіксувати погоджені задачі/результати, години, ставку або fixed fee та спосіб приймання; розрахунок погодинної частини — затверджені години × затверджена ставка. Business development додатково включає перевірку зовнішнього попиту на подібний кастомізований продукт у досяжних чи споріднених спільнотах. Окремо враховуються стратегія, протоколи й стандарти, розробка опитувань, клієнтські консультації, OSINT/event operations та партнерська взаємодія з девелоперами. Перед підрахунком години звіряються з CORE-01 і CORE-13: робота, вже включена в оцінку discovery/architecture або delivery management, не виставляється вдруге. Clutch-ставки агенцій не є тарифом партнерів. Розподіл часу, винагороди, повноважень, представницьких витрат і процедури розв’язання тупикових рішень ще потрібно погодити письмово; до цього фактичний гонорар кожного — TBD.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4946"/>
        <ns0:gridCol ns0:w="4946"/>
      </ns0:tblGrid>
      <ns0:tr>
        <ns0:tc>
          <ns0:tcPr>
            <ns0:tcW ns0:type="dxa" ns0:w="3024"/>
            <ns0:vAlign ns0:val="top"/>
            <ns0:shd ns0:fill="17324D"/>
          </ns0:tcPr>
          <ns0:p>
            <ns0:r>
              <ns0:t>Статус</ns0:t>
            </ns0:r>
          </ns0:p>
        </ns0:tc>
        <ns0:tc>
          <ns0:tcPr>
            <ns0:tcW ns0:type="dxa" ns0:w="8208"/>
            <ns0:vAlign ns0:val="top"/>
            <ns0:shd ns0:fill="17324D"/>
          </ns0:tcPr>
          <ns0:p>
            <ns0:r>
              <ns0:t>Що має бути зафіксовано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</ns0:tcPr>
          <ns0:p>
            <ns0:r>
              <ns0:t>Замовник</ns0:t>
            </ns0:r>
          </ns0:p>
        </ns0:tc>
        <ns0:tc>
          <ns0:tcPr>
            <ns0:tcW ns0:type="dxa" ns0:w="8208"/>
            <ns0:vAlign ns0:val="top"/>
          </ns0:tcPr>
          <ns0:p>
            <ns0:r>
              <ns0:t>Оплачує узгоджений обсяг; критерії приймання, доступ до даних, ліцензія/IP, підтримка та зміни scope визначаються контрактом. Частка майбутнього доходу не виникає автоматично.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  <ns0:shd ns0:fill="F2F6F8"/>
          </ns0:tcPr>
          <ns0:p>
            <ns0:r>
              <ns0:t>Партнерство з розвитку</ns0:t>
            </ns0:r>
          </ns0:p>
        </ns0:tc>
        <ns0:tc>
          <ns0:tcPr>
            <ns0:tcW ns0:type="dxa" ns0:w="8208"/>
            <ns0:vAlign ns0:val="top"/>
            <ns0:shd ns0:fill="F2F6F8"/>
          </ns0:tcPr>
          <ns0:p>
            <ns0:r>
              <ns0:t>Може включати спільне фінансування, керування roadmap і майбутній дохід; потрібні явні правила внесків, ризиків, прав на код, витрат і виходу з партнерства.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</ns0:tcPr>
          <ns0:p>
            <ns0:r>
              <ns0:t>Майбутній власник коду</ns0:t>
            </ns0:r>
          </ns0:p>
        </ns0:tc>
        <ns0:tc>
          <ns0:tcPr>
            <ns0:tcW ns0:type="dxa" ns0:w="8208"/>
            <ns0:vAlign ns0:val="top"/>
          </ns0:tcPr>
          <ns0:p>
            <ns0:r>
              <ns0:t>Передача або виключні права не припускаються. Ліцензія/передача, повторне використання, похідні продукти, підтримка й відповідальність мають бути окремо погоджені й оцінені.</ns0:t>
            </ns0:r>
          </ns0:p>
        </ns0:tc>
      </ns0:tr>
    </ns0:tbl>
    <ns0:p>
      <ns0:pPr>
        <ns0:spacing ns0:after="0"/>
      </ns0:pP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3298"/>
        <ns0:gridCol ns0:w="3298"/>
      </ns0:tblGrid>
      <ns0:tr>
        <ns0:tc>
          <ns0:tcPr>
            <ns0:tcW ns0:type="dxa" ns0:w="3024"/>
            <ns0:vAlign ns0:val="top"/>
            <ns0:shd ns0:fill="17324D"/>
          </ns0:tcPr>
          <ns0:p>
            <ns0:r>
              <ns0:t>Категорія</ns0:t>
            </ns0:r>
          </ns0:p>
        </ns0:tc>
        <ns0:tc>
          <ns0:tcPr>
            <ns0:tcW ns0:type="dxa" ns0:w="3600"/>
            <ns0:vAlign ns0:val="top"/>
            <ns0:shd ns0:fill="17324D"/>
          </ns0:tcPr>
          <ns0:p>
            <ns0:r>
              <ns0:t>Поточне формулювання</ns0:t>
            </ns0:r>
          </ns0:p>
        </ns0:tc>
        <ns0:tc>
          <ns0:tcPr>
            <ns0:tcW ns0:type="dxa" ns0:w="4608"/>
            <ns0:vAlign ns0:val="top"/>
            <ns0:shd ns0:fill="17324D"/>
          </ns0:tcPr>
          <ns0:p>
            <ns0:r>
              <ns0:t>Статус / умова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</ns0:tcPr>
          <ns0:p>
            <ns0:r>
              <ns0:t>Розробники</ns0:t>
            </ns0:r>
          </ns0:p>
        </ns0:tc>
        <ns0:tc>
          <ns0:tcPr>
            <ns0:tcW ns0:type="dxa" ns0:w="3600"/>
            <ns0:vAlign ns0:val="top"/>
          </ns0:tcPr>
          <ns0:p>
            <ns0:r>
              <ns0:t>33%–50%</ns0:t>
            </ns0:r>
          </ns0:p>
        </ns0:tc>
        <ns0:tc>
          <ns0:tcPr>
            <ns0:tcW ns0:type="dxa" ns0:w="4608"/>
            <ns0:vAlign ns0:val="top"/>
          </ns0:tcPr>
          <ns0:p>
            <ns0:r>
              <ns0:t>Цільовий діапазон користувача; фактичні ставки/кошториси не відомі.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  <ns0:shd ns0:fill="F2F6F8"/>
          </ns0:tcPr>
          <ns0:p>
            <ns0:r>
              <ns0:t>Core-team управління, адміністрування, відносини й представництво</ns0:t>
            </ns0:r>
          </ns0:p>
        </ns0:tc>
        <ns0:tc>
          <ns0:tcPr>
            <ns0:tcW ns0:type="dxa" ns0:w="3600"/>
            <ns0:vAlign ns0:val="top"/>
            <ns0:shd ns0:fill="F2F6F8"/>
          </ns0:tcPr>
          <ns0:p>
            <ns0:r>
              <ns0:t>33%–50%</ns0:t>
            </ns0:r>
          </ns0:p>
        </ns0:tc>
        <ns0:tc>
          <ns0:tcPr>
            <ns0:tcW ns0:type="dxa" ns0:w="4608"/>
            <ns0:vAlign ns0:val="top"/>
            <ns0:shd ns0:fill="F2F6F8"/>
          </ns0:tcPr>
          <ns0:p>
            <ns0:r>
              <ns0:t>Цільовий діапазон користувача; три гонорари та зовнішні витрати не визначені.</ns0:t>
            </ns0:r>
          </ns0:p>
        </ns0:tc>
      </ns0:tr>
      <ns0:tr>
        <ns0:trPr>
          <ns0:cantSplit/>
        </ns0:trPr>
        <ns0:tc>
          <ns0:tcPr>
            <ns0:tcW ns0:type="dxa" ns0:w="3024"/>
            <ns0:vAlign ns0:val="top"/>
          </ns0:tcPr>
          <ns0:p>
            <ns0:r>
              <ns0:t>Прибуток / реінвестування</ns0:t>
            </ns0:r>
          </ns0:p>
        </ns0:tc>
        <ns0:tc>
          <ns0:tcPr>
            <ns0:tcW ns0:type="dxa" ns0:w="3600"/>
            <ns0:vAlign ns0:val="top"/>
          </ns0:tcPr>
          <ns0:p>
            <ns0:r>
              <ns0:t>до 33% лише як обговорювана стеля частки позитивного залишку після підтверджених витрат</ns0:t>
            </ns0:r>
          </ns0:p>
        </ns0:tc>
        <ns0:tc>
          <ns0:tcPr>
            <ns0:tcW ns0:type="dxa" ns0:w="4608"/>
            <ns0:vAlign ns0:val="top"/>
          </ns0:tcPr>
          <ns0:p>
            <ns0:r>
              <ns0:t>Рішення не ухвалене. Не додається до бюджетних часток і не розраховується до перевірки витрат.</ns0:t>
            </ns0:r>
          </ns0:p>
        </ns0:tc>
      </ns0:tr>
    </ns0:tbl>
    <ns0:p>
      <ns0:pPr>
        <ns0:spacing ns0:after="0"/>
      </ns0:pPr>
    </ns0:p>
    <ns0:p>
      <ns0:pPr>
        <ns0:keepLines/>
      </ns0:pPr>
      <ns0:r>
        <ns0:rPr>
          <ns0:rFonts ns0:ascii="Arial" ns0:hAnsi="Arial"/>
          <ns0:i ns0:val="0"/>
        </ns0:rPr>
        <ns0:t>Два верхні бюджетні орієнтири разом дорівнюють 100% (50% + 50%). Окрему частку прибутку не можна додати поверх цих максимумів: спершу мають бути підтверджені фактичні витрати, а прибуток визначається як залишок після них. Частка прибутку/реінвестування, її одержувач і база розрахунку залишаються рішенням партнерів.</ns0:t>
      </ns0:r>
    </ns0:p>
    <ns0:p>
      <ns0:pPr>
        <ns0:keepLines/>
      </ns0:pPr>
      <ns0:r>
        <ns0:rPr>
          <ns0:rFonts ns0:ascii="Arial" ns0:hAnsi="Arial"/>
          <ns0:i ns0:val="0"/>
        </ns0:rPr>
        <ns0:t>Оплата замовником: аванс не менше 30% від погодженої суми; загалом не більше трьох платежів. Умови й суми наступних платежів, валюта, календарні тригери й критерії приймання не затверджені. 30% — не готова сума до рахунку, доки не затверджено повний бюджет.</ns0:t>
      </ns0:r>
    </ns0:p>
    <ns0:p>
      <ns0:pPr>
        <ns0:keepLines/>
      </ns0:pPr>
      <ns0:r>
        <ns0:rPr>
          <ns0:rFonts ns0:ascii="Arial" ns0:hAnsi="Arial"/>
          <ns0:i ns0:val="0"/>
        </ns0:rPr>
        <ns0:t>Реінвестування можливе лише як окрема подальша угода. SaaS — не автоматичний наслідок пілота: перехід до нього потребує доказу, що один чи більше workflow повторюються між незалежними спільнотами, кастомізація обмежена, зовнішній попит підтверджений, а багатотенантна ізоляція, права на дані/IP, підтримка, витрати обслуговування та повторюваний дохід мають прийнятну модель. До цього рішення продукт може залишатися greenfield-рішенням для одного замовника або партнерською розробкою. Для підтримки спільноти можливий runway — не більш як 3 місяці лише за окремо затвердженого місячного кошторису; це не зобов’язання фінансувати збиток і не входить у fixed-core rate-sensitivity.</ns0:t>
      </ns0:r>
    </ns0:p>
    <ns0:p>
      <ns0:pPr>
        <ns0:pStyle ns0:val="Heading1"/>
      </ns0:pPr>
      <ns0:r>
        <ns0:rPr>
          <ns0:rFonts ns0:ascii="Arial" ns0:hAnsi="Arial"/>
        </ns0:rPr>
        <ns0:t>Пілот: що саме довести</ns0:t>
      </ns0:r>
    </ns0:p>
    <ns0:p>
      <ns0:pPr>
        <ns0:keepLines/>
      </ns0:pPr>
      <ns0:r>
        <ns0:rPr>
          <ns0:rFonts ns0:ascii="Arial" ns0:hAnsi="Arial"/>
          <ns0:i ns0:val="0"/>
        </ns0:rPr>
        <ns0:t>Один обмежений пілот для одного клієнта має перевірити, чи допомагає погоджений сервіс швидше й контрольовано знаходити релевантних фахівців та доводити один погоджений запит до корисного результату. Конкретні клієнт, когорта, тема, дані, критерії приймання й метрики мають бути визначені до контракту. Приклад кампанії або теми є ілюстрацією, а не погодженим сценарієм.</ns0:t>
      </ns0:r>
    </ns0:p>
    <ns0:p>
      <ns0:pPr>
        <ns0:pStyle ns0:val="ListBullet"/>
        <ns0:spacing ns0:after="40"/>
      </ns0:pPr>
      <ns0:r>
        <ns0:rPr>
          <ns0:rFonts ns0:ascii="Arial" ns0:hAnsi="Arial"/>
        </ns0:rPr>
        <ns0:t>Зафіксувати до старту цільову когорту, базовий розмір, запрошення, правову підставу, згоду, джерело даних і визначення знаменника для кожного показника.</ns0:t>
      </ns0:r>
    </ns0:p>
    <ns0:p>
      <ns0:pPr>
        <ns0:pStyle ns0:val="ListBullet"/>
        <ns0:spacing ns0:after="40"/>
      </ns0:pPr>
      <ns0:r>
        <ns0:rPr>
          <ns0:rFonts ns0:ascii="Arial" ns0:hAnsi="Arial"/>
        </ns0:rPr>
        <ns0:t>Для кожного кроку зафіксувати власний знаменник і період: право-eligible та дедупліковані контакти → запрошення → доставлені запрошення → відповіді → opt-in → перевірені профілі → перша участь → повторна участь → платне членство/утримання. Наприклад, opt-in rate = добровільні opt-in ÷ доставлені запрошення; paid conversion = фактично сплачені членства ÷ перевірені opt-in, за визначений період. Окремо виміряти релевантність відповідей, запити, доведені до результату, створені/збережені знання та час/витрати на кожен етап. CAC перевіреного учасника = витрати кампанії ÷ нові перевірені opt-in; чистий внесок за період = фактично отримані членські платежі − комісії збору − підтверджені витрати обслуговування й залучення. До чисельника й знаменника включати лише реальні спостереження з походженням даних; прогалини та нульові результати не замінювати прогнозом.</ns0:t>
      </ns0:r>
    </ns0:p>
    <ns0:p>
      <ns0:pPr>
        <ns0:pStyle ns0:val="ListBullet"/>
        <ns0:spacing ns0:after="40"/>
      </ns0:pPr>
      <ns0:r>
        <ns0:rPr>
          <ns0:rFonts ns0:ascii="Arial" ns0:hAnsi="Arial"/>
        </ns0:rPr>
        <ns0:t>Якщо розглядаються членські внески, визначити наявних платників, право на контакт, фактичну оплату та період. Не виводити дохід із кількості учасників групи або теоретичних конверсій.</ns0:t>
      </ns0:r>
    </ns0:p>
    <ns0:p>
      <ns0:pPr>
        <ns0:pStyle ns0:val="ListBullet"/>
        <ns0:spacing ns0:after="40"/>
      </ns0:pPr>
      <ns0:r>
        <ns0:rPr>
          <ns0:rFonts ns0:ascii="Arial" ns0:hAnsi="Arial"/>
        </ns0:rPr>
        <ns0:t>Порівняти фактичні результати з попередньо визначеними цілями й baseline. Порогові значення залишити TBD до доступу до доказових вихідних даних; стандартизовану конверсію без джерела не підставляти.</ns0:t>
      </ns0:r>
    </ns0:p>
    <ns0:p>
      <ns0:pPr>
        <ns0:keepLines/>
      </ns0:pPr>
      <ns0:r>
        <ns0:rPr>
          <ns0:rFonts ns0:ascii="Arial" ns0:hAnsi="Arial"/>
          <ns0:i ns0:val="0"/>
        </ns0:rPr>
        <ns0:t>Скріншот LinkedIn, наданий 4 жовтня 2026 року, показує 11,750 учасників приватної групи ISRM. Це підтверджує лише відображену платформою чисельність на момент знімка; не є експортом або перевіреним реєстром, числом унікальних досяжних контактів, згодою на зовнішню обробку чи знаменником конверсії. Робоча пілотна гіпотеза: власник/адміністратор звертається до членів дозволеними вбудованими засобами LinkedIn із прозорим запрошенням пройти опитування або добровільно долучитися до обговорень і публічних подій; відповіді збираються лише після надання повідомлення про мету, відповідального контролера, необхідні поля, використання/зберігання та добровільність, без scraping, автоматизації або масового вивантаження профілів. Перед стартом треба документально перевірити статус і повноваження адміністратора, правила LinkedIn/групи, точну мету (дослідження чи промоція членства/послуг), законну підставу та застосовність PECR до конкретного каналу/повідомлення. ICO розрізняє справжнє дослідження/опитування та direct marketing; якщо повідомлення через соціальний direct message просуває членство, продукт чи послугу, правила PECR щодо electronic mail можуть застосовуватися, зокрема вимоги до згоди для individual subscribers. Остаточний текст і потік даних має перевірити відповідальний за privacy/legal compliance до старту. Сам факт володіння групою й число 11,750 самі по собі не надають права забирати список учасників, контактувати поза платформою чи автоматично обробляти їхні профілі. До перевірки ці умови залишаються воротами пілота. Джерела: LinkedIn, “General limits for LinkedIn groups” (https://www.linkedin.com/help/linkedin/answer/a544801) та “Invite People to Join a Group” (https://www.linkedin.com/help/linkedin/answer/a546768); ISRM Privacy Policy (https://www.theisrm.org/privacy-policy); ICO, “Electronic mail marketing” (https://ico.org.uk/for-organisations/direct-marketing-and-privacy-and-electronic-communications/guide-to-pecr/electronic-and-telephone-marketing/electronic-mail-marketing) та “Business-to-business marketing” (https://ico.org.uk/for-organisations/direct-marketing-and-privacy-and-electronic-communications/business-to-business-marketing).</ns0:t>
      </ns0:r>
    </ns0:p>
    <ns0:p>
      <ns0:pPr>
        <ns0:keepLines/>
      </ns0:pPr>
      <ns0:r>
        <ns0:rPr>
          <ns0:rFonts ns0:ascii="Arial" ns0:hAnsi="Arial"/>
          <ns0:i ns0:val="0"/>
        </ns0:rPr>
        <ns0:t>Ризик не дорівнює нулю: навіть якщо передано застосунок, залишаються ризики scope, прийняття учасниками, якості даних, згоди/прав, строків, постачальників, безпеки, підтримки та поточних витрат. Поставка ПЗ не гарантує членських внесків, зростання аудиторії чи соціального/економічного ефекту.</ns0:t>
      </ns0:r>
    </ns0:p>
    <ns0:p>
      <ns0:pPr>
        <ns0:pStyle ns0:val="Heading1"/>
      </ns0:pPr>
      <ns0:r>
        <ns0:rPr>
          <ns0:rFonts ns0:ascii="Arial" ns0:hAnsi="Arial"/>
        </ns0:rPr>
        <ns0:t>Технологічні й операційні ворота</ns0:t>
      </ns0:r>
    </ns0:p>
    <ns0:p>
      <ns0:pPr>
        <ns0:keepLines/>
      </ns0:pPr>
      <ns0:r>
        <ns0:rPr>
          <ns0:rFonts ns0:ascii="Arial" ns0:hAnsi="Arial"/>
          <ns0:i ns0:val="0"/>
        </ns0:rPr>
        <ns0:t>У поточній оцінці кандидатами є React + TypeScript, керована PostgreSQL, OIDC, об’єктне сховище, email та бібліотека 2D-графа; конкретні постачальники й бібліотека не затверджені. Окрема graph database не закладена. Це не production-архітектурне рішення й не підтвердження придатності наявного стека. Мінімум базового продукту має визначити, які групові функції будуються нативно, а які інтегруються з наявними інструментами на кшталт Slack/Notion; твердження про їх перевищення не робиться без погодженої feature matrix та перевірки на реальних задачах членів спільноти. AI-integration також потребує вибору конкретного use case, сервісу, контролів доступу, режиму зберігання даних і вартості використання.</ns0:t>
      </ns0:r>
    </ns0:p>
    <ns0:p>
      <ns0:pPr>
        <ns0:keepLines/>
      </ns0:pPr>
      <ns0:r>
        <ns0:rPr>
          <ns0:rFonts ns0:ascii="Arial" ns0:hAnsi="Arial"/>
          <ns0:i ns0:val="0"/>
        </ns0:rPr>
        <ns0:t>Перед імпортом реальних даних потрібні: погоджений source of truth; ролі контролера/процесора й законна підстава; opt-in та межі публічного профілю; обмеження контактних даних; зберігання/видалення; аудит і процес оскарження. AI/OSINT працює лише у визначених межах; критичні перевірки й рішення залишаються за людиною та затвердженим процесом.</ns0:t>
      </ns0:r>
    </ns0:p>
    <ns0:p>
      <ns0:pPr>
        <ns0:keepLines/>
      </ns0:pPr>
      <ns0:r>
        <ns0:rPr>
          <ns0:rFonts ns0:ascii="Arial" ns0:hAnsi="Arial"/>
          <ns0:i ns0:val="0"/>
        </ns0:rPr>
        <ns0:t>Наявний конфігуратор є демонстрацією, а не підтвердженням production-готовності чи погодженим кошторисом. Виробнича реалізація пошуку, конфігуратора, залежностей, погодження задач і експорту має бути віднесена до конкретного з чотирьох scope, отримати owner, межі, дані/інтеграції, критерії приймання та оцінку. Для обмеженого пілота частину операцій можна виконувати вручну, якщо погоджено handoff і результат; публічне членство, білінг, multi-community та післяпілотна автоматизація не входять автоматично.</ns0:t>
      </ns0:r>
    </ns0:p>
    <ns0:p>
      <ns0:pPr>
        <ns0:pStyle ns0:val="Heading1"/>
      </ns0:pPr>
      <ns0:r>
        <ns0:rPr>
          <ns0:rFonts ns0:ascii="Arial" ns0:hAnsi="Arial"/>
        </ns0:rPr>
        <ns0:t>Послідовність і календарний план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4946"/>
        <ns0:gridCol ns0:w="4946"/>
      </ns0:tblGrid>
      <ns0:tr>
        <ns0:tc>
          <ns0:tcPr>
            <ns0:tcW ns0:type="dxa" ns0:w="2880"/>
            <ns0:vAlign ns0:val="top"/>
            <ns0:shd ns0:fill="17324D"/>
          </ns0:tcPr>
          <ns0:p>
            <ns0:r>
              <ns0:t>Етап</ns0:t>
            </ns0:r>
          </ns0:p>
        </ns0:tc>
        <ns0:tc>
          <ns0:tcPr>
            <ns0:tcW ns0:type="dxa" ns0:w="8352"/>
            <ns0:vAlign ns0:val="top"/>
            <ns0:shd ns0:fill="17324D"/>
          </ns0:tcPr>
          <ns0:p>
            <ns0:r>
              <ns0:t>Вихід / умова переходу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</ns0:tcPr>
          <ns0:p>
            <ns0:r>
              <ns0:t>Ворота 1 — потреби</ns0:t>
            </ns0:r>
          </ns0:p>
        </ns0:tc>
        <ns0:tc>
          <ns0:tcPr>
            <ns0:tcW ns0:type="dxa" ns0:w="8352"/>
            <ns0:vAlign ns0:val="top"/>
          </ns0:tcPr>
          <ns0:p>
            <ns0:r>
              <ns0:t>Погодити сценарій пілота, межі продукту, дані та очікувані докази.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  <ns0:shd ns0:fill="F2F6F8"/>
          </ns0:tcPr>
          <ns0:p>
            <ns0:r>
              <ns0:t>Ворота 2 — ТЗ</ns0:t>
            </ns0:r>
          </ns0:p>
        </ns0:tc>
        <ns0:tc>
          <ns0:tcPr>
            <ns0:tcW ns0:type="dxa" ns0:w="8352"/>
            <ns0:vAlign ns0:val="top"/>
            <ns0:shd ns0:fill="F2F6F8"/>
          </ns0:tcPr>
          <ns0:p>
            <ns0:r>
              <ns0:t>Затвердити user journeys, ролі, приймання, інтеграції, критерії безпеки та виключення.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</ns0:tcPr>
          <ns0:p>
            <ns0:r>
              <ns0:t>Ворота 3 — контракт</ns0:t>
            </ns0:r>
          </ns0:p>
        </ns0:tc>
        <ns0:tc>
          <ns0:tcPr>
            <ns0:tcW ns0:type="dxa" ns0:w="8352"/>
            <ns0:vAlign ns0:val="top"/>
          </ns0:tcPr>
          <ns0:p>
            <ns0:r>
              <ns0:t>Зафіксувати валюту, постачальників/ставки, гонорари, витрати, платежі, права на код, ризики та відповідальність.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  <ns0:shd ns0:fill="F2F6F8"/>
          </ns0:tcPr>
          <ns0:p>
            <ns0:r>
              <ns0:t>Реалізація й приймання</ns0:t>
            </ns0:r>
          </ns0:p>
        </ns0:tc>
        <ns0:tc>
          <ns0:tcPr>
            <ns0:tcW ns0:type="dxa" ns0:w="8352"/>
            <ns0:vAlign ns0:val="top"/>
            <ns0:shd ns0:fill="F2F6F8"/>
          </ns0:tcPr>
          <ns0:p>
            <ns0:r>
              <ns0:t>Планувати інкременти, демонстрації й рішення після підтвердження команди, потужності, інтеграцій і строків рев’ю.</ns0:t>
            </ns0:r>
          </ns0:p>
        </ns0:tc>
      </ns0:tr>
      <ns0:tr>
        <ns0:trPr>
          <ns0:cantSplit/>
        </ns0:trPr>
        <ns0:tc>
          <ns0:tcPr>
            <ns0:tcW ns0:type="dxa" ns0:w="2880"/>
            <ns0:vAlign ns0:val="top"/>
          </ns0:tcPr>
          <ns0:p>
            <ns0:r>
              <ns0:t>Пілотний висновок</ns0:t>
            </ns0:r>
          </ns0:p>
        </ns0:tc>
        <ns0:tc>
          <ns0:tcPr>
            <ns0:tcW ns0:type="dxa" ns0:w="8352"/>
            <ns0:vAlign ns0:val="top"/>
          </ns0:tcPr>
          <ns0:p>
            <ns0:r>
              <ns0:t>Порівняти фактичні результати з baseline; окремо вирішити продовження сервісу або підготовку SaaS.</ns0:t>
            </ns0:r>
          </ns0:p>
        </ns0:tc>
      </ns0:tr>
    </ns0:tbl>
    <ns0:p>
      <ns0:pPr>
        <ns0:spacing ns0:after="0"/>
      </ns0:pPr>
    </ns0:p>
    <ns0:p>
      <ns0:pPr>
        <ns0:keepLines/>
      </ns0:pPr>
      <ns0:r>
        <ns0:t>Календарні дати й тривалість — TBD. Старий шестимісячний строк і low/base/high трудомісткість є історичними та не переносяться на поточний обсяг. Оцінку строку можна робити лише після погодження пілотного scope, залежностей, відповідальних осіб, їхньої доступності й часу на рішення замовника.</ns0:t>
      </ns0:r>
    </ns0:p>
    <ns0:p>
      <ns0:pPr>
        <ns0:pStyle ns0:val="Heading1"/>
      </ns0:pPr>
      <ns0:r>
        <ns0:rPr>
          <ns0:rFonts ns0:ascii="Arial" ns0:hAnsi="Arial"/>
        </ns0:rPr>
        <ns0:t>Рішення, необхідні від трьох партнерів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Який перший контракт пропонується: клієнтський пілот, партнерська розробка чи передача/ліцензія майбутньому власнику коду?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Які функції входять у перший ТЗ, а що лишається окремим workstream; які acceptance criteria і вимірювання пілота?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Яка контрактна валюта, фактичні ставки/гонорари, зовнішні витрати та доступна потужність команди?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Хто власник коду, що можна повторно використати, які права має замовник і хто несе підтримку після приймання?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Хто має законний доступ до даних учасників, як збирається згода та хто затверджує evidence rubric і людський контроль AI/OSINT?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Після пілота: чи є позитивний перевірений залишок, як його можна розподіляти/реінвестувати і хто затверджує до трьох місяців можливої операційної підтримки?</ns0:t>
      </ns0:r>
    </ns0:p>
    <ns0:p>
      <ns0:pPr>
        <ns0:pStyle ns0:val="Heading1"/>
      </ns0:pPr>
      <ns0:r>
        <ns0:rPr>
          <ns0:rFonts ns0:ascii="Arial" ns0:hAnsi="Arial"/>
        </ns0:rPr>
        <ns0:t>Як читати супровідні матеріали</ns0:t>
      </ns0:r>
    </ns0:p>
    <ns0:p>
      <ns0:pPr>
        <ns0:keepLines/>
      </ns0:pPr>
      <ns0:r>
        <ns0:rPr>
          <ns0:rFonts ns0:ascii="Arial" ns0:hAnsi="Arial"/>
          <ns0:i ns0:val="0"/>
        </ns0:rPr>
        <ns0:t>Рекомендований порядок: ця пропозиція → активна загальнопроєктна книга `ISRM_Partner_Budget_Model_Draft.xlsx` → джерела за логікою «цінність → доказ → правила даних → архітектура → виконання → бюджет». `ISRM_Partner_Cost_Model_Clean.xlsx` є допоміжним матеріалом про scope/reuse, а не другим кошторисом для додавання до основного. Числа в окремому source-документі не стають погодженими лише тому, що вони там записані.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0_ISRM_Client_Proposal_Draft.md — стартова клієнтська теза; ціна й строк потребують заміни на погоджені.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4_ISRM_Content_to_Service_Assessment.md — зв’язок матеріалів спільноти з можливими сервісами.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6_ISRM_Community_Activation_Evidence_and_Data_Gaps.md — докази, знаменники та невідомі показники.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5_ISRM_Expert_Registry_Access_Contract.md — умови доступу, згоди та використання реєстру.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1_ISRM_System_Architecture_and_Data_Attributed_Pricing_Protocol.md — архітектурна гіпотеза й цінові твердження; старі непідтверджені порівняння не використовувати як затверджену оферту.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2_ISRM_Internal_Product_Architecture_Roadmap_and_Pricing.md — етапи й історичний контекст; старі години/ціни не є оцінкою цього greenfield scope.</ns0:t>
      </ns0:r>
    </ns0:p>
    <ns0:p>
      <ns0:pPr>
        <ns0:pStyle ns0:val="ListNumber"/>
        <ns0:spacing ns0:after="40"/>
      </ns0:pPr>
      <ns0:r>
        <ns0:rPr>
          <ns0:rFonts ns0:ascii="Arial" ns0:hAnsi="Arial"/>
        </ns0:rPr>
        <ns0:t>`3_ISRM_Pricing_Model.xlsx` — історичне джерело 13 greenfield-пакетів і непідтверджених годин; не використовувати для поточної оцінки або оферти. `ISRM_Partner_Budget_Model_Draft.xlsx` — активна загальнопроєктна модель, де невідомі входи лишаються TBD. `ISRM_Partner_Cost_Model_Clean.xlsx` — окремий допоміжний scope/reuse-розрахунок; не додавати його підсумки до основної моделі.</ns0:t>
      </ns0:r>
    </ns0:p>
    <ns0:p>
      <ns0:pPr>
        <ns0:keepLines/>
      </ns0:pPr>
      <ns0:r>
        <ns0:rPr>
          <ns0:rFonts ns0:ascii="Arial" ns0:hAnsi="Arial"/>
          <ns0:i ns0:val="0"/>
        </ns0:rPr>
        <ns0:t>Файли-джерела лишаються окремими. `ISRM_Partner_Budget_Model_Draft.xlsx` має формули та локальний `Source_Register`, а не є канонічним реєстром проєкту. Допоміжна `ISRM_Partner_Cost_Model_Clean.xlsx` має власні припущення й не замінює загальнопроєктний бюджет.</ns0:t>
      </ns0:r>
    </ns0:p>
    <ns0:p>
      <ns0:pPr>
        <ns0:keepLines/>
      </ns0:pPr>
      <ns0:r>
        <ns0:rPr>
          <ns0:rFonts ns0:ascii="Arial" ns0:hAnsi="Arial"/>
          <ns0:i ns0:val="0"/>
        </ns0:rPr>
        <ns0:t>Ключове джерело rate-sensitivity: Clutch, Software Development Company Pricing Guide, вересень 2026, https://clutch.co/developers/pricing. Довідка повідомляє Україна USD 25–49/provider-hour і США USD 50–99/provider-hour. Перевірено 3 жовтня 2026 року через доступний витяг сторінки; це широкий довідковий діапазон, а не пропозиція постачальника.</ns0:t>
      </ns0:r>
    </ns0:p>
    <ns0:sectPr ns0:rsidR="00FC693F" ns0:rsidRPr="0006063C" ns0:rsidSect="00034616">
      <ns0:headerReference ns0:type="default" ns2:id="rId9"/>
      <ns0:footerReference ns0:type="default" ns2:id="rId10"/>
      <ns0:pgSz ns0:w="11909" ns0:h="16848"/>
      <ns0:pgMar ns0:top="893" ns0:right="1008" ns0:bottom="893" ns0:left="1008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Робочий документ • не є комерційною офертою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ISRM  |  ПАРТНЕРСЬКЕ РІШЕННЯ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