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ISRM Website Content and Technical Audit</w:t>
      </w:r>
    </w:p>
    <w:p>
      <w:pPr>
        <w:pStyle w:val="Subtitle"/>
      </w:pPr>
      <w:r>
        <w:t>Leadership report and 90 day improvement plan</w:t>
      </w:r>
    </w:p>
    <w:p>
      <w:r>
        <w:t>Website: https://www.theisrm.org</w:t>
        <w:br/>
        <w:t>Audit date: 30 September 2026, UTC</w:t>
        <w:br/>
        <w:t>Scope: public content, selected desktop journeys and DOM checks; technical verification gaps stated explicitly.</w:t>
      </w:r>
    </w:p>
    <w:p>
      <w:pPr>
        <w:pStyle w:val="Heading1"/>
      </w:pPr>
      <w:r>
        <w:t>Executive assessment</w:t>
      </w:r>
    </w:p>
    <w:p>
      <w:r>
        <w:t>ISRM should improve its existing website before considering a rebuild. The review found substantial current activity, useful publications, identifiable chapter leaders and functioning public routes into membership and training. The strongest opportunities are to explain the offer earlier, make choices easier, organise existing knowledge and correct shared page templates. Nothing observed establishes that a platform migration is necessary.</w:t>
      </w:r>
    </w:p>
    <w:p>
      <w:r>
        <w:t>The five priorities below combine verified observations with a judgement about their likely importance. Their effect on enquiries, registrations or revenue has not been measured. Source references identify the inspected pages; B references identify live browser tests documented in the appendix.</w:t>
      </w:r>
    </w:p>
    <w:tbl>
      <w:tblPr>
        <w:tblW w:type="auto" w:w="0"/>
        <w:jc w:val="center"/>
        <w:tblLayout w:type="fixed"/>
        <w:tblLook w:firstColumn="1" w:firstRow="1" w:lastColumn="0" w:lastRow="0" w:noHBand="0" w:noVBand="1" w:val="04A0"/>
      </w:tblPr>
      <w:tblGrid>
        <w:gridCol w:w="691"/>
        <w:gridCol w:w="5789"/>
        <w:gridCol w:w="3744"/>
      </w:tblGrid>
      <w:tr>
        <w:trPr>
          <w:cantSplit/>
          <w:tblHeader/>
        </w:trPr>
        <w:tc>
          <w:tcPr>
            <w:tcW w:type="dxa" w:w="691"/>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No</w:t>
            </w:r>
          </w:p>
        </w:tc>
        <w:tc>
          <w:tcPr>
            <w:tcW w:type="dxa" w:w="5789"/>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Finding and implication</w:t>
            </w:r>
          </w:p>
        </w:tc>
        <w:tc>
          <w:tcPr>
            <w:tcW w:type="dxa" w:w="3744"/>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First decision</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1</w:t>
            </w:r>
          </w:p>
        </w:tc>
        <w:tc>
          <w:tcPr>
            <w:tcW w:type="dxa" w:w="57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The membership page explains grades and annual fees, while longer terms appear on the next registration page. Benefits are not compared at the point of choice. [S02–S03]</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Approve one membership comparison page with eligibility, entitlements and all terms.</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2</w:t>
            </w:r>
          </w:p>
        </w:tc>
        <w:tc>
          <w:tcPr>
            <w:tcW w:type="dxa" w:w="57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All six DOM-sampled pages lack meta descriptions, Open Graph tags and JSON-LD. Four landing pages have no H1. The library separately has 99 H1 elements. [B01–B03]</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Assign one developer to repair templates and check the resulting pages.</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3</w:t>
            </w:r>
          </w:p>
        </w:tc>
        <w:tc>
          <w:tcPr>
            <w:tcW w:type="dxa" w:w="57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The library exposes 94 distinct PDF URLs and a search control, but its main presentation is a long title list. Recording pages can offer little guidance beyond video links. [S08, S18; B03]</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Pilot ten useful resource pages with summaries, topics and next steps.</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4</w:t>
            </w:r>
          </w:p>
        </w:tc>
        <w:tc>
          <w:tcPr>
            <w:tcW w:type="dxa" w:w="57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Training discovery crosses the institutional site, corporate site and external registration services. Course details, dates and recognition evidence are distributed. [S04–S07, S22, S26]</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Create a consistent programme record and clearly labelled booking route.</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5</w:t>
            </w:r>
          </w:p>
        </w:tc>
        <w:tc>
          <w:tcPr>
            <w:tcW w:type="dxa" w:w="57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Trust information needs editorial verification: the privacy notice uses an inconsistent organisation name, and qualification claims need precise awarding-body references. [S20, S05–S06, S35–S36]</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Have the responsible officer confirm legal identity and education claims before copy changes.</w:t>
            </w:r>
          </w:p>
        </w:tc>
      </w:tr>
    </w:tbl>
    <w:p/>
    <w:p>
      <w:r>
        <w:t>Recommended delivery envelope: 26–41 person-days over 90 calendar days, spread across a site owner, editor, WordPress developer, analytics specialist and reviewers. This is a planning estimate for a bounded improvement programme, not a supplier quotation. Approve the first fortnight first; confirm later scope after technical baselines and internal data are available.</w:t>
      </w:r>
    </w:p>
    <w:p>
      <w:pPr>
        <w:pStyle w:val="Heading1"/>
      </w:pPr>
      <w:r>
        <w:t>What already works</w:t>
      </w:r>
    </w:p>
    <w:p>
      <w:r>
        <w:t>The homepage has current posts and a visible international network. Course announcements include times and distinguish attendance from optional paid qualification routes. Chapters provide named contacts. The library contains substantial reusable material and does have search. Sampled pages expose descriptive titles and self-referencing canonicals, and many homepage images use WebP and lazy loading. These assets should be retained. [S01, S07–S08, S13–S15; B01–B03]</w:t>
      </w:r>
    </w:p>
    <w:p>
      <w:pPr>
        <w:pStyle w:val="Heading1"/>
      </w:pPr>
      <w:r>
        <w:t>Scope and confidence</w:t>
      </w:r>
    </w:p>
    <w:p>
      <w:r>
        <w:t>This is a sampled public audit, not a complete crawl, penetration test, accessibility certification or analytics review. The source catalogue covers 28 ISRM-family HTML pages, two sampled PDFs, six peer pages and two qualification records, plus technical guidance. Additional search leads were used for discovery. The three detailed chapter samples were Ukraine, the UK and KSA; Germany could not be retrieved in the research channel and is not graded.</w:t>
      </w:r>
    </w:p>
    <w:p>
      <w:r>
        <w:t>Research used web search and page extraction, followed by live Chrome desktop inspection, screenshots, accessibility-tree observations and read-only DOM queries. Search extracts may reflect earlier crawls; the appendix notes material freshness limitations. Six pages received the same metadata test, with a separate library inventory. No forms were submitted and no restricted content was accessed.</w:t>
      </w:r>
    </w:p>
    <w:p>
      <w:r>
        <w:t>Confirmed means directly observed in the stated channel. Opportunity means a proposed improvement based on that observation. Verify means the evidence is insufficient. A failed research fetch is not classified as a broken public link. Conversion impact, mobile behaviour, field performance and several server-level controls remain unmeasured.</w:t>
      </w:r>
    </w:p>
    <w:p>
      <w:pPr>
        <w:pStyle w:val="Heading1"/>
      </w:pPr>
      <w:r>
        <w:t>Content and membership</w:t>
      </w:r>
    </w:p>
    <w:p>
      <w:pPr>
        <w:pStyle w:val="Heading2"/>
      </w:pPr>
      <w:r>
        <w:t>Explain the offer before listing activity</w:t>
      </w:r>
    </w:p>
    <w:p>
      <w:r>
        <w:t>The desktop homepage opens with a course carousel and news. Its main header offers a menu and login rather than an immediate membership action. The purpose and audience are explained more clearly on About Us. This arrangement serves visitors who already know ISRM better than newcomers deciding whether it is relevant. [S01, S12; B01]</w:t>
      </w:r>
    </w:p>
    <w:p>
      <w:r>
        <w:t>Recommendation: place a short, permanent introduction above or alongside current promotions. Provide visible routes to membership, training, resources and chapters. Retain news, but make it support these tasks. Test comprehension with five prospective users: can they describe ISRM and identify their next step without assistance?</w:t>
      </w:r>
    </w:p>
    <w:p>
      <w:pPr>
        <w:pStyle w:val="Heading2"/>
      </w:pPr>
      <w:r>
        <w:t>Make membership choices comparable</w:t>
      </w:r>
    </w:p>
    <w:tbl>
      <w:tblPr>
        <w:tblW w:type="auto" w:w="0"/>
        <w:jc w:val="center"/>
        <w:tblLayout w:type="fixed"/>
        <w:tblLook w:firstColumn="1" w:firstRow="1" w:lastColumn="0" w:lastRow="0" w:noHBand="0" w:noVBand="1" w:val="04A0"/>
      </w:tblPr>
      <w:tblGrid>
        <w:gridCol w:w="1512"/>
        <w:gridCol w:w="1152"/>
        <w:gridCol w:w="7560"/>
      </w:tblGrid>
      <w:tr>
        <w:trPr>
          <w:cantSplit/>
          <w:tblHeader/>
        </w:trPr>
        <w:tc>
          <w:tcPr>
            <w:tcW w:type="dxa" w:w="151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Published grade</w:t>
            </w:r>
          </w:p>
        </w:tc>
        <w:tc>
          <w:tcPr>
            <w:tcW w:type="dxa" w:w="115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Annual price</w:t>
            </w:r>
          </w:p>
        </w:tc>
        <w:tc>
          <w:tcPr>
            <w:tcW w:type="dxa" w:w="756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Published eligibility and designation</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Student</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University students; registration requires a university email. No post-nominals.</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Certified</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£100</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Practitioners, academics and policy makers in relevant fields; M.ISRM.</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Associate</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£150</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People interested in joining who do not work directly in the relevant fields; no post-nominals.</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Fellow</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£150</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Outstanding contribution to the field; application route. The displayed designation contains an apparent extra suffix.</w:t>
            </w:r>
          </w:p>
        </w:tc>
      </w:tr>
    </w:tbl>
    <w:p/>
    <w:p>
      <w:r>
        <w:t>These are published prices, not a statement about tax, renewal or cancellation terms. Registration additionally lists five-year and lifetime options: Certified £400/£800 and Associate £600/£1,200. Show them before the visitor commits to a grade. Explain why Associate costs more, what each grade receives, and how fellowship is assessed. Confirm the apparent designation typo with the membership officer. [S02–S03]</w:t>
      </w:r>
    </w:p>
    <w:p>
      <w:r>
        <w:t>Build a benefits matrix covering resources, event access, training discounts where applicable, professional development, mentoring and local participation. Publish only entitlements confirmed internally. Explain whether free chapter participation differs from paid institute membership. Add renewal, cancellation, refund and support information approved by the responsible team.</w:t>
      </w:r>
    </w:p>
    <w:p>
      <w:pPr>
        <w:pStyle w:val="Heading2"/>
      </w:pPr>
      <w:r>
        <w:t>Strengthen institutional identity</w:t>
      </w:r>
    </w:p>
    <w:p>
      <w:r>
        <w:t>About Us identifies the executive director and purpose, but does not itself provide a full governance overview. The privacy notice, updated in April 2026, names the Institute of Risk Management while using ISRM, omitting “Strategic”. This is a confirmed naming inconsistency, not proof of an unlawful notice. Verify the correct legal entity, trading names, registered address and responsible contact, then use them consistently. [S12, S20]</w:t>
      </w:r>
    </w:p>
    <w:p>
      <w:r>
        <w:t>Publish a concise governance page, editorial standards and an appropriate media contact. Support leadership and institutional standing with verifiable records rather than broad superlatives. Do not describe every organisation in a network list as a formal accreditor or current commercial partner.</w:t>
      </w:r>
    </w:p>
    <w:p>
      <w:pPr>
        <w:pStyle w:val="Heading1"/>
      </w:pPr>
      <w:r>
        <w:t>Training and qualifications</w:t>
      </w:r>
    </w:p>
    <w:p>
      <w:r>
        <w:t>The training index is largely six programme links. The Level 5 course page describes its audience and syllabus; the Level 6 page provides a 12-month format, eight modules and written assignments. These are useful foundations, but fees, workload, assessment support and booking details are not presented in a consistent comparison format. [S04–S06]</w:t>
      </w:r>
    </w:p>
    <w:p>
      <w:r>
        <w:t>The navigation label Training Calendar leads to the corporate Training and Development page. It combines executive education, upcoming cohorts and programme links. A selected October course then leads to Eventbrite. The main site’s free-course announcement also links directly to Eventbrite. Make the purpose of each destination explicit and avoid making users reconstruct the offer across sites. [S07, S22, S26]</w:t>
      </w:r>
    </w:p>
    <w:tbl>
      <w:tblPr>
        <w:tblW w:type="auto" w:w="0"/>
        <w:jc w:val="center"/>
        <w:tblLayout w:type="fixed"/>
        <w:tblLook w:firstColumn="1" w:firstRow="1" w:lastColumn="0" w:lastRow="0" w:noHBand="0" w:noVBand="1" w:val="04A0"/>
      </w:tblPr>
      <w:tblGrid>
        <w:gridCol w:w="2088"/>
        <w:gridCol w:w="4032"/>
        <w:gridCol w:w="4104"/>
      </w:tblGrid>
      <w:tr>
        <w:trPr>
          <w:cantSplit/>
          <w:tblHeader/>
        </w:trPr>
        <w:tc>
          <w:tcPr>
            <w:tcW w:type="dxa" w:w="208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Claim or record</w:t>
            </w:r>
          </w:p>
        </w:tc>
        <w:tc>
          <w:tcPr>
            <w:tcW w:type="dxa" w:w="403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What was established</w:t>
            </w:r>
          </w:p>
        </w:tc>
        <w:tc>
          <w:tcPr>
            <w:tcW w:type="dxa" w:w="4104"/>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What still needs verification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Level 6 programme recognition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The UK government learning-aim record lists a Level 6 diploma of the same title, reference 60322329, awarding body ATHE Ltd and total qualification time of 400 hours. [S35]</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Match the current ISRM delivery to this exact award; confirm provider approval and current operational dates.</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Level 5 corporate risk award</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ATHE identifies its matching Level 5 award as a bespoke regulated qualification. [S36]</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Confirm qualification number, current ISRM approval, assessment arrangements and learner certification route.</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Exclusivity and professional recognition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ISRM’s course pages make exclusivity claims; the Level 6 page also asserts professional recognition. [S05–S06]</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The “only” claims and Chartered Security Professionals recognition were not independently established. Request the applicable current evidence.</w:t>
            </w:r>
          </w:p>
        </w:tc>
      </w:tr>
    </w:tbl>
    <w:p/>
    <w:p>
      <w:r>
        <w:t>The attempted link from the government learning-aim record to Ofqual’s legacy register could not be retrieved. This limits the verification; it does not invalidate the award. The public evidence supports the existence of matching qualifications, not every claim made about their delivery or recognition.</w:t>
      </w:r>
    </w:p>
    <w:p>
      <w:r>
        <w:t>Recommendation: add an evidence panel to each programme with the awarding organisation, qualification title and number, register link, level, assessment, workload, total cost and current cohort. Distinguish attendance, assessed qualification, institute membership and professional registration. Revise exclusivity wording unless the education lead can substantiate it. Correct the visibly incomplete sentence at the beginning of the Level 6 page. [S06]</w:t>
      </w:r>
    </w:p>
    <w:p>
      <w:pPr>
        <w:pStyle w:val="Heading1"/>
      </w:pPr>
      <w:r>
        <w:t>Knowledge resources and editorial development</w:t>
      </w:r>
    </w:p>
    <w:p>
      <w:r>
        <w:t>The Public Library includes recently added items and a larger collection. Live DOM inspection counted 198 PDF anchors representing 94 distinct URLs; title links and icon links explain much of the duplication. A visible search field is present. The review did not test search submissions or establish whether it indexes PDF contents. No topic or audience filters were apparent in the inspected interface. [S08; B03]</w:t>
      </w:r>
    </w:p>
    <w:p>
      <w:r>
        <w:t>A recent recording page presents four named video links without substantial on-page summaries. An older fellowship feature from May 2024 provides an example of expert-led material worth connecting to current membership content. The Ian Spence article shows that the site can publish attributed practitioner analysis. Preserve these formats and make them easier to find by topic and intended use. [S18–S19, S17]</w:t>
      </w:r>
    </w:p>
    <w:p>
      <w:r>
        <w:t>The Global Risk Review landing page asks for five fields before access, while the July 2026 PDF is also publicly linked from the library and was retrievable without submission. This may be intentional. Decide whether the form is for optional engagement or required access, and describe that honestly. Avoid an unnecessary mandatory-looking form when an open download is intended. [S09, S27]</w:t>
      </w:r>
    </w:p>
    <w:p>
      <w:r>
        <w:t>Pilot ten resource pages. Each should state author, publication date, subject, intended audience, a short editorial summary, three practical takeaways, source or recording, related resources and a next step. Add HTML summaries to important PDFs; do not republish third-party works without checking rights. For recordings, provide speaker names, timestamps, an edited transcript where permitted, and a concise summary. Keep historical material dated rather than treating age alone as a defect.</w:t>
      </w:r>
    </w:p>
    <w:p>
      <w:pPr>
        <w:pStyle w:val="Heading2"/>
      </w:pPr>
      <w:r>
        <w:t>Three month editorial pilot</w:t>
      </w:r>
    </w:p>
    <w:tbl>
      <w:tblPr>
        <w:tblW w:type="auto" w:w="0"/>
        <w:jc w:val="center"/>
        <w:tblLayout w:type="fixed"/>
        <w:tblLook w:firstColumn="1" w:firstRow="1" w:lastColumn="0" w:lastRow="0" w:noHBand="0" w:noVBand="1" w:val="04A0"/>
      </w:tblPr>
      <w:tblGrid>
        <w:gridCol w:w="2520"/>
        <w:gridCol w:w="3816"/>
        <w:gridCol w:w="3888"/>
      </w:tblGrid>
      <w:tr>
        <w:trPr>
          <w:cantSplit/>
          <w:tblHeader/>
        </w:trPr>
        <w:tc>
          <w:tcPr>
            <w:tcW w:type="dxa" w:w="252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Period and asset</w:t>
            </w:r>
          </w:p>
        </w:tc>
        <w:tc>
          <w:tcPr>
            <w:tcW w:type="dxa" w:w="3816"/>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Audience and output</w:t>
            </w:r>
          </w:p>
        </w:tc>
        <w:tc>
          <w:tcPr>
            <w:tcW w:type="dxa" w:w="388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Purpose and next step</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October 2026</w:t>
              <w:br/>
              <w:t>Free-course announcements and programme pages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Prospective learners</w:t>
              <w:br/>
              <w:t>Two course decision guides and one comparison page</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Explain attendance versus assessment; lead to the correct current cohort.</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October 2026</w:t>
              <w:br/>
              <w:t>Blue Planet recordings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Risk and resilience practitioners</w:t>
              <w:br/>
              <w:t>Four short session summaries and one topic collection</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Make video knowledge scannable; lead to the recording or relevant resource.</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November 2026</w:t>
              <w:br/>
              <w:t>Ukraine practitioner article</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Humanitarian, security and organisational leaders</w:t>
              <w:br/>
              <w:t>One editor-reviewed case discussion and one expert interview</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Translate existing experience into learning; invite chapter participation.</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November 2026</w:t>
              <w:br/>
              <w:t>Urban resilience publications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City, infrastructure and community professionals</w:t>
              <w:br/>
              <w:t>One curated reading pathway with five resource summaries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Help readers choose material; connect to the relevant programme.</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December 2026</w:t>
              <w:br/>
              <w:t>Global Risk Review archive</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Senior practitioners and policy audiences</w:t>
              <w:br/>
              <w:t>One thematic index and two comparative reading guides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Connect related historical material; invite newsletter opt-in.</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December 2026</w:t>
              <w:br/>
              <w:t>Fellowship and chapter material</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Prospective members and volunteers</w:t>
              <w:br/>
              <w:t>Two member case profiles, subject to consent</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Show credible participation outcomes; lead to membership or volunteering.</w:t>
            </w:r>
          </w:p>
        </w:tc>
      </w:tr>
    </w:tbl>
    <w:p/>
    <w:p>
      <w:r>
        <w:t>Appoint one managing editor. Programme owners confirm course facts before publication; chapter editors review contact details monthly and page completeness quarterly. Every substantive article should have an author, publication date, topic and review owner. Review event status after the event; add the recording or a clear archive notice. Maintain a corrections log. AI-assisted drafts should receive subject-matter and source review before publication.</w:t>
      </w:r>
    </w:p>
    <w:p>
      <w:pPr>
        <w:pStyle w:val="Heading1"/>
      </w:pPr>
      <w:r>
        <w:t>International chapters</w:t>
      </w:r>
    </w:p>
    <w:tbl>
      <w:tblPr>
        <w:tblW w:type="auto" w:w="0"/>
        <w:jc w:val="center"/>
        <w:tblLayout w:type="fixed"/>
        <w:tblLook w:firstColumn="1" w:firstRow="1" w:lastColumn="0" w:lastRow="0" w:noHBand="0" w:noVBand="1" w:val="04A0"/>
      </w:tblPr>
      <w:tblGrid>
        <w:gridCol w:w="1440"/>
        <w:gridCol w:w="4392"/>
        <w:gridCol w:w="4392"/>
      </w:tblGrid>
      <w:tr>
        <w:trPr>
          <w:cantSplit/>
          <w:tblHeader/>
        </w:trPr>
        <w:tc>
          <w:tcPr>
            <w:tcW w:type="dxa" w:w="144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Sample</w:t>
            </w:r>
          </w:p>
        </w:tc>
        <w:tc>
          <w:tcPr>
            <w:tcW w:type="dxa" w:w="439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Observed strengths</w:t>
            </w:r>
          </w:p>
        </w:tc>
        <w:tc>
          <w:tcPr>
            <w:tcW w:type="dxa" w:w="439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Improvement to test</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Ukraine [S13]</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Four visible updates from June to August 2026 and an extensive named team with public contacts.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Add a short chapter purpose, eligibility, practical joining instructions and a next activity. Standardise contact presentation.</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UK hub [S14]</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Multiple recent events, regional roles and a LinkedIn route.</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Explain the relationship between hub and local chapters. Verify the visibly irregular contact formatting rather than assuming delivery failure.</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KSA [S15]</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Journal activity, recordings and named leadership.</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Provide a persistent participation route and organise journal resources alongside events.</w:t>
            </w:r>
          </w:p>
        </w:tc>
      </w:tr>
    </w:tbl>
    <w:p/>
    <w:p>
      <w:r>
        <w:t>The samples support the existence of activity; they do not measure chapter size or performance. The Ukraine announcement describes a wider advisory structure than a simple chair listing. The permanent chapter page should explain roles and participation in plain language, without requiring readers to reconstruct the purpose from old announcements. [S21]</w:t>
      </w:r>
    </w:p>
    <w:p>
      <w:r>
        <w:t>Minimum chapter template: purpose and region; who can participate; how to join or contact the team; named role holders; next event; dated archive; two or three local knowledge contributions; relevant language options; global membership link; page owner and last-reviewed date. Headquarters should provide the template and editorial support. Chapter leads should confirm factual changes. An overdue review date should trigger a check, not an assumption that the chapter is inactive.</w:t>
      </w:r>
    </w:p>
    <w:p>
      <w:pPr>
        <w:pStyle w:val="Heading1"/>
      </w:pPr>
      <w:r>
        <w:t>Public user journeys</w:t>
      </w:r>
    </w:p>
    <w:p>
      <w:r>
        <w:t>These are route reviews, not completed transactions. They combine publicly visible links and content. Desktop layout was inspected on the homepage, library and menu; mobile rendering and all form completions remain untested.</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Visitor and observed route</w:t>
            </w:r>
          </w:p>
        </w:tc>
        <w:tc>
          <w:tcPr>
            <w:tcW w:type="dxa" w:w="360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Friction or uncertainty</w:t>
            </w:r>
          </w:p>
        </w:tc>
        <w:tc>
          <w:tcPr>
            <w:tcW w:type="dxa" w:w="360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Proposed improvement</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Prospective member</w:t>
              <w:br/>
              <w:t>Home → Membership → Registration [S01–S03]</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Benefits and longer payment terms are separated. Application completion was not tested.</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Put comparison, eligibility and terms together; preserve the selected grade when starting registration.</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Learner</w:t>
              <w:br/>
              <w:t>Training Programmes → programme → corporate dates → cohort → Eventbrite [S04–S07, S22, S26]</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Several contexts must be reconciled. The direct news route is shorter but less durable.</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Use one consistent programme summary with live cohort cards and a labelled external registration link.</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Existing member</w:t>
              <w:br/>
              <w:t>Library → restricted notice → login [S10–S11]</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The restriction is clear but the notice does not explain the resource value. Login and return-to-page behaviour were not tested.</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Preview resource categories and separate existing-member login from joining; verify return destination.</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Potential partner</w:t>
              <w:br/>
              <w:t>Corporate or Academic Partners → corporate site [S23–S25]</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Lists show breadth; relationship type, current status and outcomes need explanation.</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Add concise case examples and an enquiry route explaining the type of collaboration.</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participant</w:t>
              <w:br/>
              <w:t>Chapters → Ukraine/UK/KSA [S13–S15]</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Named contacts exist; a standard participation process is less evident.</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Add a consistent participation action, eligibility and expected response time once operationally agreed.</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Journalist or researcher</w:t>
              <w:br/>
              <w:t>About / Blog / Public Library [S08, S12, S16–S19]</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Expertise is distributed; an obvious subject-based expert directory was not found in the sample.</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Create a small expert directory and media contact, with author profiles and linked publications.</w:t>
            </w:r>
          </w:p>
        </w:tc>
      </w:tr>
    </w:tbl>
    <w:p/>
    <w:p>
      <w:r>
        <w:t>The desktop menu presents 15 public destinations followed by member destinations in a tall overlay. Grouping choices by task could reduce scanning. Repeated navigation in extracted page text is not proof that users see duplicate menus: the live interface contains separate menu and footer structures. [B04]</w:t>
      </w:r>
    </w:p>
    <w:p>
      <w:pPr>
        <w:pStyle w:val="Heading1"/>
      </w:pPr>
      <w:r>
        <w:t>Technical findings</w:t>
      </w:r>
    </w:p>
    <w:p>
      <w:pPr>
        <w:pStyle w:val="Heading2"/>
      </w:pPr>
      <w:r>
        <w:t>Measured DOM sample</w:t>
      </w:r>
    </w:p>
    <w:p>
      <w:r>
        <w:t>B01–B02 used live Chrome on 30 September 2026. “Absent” means absent from the inspected DOM, not a claim about every page or all possible metadata formats. The six URLs below had a self-referencing canonical and the robots value max-image-preview:large. No noindex directive was observed in those meta tags; HTTP X-Robots-Tag headers were not inspected.</w:t>
      </w:r>
    </w:p>
    <w:tbl>
      <w:tblPr>
        <w:tblW w:type="auto" w:w="0"/>
        <w:jc w:val="center"/>
        <w:tblLayout w:type="fixed"/>
        <w:tblLook w:firstColumn="1" w:firstRow="1" w:lastColumn="0" w:lastRow="0" w:noHBand="0" w:noVBand="1" w:val="04A0"/>
      </w:tblPr>
      <w:tblGrid>
        <w:gridCol w:w="3168"/>
        <w:gridCol w:w="1944"/>
        <w:gridCol w:w="1800"/>
        <w:gridCol w:w="1656"/>
        <w:gridCol w:w="1656"/>
      </w:tblGrid>
      <w:tr>
        <w:trPr>
          <w:cantSplit/>
          <w:tblHeader/>
        </w:trPr>
        <w:tc>
          <w:tcPr>
            <w:tcW w:type="dxa" w:w="316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Page</w:t>
            </w:r>
          </w:p>
        </w:tc>
        <w:tc>
          <w:tcPr>
            <w:tcW w:type="dxa" w:w="1944"/>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H1 elements</w:t>
            </w:r>
          </w:p>
        </w:tc>
        <w:tc>
          <w:tcPr>
            <w:tcW w:type="dxa" w:w="180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Meta description</w:t>
            </w:r>
          </w:p>
        </w:tc>
        <w:tc>
          <w:tcPr>
            <w:tcW w:type="dxa" w:w="1656"/>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Open Graph</w:t>
            </w:r>
          </w:p>
        </w:tc>
        <w:tc>
          <w:tcPr>
            <w:tcW w:type="dxa" w:w="1656"/>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JSON LD</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Homepage [S01]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5 including carousel copies</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Absent</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tags</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blocks</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Membership [S02]</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Absent</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tags</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blocks</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Training index [S04]</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Absent</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tags</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blocks</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Ukraine chapter [S13]</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Absent</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tags</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blocks</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Forum 465 and 466 [S16]</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1</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Absent</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tags</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blocks</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Events calendar [S07A]</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Absent</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tags</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0 blocks</w:t>
            </w:r>
          </w:p>
        </w:tc>
      </w:tr>
    </w:tbl>
    <w:p/>
    <w:p>
      <w:r>
        <w:t>Add accurate, page-specific meta descriptions and social preview fields to the shared templates. Google can generate snippets from page content and may choose not to use the description; this is an editorial control improvement, not a guaranteed ranking increase. [T01] Use descriptive titles for programme and chapter pages while retaining their existing meaning.</w:t>
      </w:r>
    </w:p>
    <w:p>
      <w:r>
        <w:t>Use one clear primary heading as a consistent house convention, with subheadings that reflect content hierarchy. Multiple H1s alone do not establish a Google penalty or automatic WCAG failure. The library’s 99 H1s, however, flatten a long resource list into repeated top-level headings and deserve correction. Use a page heading and lower-level resource titles or list entries. [B03]</w:t>
      </w:r>
    </w:p>
    <w:p>
      <w:r>
        <w:t>Add appropriate structured data only where it matches visible content: organisation identity, breadcrumbs, articles and actual events. Evaluate Course markup separately against current consumer requirements. Validate implementation before release; no rich-result eligibility or AI citation is promised. The test checked JSON-LD, not every possible microdata or RDFa representation.</w:t>
      </w:r>
    </w:p>
    <w:p>
      <w:pPr>
        <w:pStyle w:val="Heading2"/>
      </w:pPr>
      <w:r>
        <w:t>Platform and resource delivery</w:t>
      </w:r>
    </w:p>
    <w:p>
      <w:r>
        <w:t>The homepage contains WordPress and Elementor generator tags, Hello Elementor theme paths, MemberPress asset paths, Complianz consent assets, an interactive map library and Google-related scripts. These identify a probable WordPress stack that should be assessed for in-place maintenance. They do not establish server configuration, plugin health or vulnerabilities. Version strings were observed but not independently verified. [B01]</w:t>
      </w:r>
    </w:p>
    <w:p>
      <w:r>
        <w:t>Many homepage content images are WebP and lazy loaded; this is a useful starting point. Several PNG assets and multiple map, carousel and plugin scripts are also present. Inspect actual transfer sizes and execution costs before removing or optimising them. The audit did not measure resource weights, compression, cache headers, font transfer or rendering delay.</w:t>
      </w:r>
    </w:p>
    <w:p>
      <w:r>
        <w:t>The library contains ten distinct PDF destinations using HTTP and mixes www and non-www hosts. Update stored links to verified preferred HTTPS destinations after checking each target. HTTP links in a list are not proof that a browser downloads insecurely or that mixed active content is present; redirects and browser upgrades were not measured. [B03]</w:t>
      </w:r>
    </w:p>
    <w:p>
      <w:pPr>
        <w:pStyle w:val="Heading2"/>
      </w:pPr>
      <w:r>
        <w:t>Accessibility and consent</w:t>
      </w:r>
    </w:p>
    <w:p>
      <w:r>
        <w:t>The sampled DOM includes language declarations and a viewport tag. The library search and newsletter email controls expose accessible labels. Conversely, the homepage and library accessibility trees expose unnamed image/icon links adjacent to named text links. Check their accessible names and either combine each pair into one meaningful link or remove redundant icon links from keyboard navigation. Empty image alt text can be correct for decoration; the issue is the accessible link purpose, not the raw count of empty alt attributes. [B01, B03–B04]</w:t>
      </w:r>
    </w:p>
    <w:p>
      <w:r>
        <w:t>The consent interface provides Accept and Deny controls and a privacy link. Deny was selected; the banner was absent on the later library view. This proves a visible dismissal, not correct blocking of analytics or durable consent storage. A Google analytics script remained present in the inspected DOM; script presence alone does not prove cookies were set or data sent. Test initial, rejected and accepted states using network and storage inspection. [B01, B03]</w:t>
      </w:r>
    </w:p>
    <w:p>
      <w:r>
        <w:t>Map the follow-up accessibility review to WCAG 2.2 AA, including 1.1.1 alternatives, 1.3.1 structure, 1.4.3 contrast, 1.4.10 reflow, 2.1.1 keyboard access, 2.4.4 link purpose, 2.4.7 focus visibility, 2.4.11 focus not obscured and 3.3.2 labels. No contrast measurements, full keyboard sequence, screen-reader session, captions review or mobile reflow test were completed. [T03]</w:t>
      </w:r>
    </w:p>
    <w:p>
      <w:pPr>
        <w:pStyle w:val="Heading2"/>
      </w:pPr>
      <w:r>
        <w:t>Technical checks that remain open</w:t>
      </w:r>
    </w:p>
    <w:tbl>
      <w:tblPr>
        <w:tblW w:type="auto" w:w="0"/>
        <w:jc w:val="center"/>
        <w:tblLayout w:type="fixed"/>
        <w:tblLook w:firstColumn="1" w:firstRow="1" w:lastColumn="0" w:lastRow="0" w:noHBand="0" w:noVBand="1" w:val="04A0"/>
      </w:tblPr>
      <w:tblGrid>
        <w:gridCol w:w="1728"/>
        <w:gridCol w:w="4032"/>
        <w:gridCol w:w="4464"/>
      </w:tblGrid>
      <w:tr>
        <w:trPr>
          <w:cantSplit/>
          <w:tblHeader/>
        </w:trPr>
        <w:tc>
          <w:tcPr>
            <w:tcW w:type="dxa" w:w="172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Area</w:t>
            </w:r>
          </w:p>
        </w:tc>
        <w:tc>
          <w:tcPr>
            <w:tcW w:type="dxa" w:w="403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Status and limit</w:t>
            </w:r>
          </w:p>
        </w:tc>
        <w:tc>
          <w:tcPr>
            <w:tcW w:type="dxa" w:w="4464"/>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Specific completion test</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Crawl and indexing</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robots.txt and sitemap retrieval did not succeed; the browser reported a client block for robots.txt. No full crawl.</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Fetch both using an authorised diagnostic environment; reconcile sitemap, crawl and CMS inventory. Inspect Search Console coverage.</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HTTP and canonicalisation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Canonical elements checked; response headers, redirect chains and hostname enforcement untested. Shell network attempt timed out.</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Record GET status and each hop for HTTP/HTTPS and www/non-www roots plus representative paths. Check headers and canonical agreement.</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Broken links and orphan pages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Some research requests returned errors; later retries retrieved several pages. No reliable sitewide failure count.</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Crawl with modest rate, distinguish 4xx/5xx from tool failures, then confirm actionable failures manually. Compare CMS pages with crawl reachability.</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Performance and Web Vitals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No Lighthouse, PageSpeed Insights or CrUX metrics obtained. No speed grade is assigned.</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Run three comparable lab tests per page/device; report median and conditions. Use available field data separately for LCP, INP and CLS.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Mobile and accessibility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Desktop sample only. No mobile viewport or device tests.</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Check 360/390/768-pixel widths, 200% zoom, keyboard and screen reader on six page types, including consent, menu and forms.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Security and privacy controls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HTTPS pages loaded; HSTS, CSP, other headers, cookies and transmission behaviour untested.</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Inspect response headers and consent states. Review configuration with the maintainer; do not infer exploitability from a missing header.</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Forms and analytics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No submissions, checkout, login or member-area tests. Analytics asset presence is not proof of valid collection.</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Use staging/test accounts to verify validation, recovery, receipts, return URLs and consent-aware conversion events.</w:t>
            </w:r>
          </w:p>
        </w:tc>
      </w:tr>
    </w:tbl>
    <w:p/>
    <w:p>
      <w:r>
        <w:t>For performance follow-up, sample the homepage, membership, a programme, an event detail, Ukraine chapter and an article. Field Core Web Vitals and laboratory scores answer different questions. INP requires interaction data; laboratory Total Blocking Time must not be relabelled INP. Record tool version, device profile, network profile, URL, time and data period. [T02]</w:t>
      </w:r>
    </w:p>
    <w:p>
      <w:pPr>
        <w:pStyle w:val="Heading1"/>
      </w:pPr>
      <w:r>
        <w:t>Search visibility and AI discoverability</w:t>
      </w:r>
    </w:p>
    <w:p>
      <w:r>
        <w:t>The research service returned the main site, About page, corporate domain and related regional/student sites for branded searches. A broad training query returned several commercial training providers. Results were sampled on 30 September 2026 through the available search service; its underlying engine, locale and personalised ranking context were not exposed. Therefore this is evidence of discovery and competition, not a Google ranking report.</w:t>
      </w:r>
    </w:p>
    <w:tbl>
      <w:tblPr>
        <w:tblW w:type="auto" w:w="0"/>
        <w:jc w:val="center"/>
        <w:tblLayout w:type="fixed"/>
        <w:tblLook w:firstColumn="1" w:firstRow="1" w:lastColumn="0" w:lastRow="0" w:noHBand="0" w:noVBand="1" w:val="04A0"/>
      </w:tblPr>
      <w:tblGrid>
        <w:gridCol w:w="3240"/>
        <w:gridCol w:w="3816"/>
        <w:gridCol w:w="3168"/>
      </w:tblGrid>
      <w:tr>
        <w:trPr>
          <w:cantSplit/>
          <w:tblHeader/>
        </w:trPr>
        <w:tc>
          <w:tcPr>
            <w:tcW w:type="dxa" w:w="324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Query run</w:t>
            </w:r>
          </w:p>
        </w:tc>
        <w:tc>
          <w:tcPr>
            <w:tcW w:type="dxa" w:w="3816"/>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Observation</w:t>
            </w:r>
          </w:p>
        </w:tc>
        <w:tc>
          <w:tcPr>
            <w:tcW w:type="dxa" w:w="316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Interpretation allowed</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"Institute of Strategic Risk Management"</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Main and About pages plus corporate and regional results appeared.</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The brand is discoverable in this channel. Brand identity spans several sites.</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"strategic risk management training"</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Commercial course pages appeared from several providers.</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 competitive topic; no defensible ISRM rank or share-of-search estimate.</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"crisis management professional membership"</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Returned results were insufficiently attributable to this query in the combined response.</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No conclusion; repeat in a controlled search study.</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Exact Level 6 qualification title</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Programme pages, older announcements and an independent government record appeared.</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Review evergreen versus dated pages; overlap alone does not prove search cannibalisation.</w:t>
            </w:r>
          </w:p>
        </w:tc>
      </w:tr>
    </w:tbl>
    <w:p/>
    <w:p>
      <w:r>
        <w:t>Prioritise durable pages for strategic risk training, crisis management qualifications and professional membership. Link dated announcements to the relevant permanent programme, and preserve event dates so past material is not mistaken for a current offer. Use Search Console to determine whether multiple URLs compete for the same queries before consolidating anything.</w:t>
      </w:r>
    </w:p>
    <w:p>
      <w:r>
        <w:t>For AI-assisted discovery, the practical foundation is the same: clear organisational identity, named authors, dated HTML summaries, original expertise, source links and consistent programme facts. A PDF can be discoverable; an HTML companion makes its purpose easier to assess. Any experiment with AI-crawler policies or additional machine-readable files should follow a stated publishing policy and a baseline. It cannot guarantee inclusion or citations.</w:t>
      </w:r>
    </w:p>
    <w:p>
      <w:pPr>
        <w:pStyle w:val="Heading1"/>
      </w:pPr>
      <w:r>
        <w:t>Peer comparisons</w:t>
      </w:r>
    </w:p>
    <w:p>
      <w:r>
        <w:t>IRM is a close comparison for risk education and membership. BCI is relevant for resilience knowledge and community organisation. ASIS is relevant for professional development and chapter journeys. These are feature benchmarks, not a league table. Their resources, scale and operating models differ from ISRM; no peer performance or mobile score was measured.</w:t>
      </w:r>
    </w:p>
    <w:tbl>
      <w:tblPr>
        <w:tblW w:type="auto" w:w="0"/>
        <w:jc w:val="center"/>
        <w:tblLayout w:type="fixed"/>
        <w:tblLook w:firstColumn="1" w:firstRow="1" w:lastColumn="0" w:lastRow="0" w:noHBand="0" w:noVBand="1" w:val="04A0"/>
      </w:tblPr>
      <w:tblGrid>
        <w:gridCol w:w="1555"/>
        <w:gridCol w:w="2880"/>
        <w:gridCol w:w="2880"/>
        <w:gridCol w:w="2909"/>
      </w:tblGrid>
      <w:tr>
        <w:trPr>
          <w:cantSplit/>
          <w:tblHeader/>
        </w:trPr>
        <w:tc>
          <w:tcPr>
            <w:tcW w:type="dxa" w:w="1555"/>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Dimension</w:t>
            </w:r>
          </w:p>
        </w:tc>
        <w:tc>
          <w:tcPr>
            <w:tcW w:type="dxa" w:w="288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IRM [S30–S31]</w:t>
            </w:r>
          </w:p>
        </w:tc>
        <w:tc>
          <w:tcPr>
            <w:tcW w:type="dxa" w:w="288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BCI [S32–S33]</w:t>
            </w:r>
          </w:p>
        </w:tc>
        <w:tc>
          <w:tcPr>
            <w:tcW w:type="dxa" w:w="2909"/>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ASIS [S34–S34A]</w:t>
            </w:r>
          </w:p>
        </w:tc>
      </w:tr>
      <w:tr>
        <w:trPr>
          <w:cantSplit/>
        </w:trPr>
        <w:tc>
          <w:tcPr>
            <w:tcW w:type="dxa" w:w="15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Positioning</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Professional development and risk capability.</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Explicit explanation of the institute and its services.</w:t>
            </w:r>
          </w:p>
        </w:tc>
        <w:tc>
          <w:tcPr>
            <w:tcW w:type="dxa" w:w="29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Clear community proposition and career-stage framing.</w:t>
            </w:r>
          </w:p>
        </w:tc>
      </w:tr>
      <w:tr>
        <w:trPr>
          <w:cantSplit/>
        </w:trPr>
        <w:tc>
          <w:tcPr>
            <w:tcW w:type="dxa" w:w="15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Membership</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Separate grades, fees and reasons to join.</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Individual and corporate routes.</w:t>
            </w:r>
          </w:p>
        </w:tc>
        <w:tc>
          <w:tcPr>
            <w:tcW w:type="dxa" w:w="29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Benefits by career stage, published terms and chapter-dues note.</w:t>
            </w:r>
          </w:p>
        </w:tc>
      </w:tr>
      <w:tr>
        <w:trPr>
          <w:cantSplit/>
        </w:trPr>
        <w:tc>
          <w:tcPr>
            <w:tcW w:type="dxa" w:w="15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Training</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Regulated and unregulated qualification groups; detailed course FAQ.</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Introductory, advanced and certification routes.</w:t>
            </w:r>
          </w:p>
        </w:tc>
        <w:tc>
          <w:tcPr>
            <w:tcW w:type="dxa" w:w="29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Certification, certificate courses and career resources separated.</w:t>
            </w:r>
          </w:p>
        </w:tc>
      </w:tr>
      <w:tr>
        <w:trPr>
          <w:cantSplit/>
        </w:trPr>
        <w:tc>
          <w:tcPr>
            <w:tcW w:type="dxa" w:w="15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Knowledge</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Resource centre and magazine routes.</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Knowledge search with content types and topical classification.</w:t>
            </w:r>
          </w:p>
        </w:tc>
        <w:tc>
          <w:tcPr>
            <w:tcW w:type="dxa" w:w="29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A clearly identified editorial knowledge hub.</w:t>
            </w:r>
          </w:p>
        </w:tc>
      </w:tr>
      <w:tr>
        <w:trPr>
          <w:cantSplit/>
        </w:trPr>
        <w:tc>
          <w:tcPr>
            <w:tcW w:type="dxa" w:w="15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Chapters</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Regional and specialist groups visible in navigation.</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Community groups and directory.</w:t>
            </w:r>
          </w:p>
        </w:tc>
        <w:tc>
          <w:tcPr>
            <w:tcW w:type="dxa" w:w="29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Local chapters linked to membership value.</w:t>
            </w:r>
          </w:p>
        </w:tc>
      </w:tr>
      <w:tr>
        <w:trPr>
          <w:cantSplit/>
        </w:trPr>
        <w:tc>
          <w:tcPr>
            <w:tcW w:type="dxa" w:w="15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Credibility</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Qualification detail and explicit status categories.</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Governance and board navigation.</w:t>
            </w:r>
          </w:p>
        </w:tc>
        <w:tc>
          <w:tcPr>
            <w:tcW w:type="dxa" w:w="29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Professional certification routes and contact identity.</w:t>
            </w:r>
          </w:p>
        </w:tc>
      </w:tr>
      <w:tr>
        <w:trPr>
          <w:cantSplit/>
        </w:trPr>
        <w:tc>
          <w:tcPr>
            <w:tcW w:type="dxa" w:w="15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Conversion</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Separate reasons, fees and course enquiry paths.</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Task-oriented service links.</w:t>
            </w:r>
          </w:p>
        </w:tc>
        <w:tc>
          <w:tcPr>
            <w:tcW w:type="dxa" w:w="29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Join action next to concrete benefits and prices.</w:t>
            </w:r>
          </w:p>
        </w:tc>
      </w:tr>
      <w:tr>
        <w:trPr>
          <w:cantSplit/>
        </w:trPr>
        <w:tc>
          <w:tcPr>
            <w:tcW w:type="dxa" w:w="15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Mobile usability</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Not tested.</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Not tested.</w:t>
            </w:r>
          </w:p>
        </w:tc>
        <w:tc>
          <w:tcPr>
            <w:tcW w:type="dxa" w:w="29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Not tested.</w:t>
            </w:r>
          </w:p>
        </w:tc>
      </w:tr>
    </w:tbl>
    <w:p/>
    <w:p>
      <w:r>
        <w:t>Adopt three proportionate practices: an explicit membership-benefits comparison; a searchable knowledge catalogue with topic and format labels; and course pages that explain recognition, workload and assessment. ISRM can implement these within existing templates without reproducing the larger organisations’ entire feature sets.</w:t>
      </w:r>
    </w:p>
    <w:p>
      <w:pPr>
        <w:pStyle w:val="Heading1"/>
      </w:pPr>
      <w:r>
        <w:t>Proposed navigation and page templates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Primary item</w:t>
            </w:r>
          </w:p>
        </w:tc>
        <w:tc>
          <w:tcPr>
            <w:tcW w:type="dxa" w:w="8064"/>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Contents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Membership</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Benefits and grades; fees and terms; apply; fellowship; member support.</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Training</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Programme comparison; programme pages; upcoming cohorts; corporate training.</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Knowledge</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Search resources; topics; reports; articles; recordings; member-only resources clearly labelled.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Events</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Upcoming events; event details; past events and recordings.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Chapters</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Region directory; chapter pages; university and specialist communities.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About and Partners</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Purpose; leadership and governance; partnership options; evidence of joint work; contact and media.</w:t>
            </w:r>
          </w:p>
        </w:tc>
      </w:tr>
    </w:tbl>
    <w:p/>
    <w:p>
      <w:r>
        <w:t>Keep Login, Search and Join visible as utilities. Retain stable URLs where practical. If navigation or URLs change, map every affected URL and validate redirects, internal links and analytics before release. Label external destinations as ISRM Corporate, ISRM Students, Eventbrite or Zoom as appropriate.</w:t>
      </w:r>
    </w:p>
    <w:tbl>
      <w:tblPr>
        <w:tblW w:type="auto" w:w="0"/>
        <w:jc w:val="center"/>
        <w:tblLayout w:type="fixed"/>
        <w:tblLook w:firstColumn="1" w:firstRow="1" w:lastColumn="0" w:lastRow="0" w:noHBand="0" w:noVBand="1" w:val="04A0"/>
      </w:tblPr>
      <w:tblGrid>
        <w:gridCol w:w="1656"/>
        <w:gridCol w:w="8568"/>
      </w:tblGrid>
      <w:tr>
        <w:trPr>
          <w:cantSplit/>
          <w:tblHeader/>
        </w:trPr>
        <w:tc>
          <w:tcPr>
            <w:tcW w:type="dxa" w:w="1656"/>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Template</w:t>
            </w:r>
          </w:p>
        </w:tc>
        <w:tc>
          <w:tcPr>
            <w:tcW w:type="dxa" w:w="856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Required content and acceptance check</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Membership</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Audience, grade, eligibility, verified entitlements, complete price/term options, renewal/cancellation information, application process, help contact. A new visitor can choose a suitable route without opening several explanatory pages.</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Training</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Outcome, intended learner, prerequisites, format, duration, workload, syllabus, assessment, awarding body and evidence, full cost, current dates, booking destination. Programme and cohort facts agree.</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Chapter</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Purpose, region, participation route, leadership, next activity, local resources, language, global links and review owner. A visitor knows whom to contact and how to participate.</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Resource</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Descriptive title, author, date, format, topics, summary, practical relevance, original source, download/recording, related items, access label and review date. Search users can judge usefulness before downloading.</w:t>
            </w:r>
          </w:p>
        </w:tc>
      </w:tr>
    </w:tbl>
    <w:p/>
    <w:p>
      <w:pPr>
        <w:pStyle w:val="Heading2"/>
      </w:pPr>
      <w:r>
        <w:t>Proposed wording for editorial approval</w:t>
      </w:r>
    </w:p>
    <w:p>
      <w:r>
        <w:t>Homepage: “A global professional community for strategic risk and crisis management. Connect with practitioners, academics and policy makers, develop your skills and share lessons from practice.” Suggested actions: Explore membership; Find training; Browse resources.</w:t>
      </w:r>
    </w:p>
    <w:p>
      <w:r>
        <w:t>Membership action: “Find the membership that fits your work. Compare eligibility, benefits and fees, then choose your application route.”</w:t>
      </w:r>
    </w:p>
    <w:p>
      <w:r>
        <w:t>Training introduction: “Explore programmes in strategic risk, crisis management and resilience. Compare what you will learn, how you will be assessed and the time and cost involved. View the current dates for your chosen programme.”</w:t>
      </w:r>
    </w:p>
    <w:p>
      <w:pPr>
        <w:pStyle w:val="Heading1"/>
      </w:pPr>
      <w:r>
        <w:t>Prioritised issue register</w:t>
      </w:r>
    </w:p>
    <w:p>
      <w:r>
        <w:t>P1 = address in the first fortnight or start verification immediately. P2 = schedule within 45 days. P3 = improve within 90 days. Severity reflects likely user or operational consequence, not measured revenue loss. Owners are proposed roles. Effort is indicative person-days and overlaps across shared fixes; do not sum these rows into a project total. Evidence labels refer to the linked source catalogue below.</w:t>
      </w:r>
    </w:p>
    <w:tbl>
      <w:tblPr>
        <w:tblW w:type="auto" w:w="0"/>
        <w:jc w:val="center"/>
        <w:tblLayout w:type="fixed"/>
        <w:tblLook w:firstColumn="1" w:firstRow="1" w:lastColumn="0" w:lastRow="0" w:noHBand="0" w:noVBand="1" w:val="04A0"/>
      </w:tblPr>
      <w:tblGrid>
        <w:gridCol w:w="3960"/>
        <w:gridCol w:w="3816"/>
        <w:gridCol w:w="2448"/>
      </w:tblGrid>
      <w:tr>
        <w:trPr>
          <w:cantSplit/>
          <w:tblHeader/>
        </w:trPr>
        <w:tc>
          <w:tcPr>
            <w:tcW w:type="dxa" w:w="396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ID status finding and evidence</w:t>
            </w:r>
          </w:p>
        </w:tc>
        <w:tc>
          <w:tcPr>
            <w:tcW w:type="dxa" w:w="3816"/>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Consequence and recommended fix</w:t>
            </w:r>
          </w:p>
        </w:tc>
        <w:tc>
          <w:tcPr>
            <w:tcW w:type="dxa" w:w="244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Delivery</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01  Confirmed gap / P1 / High confidence</w:t>
              <w:br/>
              <w:t>Membership comparison is incomplete at the first choice point.</w:t>
              <w:br/>
              <w:t>Evidence and method: S02–S03; public page comparison.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Visitors may choose without understanding benefits or longer terms.</w:t>
              <w:br/>
              <w:t>Fix: Unify grades, entitlements and all term options.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Membership lead + editor</w:t>
              <w:br/>
              <w:t>Effort: 2–3 days</w:t>
              <w:br/>
              <w:t>Dependency: Confirmed entitlements and terms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02  Confirmed / P1 / High confidence</w:t>
              <w:br/>
              <w:t>Privacy notice names the organisation inconsistently.</w:t>
              <w:br/>
              <w:t>Evidence and method: S20; text inspection.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Ambiguity about organisational identity.</w:t>
              <w:br/>
              <w:t>Fix: Confirm the legal name and controller details; correct consistently.</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Responsible officer + editor</w:t>
              <w:br/>
              <w:t>Effort: 0.5–1 days</w:t>
              <w:br/>
              <w:t>Dependency: Authoritative entity information</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03  Confirmed claims / P1 / High confidence</w:t>
              <w:br/>
              <w:t>Qualification assertions lack sufficiently explicit evidence on the course pages.</w:t>
              <w:br/>
              <w:t>Evidence and method: S05–S06, S35–S36; page and independent record comparison.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Learners cannot easily verify the precise award and recognition.</w:t>
              <w:br/>
              <w:t>Fix: Publish award IDs and links; substantiate or revise exclusivity wording.</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Education lead</w:t>
              <w:br/>
              <w:t>Effort: 1–2 days</w:t>
              <w:br/>
              <w:t>Dependency: Awarding-body and recognition records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04  Confirmed / P1 / High confidence</w:t>
              <w:br/>
              <w:t>Six-page sample has no meta descriptions or Open Graph fields.</w:t>
              <w:br/>
              <w:t>Evidence and method: B01–B02; live DOM query.</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Less editorial control over snippets and shared previews.</w:t>
              <w:br/>
              <w:t>Fix: Implement shared defaults and page-specific overrides.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WordPress developer + editor</w:t>
              <w:br/>
              <w:t>Effort: 2–3 days</w:t>
              <w:br/>
              <w:t>Dependency: CMS and staging access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05  Confirmed / P2 / High confidence</w:t>
              <w:br/>
              <w:t>Four sampled landing pages lack H1; library has 99 H1 elements.</w:t>
              <w:br/>
              <w:t>Evidence and method: B02–B03; DOM and accessibility tree.</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Weak heading hierarchy, especially across the library.</w:t>
              <w:br/>
              <w:t>Fix: Correct heading levels in landing and list templates.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Developer</w:t>
              <w:br/>
              <w:t>Effort: 1–2 days</w:t>
              <w:br/>
              <w:t>Dependency: Template access and regression review</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06  Confirmed opportunity / P2 / High confidence</w:t>
              <w:br/>
              <w:t>No JSON-LD blocks in six sampled pages.</w:t>
              <w:br/>
              <w:t>Evidence and method: B01–B02; DOM query.</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Structured descriptions are not supplied in this format.</w:t>
              <w:br/>
              <w:t>Fix: Add suitable truthful markup; validate before release.</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SEO specialist + developer</w:t>
              <w:br/>
              <w:t>Effort: 1–2 days</w:t>
              <w:br/>
              <w:t>Dependency: Approved content and current schema requirements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07  Observed opportunity / P1 / High confidence</w:t>
              <w:br/>
              <w:t>Homepage prioritises promotions; join route is inside navigation.</w:t>
              <w:br/>
              <w:t>Evidence and method: S01, S12; B01 screenshot and content.</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New visitors may need more effort to understand relevance.</w:t>
              <w:br/>
              <w:t>Fix: Add permanent purpose statement and visible task routes.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Site owner + editor</w:t>
              <w:br/>
              <w:t>Effort: 1–2 days</w:t>
              <w:br/>
              <w:t>Dependency: Approved positioning</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08  Confirmed opportunity / P2 / High confidence</w:t>
              <w:br/>
              <w:t>Programme and cohort information crosses multiple domains.</w:t>
              <w:br/>
              <w:t>Evidence and method: S04–S07, S22, S26; route inspection.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Users must assemble cost, dates and recognition details.</w:t>
              <w:br/>
              <w:t>Fix: Standardise programme records and label external booking.</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Education lead + developer</w:t>
              <w:br/>
              <w:t>Effort: 2–4 days</w:t>
              <w:br/>
              <w:t>Dependency: Programme data and booking ownership</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09  Confirmed opportunity / P2 / High confidence</w:t>
              <w:br/>
              <w:t>Library is predominantly a long PDF title list; search exists.</w:t>
              <w:br/>
              <w:t>Evidence and method: S08; B03 inventory and screenshot.</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Resource relevance is hard to judge before opening.</w:t>
              <w:br/>
              <w:t>Fix: Pilot topics, summaries and format labels for ten resources.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Editor + developer</w:t>
              <w:br/>
              <w:t>Effort: 3–5 days</w:t>
              <w:br/>
              <w:t>Dependency: Rights review and subject reviewers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10  Confirmed inconsistency / P2 / High confidence</w:t>
              <w:br/>
              <w:t>Report form requests details while the same issue is openly linked.</w:t>
              <w:br/>
              <w:t>Evidence and method: S09, S27; public landing page and PDF.</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Access expectations and lead measurement may be confusing.</w:t>
              <w:br/>
              <w:t>Fix: Clarify open download versus optional subscription.</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Editorial + marketing lead</w:t>
              <w:br/>
              <w:t>Effort: 0.5–1 days</w:t>
              <w:br/>
              <w:t>Dependency: Publishing and data-collection policy</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11  Confirmed markup / P2 / High confidence</w:t>
              <w:br/>
              <w:t>Ten distinct library PDF links start with HTTP.</w:t>
              <w:br/>
              <w:t>Evidence and method: B03; href inventory.</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Unnecessary protocol inconsistency and possible extra hops.</w:t>
              <w:br/>
              <w:t>Fix: Verify HTTPS equivalents and update stored URLs.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Developer</w:t>
              <w:br/>
              <w:t>Effort: 0.5–1 days</w:t>
              <w:br/>
              <w:t>Dependency: Target response checks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12  Observed accessibility issue / P2 / Medium confidence</w:t>
              <w:br/>
              <w:t>Unnamed icon/image links appear beside named links.</w:t>
              <w:br/>
              <w:t>Evidence and method: B01, B03–B04; accessibility tree.</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Keyboard and assistive-technology users may encounter unclear links.</w:t>
              <w:br/>
              <w:t>Fix: Combine links or supply meaningful accessible names; retest.</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Developer + accessibility reviewer</w:t>
              <w:br/>
              <w:t>Effort: 1–2 days</w:t>
              <w:br/>
              <w:t>Dependency: DOM review and screen-reader testing</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13  Observed opportunity / P2 / High confidence</w:t>
              <w:br/>
              <w:t>Chapter pages emphasise posts and contacts over a standard participation route.</w:t>
              <w:br/>
              <w:t>Evidence and method: S13–S15; comparative page review.</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Joining or contributing can depend on personal interpretation.</w:t>
              <w:br/>
              <w:t>Fix: Pilot the common template on three chapters.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Community lead + chapter editors</w:t>
              <w:br/>
              <w:t>Effort: 2–3 days</w:t>
              <w:br/>
              <w:t>Dependency: Agreed participation rules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14  Confirmed opportunity / P3 / High confidence</w:t>
              <w:br/>
              <w:t>Recording page offers video links with little on-page guidance.</w:t>
              <w:br/>
              <w:t>Evidence and method: S18; content inspection.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Readers cannot readily assess or reuse session knowledge.</w:t>
              <w:br/>
              <w:t>Fix: Add summaries, speakers, timestamps and permitted transcripts.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Managing editor</w:t>
              <w:br/>
              <w:t>Effort: 2–3 days</w:t>
              <w:br/>
              <w:t>Dependency: Recording review and permissions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15  Verification / P1 / Not established</w:t>
              <w:br/>
              <w:t>Performance, mobile accessibility and HTTP controls remain unmeasured.</w:t>
              <w:br/>
              <w:t>Evidence and method: B05 and methods log; tool limitations.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A technical decision without baselines risks wrong priorities.</w:t>
              <w:br/>
              <w:t>Fix: Complete the six-template test matrix before major optimisation.</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Developer + QA specialist</w:t>
              <w:br/>
              <w:t>Effort: 2–4 days</w:t>
              <w:br/>
              <w:t>Dependency: Diagnostic environment and device profiles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16  Verification / P1 / Not established</w:t>
              <w:br/>
              <w:t>Conversion tracking and consent-state behaviour are unverified.</w:t>
              <w:br/>
              <w:t>Evidence and method: B01; script presence only, no network/storage audit.</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Registration results and data handling cannot yet be assessed.</w:t>
              <w:br/>
              <w:t>Fix: Review consent states and validate outcome events on approved test flows.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Analytics lead + privacy owner</w:t>
              <w:br/>
              <w:t>Effort: 2–3 days</w:t>
              <w:br/>
              <w:t>Dependency: Analytics access, consent policy and test environment</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17  Verification / P2 / Not established</w:t>
              <w:br/>
              <w:t>Sitemap coverage, broken-link rate and orphan pages are unknown.</w:t>
              <w:br/>
              <w:t>Evidence and method: B05; crawl access incomplete.</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Potential discovery faults cannot be quantified.</w:t>
              <w:br/>
              <w:t>Fix: Reconcile crawl, CMS and Search Console records.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SEO specialist + maintainer</w:t>
              <w:br/>
              <w:t>Effort: 1–2 days</w:t>
              <w:br/>
              <w:t>Dependency: Read-only internal exports and crawl access</w:t>
            </w:r>
          </w:p>
        </w:tc>
      </w:tr>
      <w:tr>
        <w:trPr>
          <w:cantSplit/>
        </w:trPr>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18  Editorial correction / P2 / High confidence</w:t>
              <w:br/>
              <w:t>Course introduction and fellowship designation contain apparent copy defects.</w:t>
              <w:br/>
              <w:t>Evidence and method: S02, S06; text inspection.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Consequence: Avoidable uncertainty on pages that support credibility.</w:t>
              <w:br/>
              <w:t>Fix: Have the relevant owners confirm intended wording, then proofread key templates.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Owner: Editor + membership/education leads</w:t>
              <w:br/>
              <w:t>Effort: 0.5–1 days</w:t>
              <w:br/>
              <w:t>Dependency: Owner confirmation</w:t>
            </w:r>
          </w:p>
        </w:tc>
      </w:tr>
    </w:tbl>
    <w:p/>
    <w:p>
      <w:pPr>
        <w:pStyle w:val="Heading1"/>
      </w:pPr>
      <w:r>
        <w:t>Implementation roadmap</w:t>
      </w:r>
    </w:p>
    <w:p>
      <w:r>
        <w:t>All work packages assume the existing WordPress implementation is maintainable, staging is available and owners can approve content promptly. No migration is included. The scope is deliberately bounded: core templates, three chapter pilots and ten priority resource records. Large-scale archive conversion, a new member platform and custom search infrastructure would require separate estimates.</w:t>
      </w:r>
    </w:p>
    <w:tbl>
      <w:tblPr>
        <w:tblW w:type="auto" w:w="0"/>
        <w:jc w:val="center"/>
        <w:tblLayout w:type="fixed"/>
        <w:tblLook w:firstColumn="1" w:firstRow="1" w:lastColumn="0" w:lastRow="0" w:noHBand="0" w:noVBand="1" w:val="04A0"/>
      </w:tblPr>
      <w:tblGrid>
        <w:gridCol w:w="1512"/>
        <w:gridCol w:w="5328"/>
        <w:gridCol w:w="2160"/>
        <w:gridCol w:w="1224"/>
      </w:tblGrid>
      <w:tr>
        <w:trPr>
          <w:cantSplit/>
          <w:tblHeader/>
        </w:trPr>
        <w:tc>
          <w:tcPr>
            <w:tcW w:type="dxa" w:w="151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Window</w:t>
            </w:r>
          </w:p>
        </w:tc>
        <w:tc>
          <w:tcPr>
            <w:tcW w:type="dxa" w:w="532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Work and acceptance criteria</w:t>
            </w:r>
          </w:p>
        </w:tc>
        <w:tc>
          <w:tcPr>
            <w:tcW w:type="dxa" w:w="216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Roles</w:t>
            </w:r>
          </w:p>
        </w:tc>
        <w:tc>
          <w:tcPr>
            <w:tcW w:type="dxa" w:w="1224"/>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Effort</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Days 1–14</w:t>
              <w:br/>
              <w:t>1–14 October</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Confirm ownership and baseline; correct identity and key copy; agree membership comparison; implement pilot metadata and heading fixes. Acceptance: approved factual copy, tested shared fields and a logged technical baseline.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Site owner, editor, developer, education/membership reviewers</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6–9 days</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Days 15–45</w:t>
              <w:br/>
              <w:t>15 October–14 November</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Apply programme and membership templates; clarify domain handoffs; pilot chapter structure; implement validated structured data and resource categories. Acceptance: six public journeys reviewed and core templates checked on desktop/mobile.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Developer, editor, community/education owners, QA</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11–17 days</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Days 46–90</w:t>
              <w:br/>
              <w:t>15 November–29 December</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Publish ten resource records and recording summaries; complete priority accessibility/performance work based on measurements; validate outcome tracking and review early data. Acceptance: working catalogue pilot, documented tests and a first performance review.</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Editor, developer, analytics and accessibility support</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9–15 days</w:t>
            </w:r>
          </w:p>
        </w:tc>
      </w:tr>
    </w:tbl>
    <w:p/>
    <w:p>
      <w:r>
        <w:t>Total: 26–41 person-days. The ranges include implementation and focused QA, but assume limited approval rounds and prompt access. As a purely illustrative budgeting calculation, a blended £400–£650 per person-day produces approximately £10,400–£26,650 before tax, subscriptions and contingency. These rates are assumptions, not researched market quotations. Existing staff can supply part of the effort. Defer procurement of a rebuild until the first phase demonstrates a platform limitation.</w:t>
      </w:r>
    </w:p>
    <w:p>
      <w:pPr>
        <w:pStyle w:val="Heading2"/>
      </w:pPr>
      <w:r>
        <w:t>Measurement and baseline</w:t>
      </w:r>
    </w:p>
    <w:tbl>
      <w:tblPr>
        <w:tblW w:type="auto" w:w="0"/>
        <w:jc w:val="center"/>
        <w:tblLayout w:type="fixed"/>
        <w:tblLook w:firstColumn="1" w:firstRow="1" w:lastColumn="0" w:lastRow="0" w:noHBand="0" w:noVBand="1" w:val="04A0"/>
      </w:tblPr>
      <w:tblGrid>
        <w:gridCol w:w="1584"/>
        <w:gridCol w:w="5040"/>
        <w:gridCol w:w="3600"/>
      </w:tblGrid>
      <w:tr>
        <w:trPr>
          <w:cantSplit/>
          <w:tblHeader/>
        </w:trPr>
        <w:tc>
          <w:tcPr>
            <w:tcW w:type="dxa" w:w="1584"/>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Outcome</w:t>
            </w:r>
          </w:p>
        </w:tc>
        <w:tc>
          <w:tcPr>
            <w:tcW w:type="dxa" w:w="504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Metric and denominator</w:t>
            </w:r>
          </w:p>
        </w:tc>
        <w:tc>
          <w:tcPr>
            <w:tcW w:type="dxa" w:w="360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Data needed</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Membership</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Completed paid/approved applications ÷ eligible application starts; separate by grade and term.</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Application and payment records matched to consent-aware analytics; exclude staff/tests.</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Training</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Confirmed registrations ÷ registration starts where available; otherwise report outbound clicks separately.</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Eventbrite/booking reports and cohort identifiers. A click is not a completed registration.</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Partnership</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Qualified enquiries and their source; qualification criteria agreed in advance.</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Enquiry log or CRM and a consistent owner review.</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Knowledge use</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Search success, zero-result rate, useful-resource feedback and resource opens.</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Search logs if available; download/open events and a small user study. Downloads do not prove reading.</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Newsletter</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Confirmed subscriptions ÷ subscription attempts, plus unsubscribe and relevant link engagement.</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Email platform data, consent records and bot filtering.</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Technical quality</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Field Web Vitals where available; lab results; confirmed broken links; sampled accessibility defects.</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Comparable page/device tests, Search Console or CrUX coverage and a repeatable QA log.</w:t>
            </w:r>
          </w:p>
        </w:tc>
      </w:tr>
    </w:tbl>
    <w:p/>
    <w:p>
      <w:r>
        <w:t>Use the most recent 90 days as a baseline if trustworthy data exists; otherwise instrument first and collect at least four weeks. Set improvement targets after checking volume and data quality. Review at days 30, 60 and 90. Avoid attributing change to the website when course schedules, campaigns or seasonal demand also changed.</w:t>
      </w:r>
    </w:p>
    <w:p>
      <w:pPr>
        <w:pStyle w:val="Heading1"/>
      </w:pPr>
      <w:r>
        <w:t>Internal information needed</w:t>
      </w:r>
    </w:p>
    <w:p>
      <w:r>
        <w:t>Request read-only access or exports where possible. No access was assumed during this audit.</w:t>
      </w:r>
    </w:p>
    <w:tbl>
      <w:tblPr>
        <w:tblW w:type="auto" w:w="0"/>
        <w:jc w:val="center"/>
        <w:tblLayout w:type="fixed"/>
        <w:tblLook w:firstColumn="1" w:firstRow="1" w:lastColumn="0" w:lastRow="0" w:noHBand="0" w:noVBand="1" w:val="04A0"/>
      </w:tblPr>
      <w:tblGrid>
        <w:gridCol w:w="1728"/>
        <w:gridCol w:w="5400"/>
        <w:gridCol w:w="3096"/>
      </w:tblGrid>
      <w:tr>
        <w:trPr>
          <w:cantSplit/>
          <w:tblHeader/>
        </w:trPr>
        <w:tc>
          <w:tcPr>
            <w:tcW w:type="dxa" w:w="1728"/>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Owner</w:t>
            </w:r>
          </w:p>
        </w:tc>
        <w:tc>
          <w:tcPr>
            <w:tcW w:type="dxa" w:w="540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Requested material</w:t>
            </w:r>
          </w:p>
        </w:tc>
        <w:tc>
          <w:tcPr>
            <w:tcW w:type="dxa" w:w="3096"/>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8"/>
              </w:rPr>
              <w:t>Decision it enables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Website maintainer</w:t>
            </w:r>
          </w:p>
        </w:tc>
        <w:tc>
          <w:tcPr>
            <w:tcW w:type="dxa" w:w="54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CMS page/export inventory, template map, plugin/theme inventory, hosting/cache details, sitemap location, staging and backup process.</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Confirm repair feasibility; measure coverage, redirects and technical controls.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Analytics owner</w:t>
            </w:r>
          </w:p>
        </w:tc>
        <w:tc>
          <w:tcPr>
            <w:tcW w:type="dxa" w:w="54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Analytics property details if installed, Search Console exports, event definitions, consent configuration and domain tracking map.</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Establish real discovery, conversion and performance baselines.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Membership lead</w:t>
            </w:r>
          </w:p>
        </w:tc>
        <w:tc>
          <w:tcPr>
            <w:tcW w:type="dxa" w:w="54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Grade benefits, eligibility, all fees and terms, renewal/cancellation rules, support issues and aggregate application completion.</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Publish an accurate comparison and fix real application friction.</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Education lead</w:t>
            </w:r>
          </w:p>
        </w:tc>
        <w:tc>
          <w:tcPr>
            <w:tcW w:type="dxa" w:w="54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Awarding-body approvals, award numbers, recognition correspondence, current syllabi, assessment/workload, prices and cohort source of truth.</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Make training claims independently checkable and consistent.</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Community and editorial leads</w:t>
            </w:r>
          </w:p>
        </w:tc>
        <w:tc>
          <w:tcPr>
            <w:tcW w:type="dxa" w:w="54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Chapter owners and participation rules; publication rights; editorial calendar; recording/transcript permissions.</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Operate templates and resource repurposing sustainably.</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Responsible officer</w:t>
            </w:r>
          </w:p>
        </w:tc>
        <w:tc>
          <w:tcPr>
            <w:tcW w:type="dxa" w:w="54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Legal identity, trading names, privacy responsibility, data map and approved contact information.</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8"/>
              </w:rPr>
              <w:t>Correct institutional identity and commission an informed privacy review.</w:t>
            </w:r>
          </w:p>
        </w:tc>
      </w:tr>
    </w:tbl>
    <w:p/>
    <w:p>
      <w:pPr>
        <w:pStyle w:val="Heading1"/>
      </w:pPr>
      <w:r>
        <w:t>Evidence and methodology appendix</w:t>
      </w:r>
    </w:p>
    <w:p>
      <w:pPr>
        <w:pStyle w:val="Heading2"/>
      </w:pPr>
      <w:r>
        <w:t>Browser measurements</w:t>
      </w:r>
    </w:p>
    <w:tbl>
      <w:tblPr>
        <w:tblW w:type="auto" w:w="0"/>
        <w:jc w:val="center"/>
        <w:tblLayout w:type="fixed"/>
        <w:tblLook w:firstColumn="1" w:firstRow="1" w:lastColumn="0" w:lastRow="0" w:noHBand="0" w:noVBand="1" w:val="04A0"/>
      </w:tblPr>
      <w:tblGrid>
        <w:gridCol w:w="720"/>
        <w:gridCol w:w="4752"/>
        <w:gridCol w:w="4752"/>
      </w:tblGrid>
      <w:tr>
        <w:trPr>
          <w:cantSplit/>
          <w:tblHeader/>
        </w:trPr>
        <w:tc>
          <w:tcPr>
            <w:tcW w:type="dxa" w:w="720"/>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ID</w:t>
            </w:r>
          </w:p>
        </w:tc>
        <w:tc>
          <w:tcPr>
            <w:tcW w:type="dxa" w:w="475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Method and conditions</w:t>
            </w:r>
          </w:p>
        </w:tc>
        <w:tc>
          <w:tcPr>
            <w:tcW w:type="dxa" w:w="4752"/>
            <w:vAlign w:val="center"/>
            <w:shd w:fill="E7E7E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sz w:val="17"/>
              </w:rPr>
              <w:t>Result or limitation</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B01</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Live Chrome desktop homepage; read-only DOM and screenshot; 30 September 2026; viewport screenshot 1348 × 926. Consent Deny selected.</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Canonical present; no meta description, Open Graph or JSON-LD; five H1s including carousel copies. WordPress/Elementor and related assets observed. No response headers or network capture.</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B02</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Same live session; navigated to Membership, Training Programmes, Ukraine chapter, Forum 465/466 and Events Calendar; identical DOM selectors.</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All five: canonical present; description absent; zero Open Graph and JSON-LD blocks; max-image-preview:large meta directive. H1 counts 0/0/0/1/0 respectively.</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B03</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Live Public Library DOM, screenshot and accessibility tree; collected PDF anchor hrefs, headings and search inputs.</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198 PDF anchors; 94 unique exact URL strings; ten unique HTTP URLs; 99 H1s. Search exists. Targets were not all fetched or deduplicated by file content.</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B04</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Desktop menu opened from Public Library and inspected visually and in accessibility tree. An Escape key was sent, but its closing result was not conclusively verified.</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Tall grouped public/member menu. No full keyboard or mobile assessment. Unnamed links observed in the library accessibility tree.</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B05</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Public robots and sitemap discovery attempted through research retrieval; robots browser navigation; shell curl request with timeout.</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5" w:lineRule="auto"/>
            </w:pPr>
            <w:r>
              <w:rPr>
                <w:b w:val="0"/>
                <w:sz w:val="17"/>
              </w:rPr>
              <w:t>No usable robots/sitemap content or header trace obtained. Browser robots attempt returned ERR_BLOCKED_BY_CLIENT; shell timed out. These are audit-channel limits, not site-down findings.</w:t>
            </w:r>
          </w:p>
        </w:tc>
      </w:tr>
    </w:tbl>
    <w:p/>
    <w:p>
      <w:r>
        <w:t>DOM selectors checked: meta[name="description"], meta[name="robots"], meta[property^="og:"], link[rel="canonical"], script[type="application/ld+json"], h1, image alt/loading attributes and PDF anchor hrefs. Browser observations were taken after navigation; this is a rendered-DOM sample, not a raw-server-HTML crawl. No full JavaScript-disabled rendering comparison was performed.</w:t>
      </w:r>
    </w:p>
    <w:p>
      <w:r>
        <w:t>Research retrieval occasionally returned a 429, timeout or internal error for otherwise retrievable pages. The Level 6 and Blue Planet pages were subsequently retrieved successfully and are not labelled broken. Germany and a KSA journal PDF remained unverified. The old Ofqual link failed in the research channel. The public member-library restriction was respected.</w:t>
      </w:r>
    </w:p>
    <w:p>
      <w:pPr>
        <w:pStyle w:val="Heading2"/>
      </w:pPr>
      <w:r>
        <w:t>Inspected content and source catalogue</w:t>
      </w:r>
    </w:p>
    <w:p>
      <w:r>
        <w:t>All sources below were consulted on 30 September 2026. Link text opens the exact source. “Extract” refers to research-service page text; “DOM” refers to live browser inspection. Most core extracts reported crawl freshness from today to several weeks; the academic-partners extract reported eight months and should be rechecked before relying on current relationship status. The older fellowship article is intentionally historical.</w:t>
      </w:r>
    </w:p>
    <w:p>
      <w:pPr>
        <w:spacing w:after="80"/>
      </w:pPr>
      <w:r>
        <w:rPr>
          <w:b/>
        </w:rPr>
        <w:t xml:space="preserve">S01  </w:t>
      </w:r>
      <w:hyperlink r:id="rId11">
        <w:r>
          <w:rPr>
            <w:color w:val="000000"/>
            <w:u w:val="single"/>
          </w:rPr>
          <w:t>Homepage</w:t>
        </w:r>
      </w:hyperlink>
      <w:r>
        <w:t xml:space="preserve"> — Extract + live DOM/layout.</w:t>
      </w:r>
    </w:p>
    <w:p>
      <w:pPr>
        <w:spacing w:after="80"/>
      </w:pPr>
      <w:r>
        <w:rPr>
          <w:b/>
        </w:rPr>
        <w:t xml:space="preserve">S02  </w:t>
      </w:r>
      <w:hyperlink r:id="rId12">
        <w:r>
          <w:rPr>
            <w:color w:val="000000"/>
            <w:u w:val="single"/>
          </w:rPr>
          <w:t>Membership</w:t>
        </w:r>
      </w:hyperlink>
      <w:r>
        <w:t xml:space="preserve"> — Extract + DOM.</w:t>
      </w:r>
    </w:p>
    <w:p>
      <w:pPr>
        <w:spacing w:after="80"/>
      </w:pPr>
      <w:r>
        <w:rPr>
          <w:b/>
        </w:rPr>
        <w:t xml:space="preserve">S03  </w:t>
      </w:r>
      <w:hyperlink r:id="rId13">
        <w:r>
          <w:rPr>
            <w:color w:val="000000"/>
            <w:u w:val="single"/>
          </w:rPr>
          <w:t>Registration options</w:t>
        </w:r>
      </w:hyperlink>
      <w:r>
        <w:t xml:space="preserve"> — Extract; no application submitted.</w:t>
      </w:r>
    </w:p>
    <w:p>
      <w:pPr>
        <w:spacing w:after="80"/>
      </w:pPr>
      <w:r>
        <w:rPr>
          <w:b/>
        </w:rPr>
        <w:t xml:space="preserve">S04  </w:t>
      </w:r>
      <w:hyperlink r:id="rId14">
        <w:r>
          <w:rPr>
            <w:color w:val="000000"/>
            <w:u w:val="single"/>
          </w:rPr>
          <w:t>Training Programmes</w:t>
        </w:r>
      </w:hyperlink>
      <w:r>
        <w:t xml:space="preserve"> — Extract + DOM.</w:t>
      </w:r>
    </w:p>
    <w:p>
      <w:pPr>
        <w:spacing w:after="80"/>
      </w:pPr>
      <w:r>
        <w:rPr>
          <w:b/>
        </w:rPr>
        <w:t xml:space="preserve">S05  </w:t>
      </w:r>
      <w:hyperlink r:id="rId15">
        <w:r>
          <w:rPr>
            <w:color w:val="000000"/>
            <w:u w:val="single"/>
          </w:rPr>
          <w:t>Level 5 corporate risk programme</w:t>
        </w:r>
      </w:hyperlink>
      <w:r>
        <w:t xml:space="preserve"> — Extract.</w:t>
      </w:r>
    </w:p>
    <w:p>
      <w:pPr>
        <w:spacing w:after="80"/>
      </w:pPr>
      <w:r>
        <w:rPr>
          <w:b/>
        </w:rPr>
        <w:t xml:space="preserve">S06  </w:t>
      </w:r>
      <w:hyperlink r:id="rId16">
        <w:r>
          <w:rPr>
            <w:color w:val="000000"/>
            <w:u w:val="single"/>
          </w:rPr>
          <w:t>Level 6 diploma programme</w:t>
        </w:r>
      </w:hyperlink>
      <w:r>
        <w:t xml:space="preserve"> — Extract; initial error resolved.</w:t>
      </w:r>
    </w:p>
    <w:p>
      <w:pPr>
        <w:spacing w:after="80"/>
      </w:pPr>
      <w:r>
        <w:rPr>
          <w:b/>
        </w:rPr>
        <w:t xml:space="preserve">S07  </w:t>
      </w:r>
      <w:hyperlink r:id="rId17">
        <w:r>
          <w:rPr>
            <w:color w:val="000000"/>
            <w:u w:val="single"/>
          </w:rPr>
          <w:t>Free courses October and November</w:t>
        </w:r>
      </w:hyperlink>
      <w:r>
        <w:t xml:space="preserve"> — Extract.</w:t>
      </w:r>
    </w:p>
    <w:p>
      <w:pPr>
        <w:spacing w:after="80"/>
      </w:pPr>
      <w:r>
        <w:rPr>
          <w:b/>
        </w:rPr>
        <w:t xml:space="preserve">S07A  </w:t>
      </w:r>
      <w:hyperlink r:id="rId18">
        <w:r>
          <w:rPr>
            <w:color w:val="000000"/>
            <w:u w:val="single"/>
          </w:rPr>
          <w:t>Events Calendar</w:t>
        </w:r>
      </w:hyperlink>
      <w:r>
        <w:t xml:space="preserve"> — Extract + DOM.</w:t>
      </w:r>
    </w:p>
    <w:p>
      <w:pPr>
        <w:spacing w:after="80"/>
      </w:pPr>
      <w:r>
        <w:rPr>
          <w:b/>
        </w:rPr>
        <w:t xml:space="preserve">S08  </w:t>
      </w:r>
      <w:hyperlink r:id="rId19">
        <w:r>
          <w:rPr>
            <w:color w:val="000000"/>
            <w:u w:val="single"/>
          </w:rPr>
          <w:t>Public Library</w:t>
        </w:r>
      </w:hyperlink>
      <w:r>
        <w:t xml:space="preserve"> — Extract + DOM, inventory and layout.</w:t>
      </w:r>
    </w:p>
    <w:p>
      <w:pPr>
        <w:spacing w:after="80"/>
      </w:pPr>
      <w:r>
        <w:rPr>
          <w:b/>
        </w:rPr>
        <w:t xml:space="preserve">S09  </w:t>
      </w:r>
      <w:hyperlink r:id="rId20">
        <w:r>
          <w:rPr>
            <w:color w:val="000000"/>
            <w:u w:val="single"/>
          </w:rPr>
          <w:t>Global Risk Review landing page</w:t>
        </w:r>
      </w:hyperlink>
      <w:r>
        <w:t xml:space="preserve"> — Extract; form not submitted.</w:t>
      </w:r>
    </w:p>
    <w:p>
      <w:pPr>
        <w:spacing w:after="80"/>
      </w:pPr>
      <w:r>
        <w:rPr>
          <w:b/>
        </w:rPr>
        <w:t xml:space="preserve">S10  </w:t>
      </w:r>
      <w:hyperlink r:id="rId21">
        <w:r>
          <w:rPr>
            <w:color w:val="000000"/>
            <w:u w:val="single"/>
          </w:rPr>
          <w:t>Login entry</w:t>
        </w:r>
      </w:hyperlink>
      <w:r>
        <w:t xml:space="preserve"> — Public entry retrieved; no authentication.</w:t>
      </w:r>
    </w:p>
    <w:p>
      <w:pPr>
        <w:spacing w:after="80"/>
      </w:pPr>
      <w:r>
        <w:rPr>
          <w:b/>
        </w:rPr>
        <w:t xml:space="preserve">S11  </w:t>
      </w:r>
      <w:hyperlink r:id="rId22">
        <w:r>
          <w:rPr>
            <w:color w:val="000000"/>
            <w:u w:val="single"/>
          </w:rPr>
          <w:t>Member Library entry</w:t>
        </w:r>
      </w:hyperlink>
      <w:r>
        <w:t xml:space="preserve"> — Redirected to restriction notice; no restricted access.</w:t>
      </w:r>
    </w:p>
    <w:p>
      <w:pPr>
        <w:spacing w:after="80"/>
      </w:pPr>
      <w:r>
        <w:rPr>
          <w:b/>
        </w:rPr>
        <w:t xml:space="preserve">S12  </w:t>
      </w:r>
      <w:hyperlink r:id="rId23">
        <w:r>
          <w:rPr>
            <w:color w:val="000000"/>
            <w:u w:val="single"/>
          </w:rPr>
          <w:t>About Us</w:t>
        </w:r>
      </w:hyperlink>
      <w:r>
        <w:t xml:space="preserve"> — Extract.</w:t>
      </w:r>
    </w:p>
    <w:p>
      <w:pPr>
        <w:spacing w:after="80"/>
      </w:pPr>
      <w:r>
        <w:rPr>
          <w:b/>
        </w:rPr>
        <w:t xml:space="preserve">S13  </w:t>
      </w:r>
      <w:hyperlink r:id="rId24">
        <w:r>
          <w:rPr>
            <w:color w:val="000000"/>
            <w:u w:val="single"/>
          </w:rPr>
          <w:t>Ukraine Chapter</w:t>
        </w:r>
      </w:hyperlink>
      <w:r>
        <w:t xml:space="preserve"> — Extract + DOM.</w:t>
      </w:r>
    </w:p>
    <w:p>
      <w:pPr>
        <w:spacing w:after="80"/>
      </w:pPr>
      <w:r>
        <w:rPr>
          <w:b/>
        </w:rPr>
        <w:t xml:space="preserve">S14  </w:t>
      </w:r>
      <w:hyperlink r:id="rId25">
        <w:r>
          <w:rPr>
            <w:color w:val="000000"/>
            <w:u w:val="single"/>
          </w:rPr>
          <w:t>UK Hub</w:t>
        </w:r>
      </w:hyperlink>
      <w:r>
        <w:t xml:space="preserve"> — Extract.</w:t>
      </w:r>
    </w:p>
    <w:p>
      <w:pPr>
        <w:spacing w:after="80"/>
      </w:pPr>
      <w:r>
        <w:rPr>
          <w:b/>
        </w:rPr>
        <w:t xml:space="preserve">S15  </w:t>
      </w:r>
      <w:hyperlink r:id="rId26">
        <w:r>
          <w:rPr>
            <w:color w:val="000000"/>
            <w:u w:val="single"/>
          </w:rPr>
          <w:t>KSA Chapter</w:t>
        </w:r>
      </w:hyperlink>
      <w:r>
        <w:t xml:space="preserve"> — Extract.</w:t>
      </w:r>
    </w:p>
    <w:p>
      <w:pPr>
        <w:spacing w:after="80"/>
      </w:pPr>
      <w:r>
        <w:rPr>
          <w:b/>
        </w:rPr>
        <w:t xml:space="preserve">S16  </w:t>
      </w:r>
      <w:hyperlink r:id="rId27">
        <w:r>
          <w:rPr>
            <w:color w:val="000000"/>
            <w:u w:val="single"/>
          </w:rPr>
          <w:t>Global Risk Forum 465 and 466</w:t>
        </w:r>
      </w:hyperlink>
      <w:r>
        <w:t xml:space="preserve"> — Extract + DOM; factual news claims not independently fact-checked.</w:t>
      </w:r>
    </w:p>
    <w:p>
      <w:pPr>
        <w:spacing w:after="80"/>
      </w:pPr>
      <w:r>
        <w:rPr>
          <w:b/>
        </w:rPr>
        <w:t xml:space="preserve">S17  </w:t>
      </w:r>
      <w:hyperlink r:id="rId28">
        <w:r>
          <w:rPr>
            <w:color w:val="000000"/>
            <w:u w:val="single"/>
          </w:rPr>
          <w:t>Lessons From the Frontline</w:t>
        </w:r>
      </w:hyperlink>
      <w:r>
        <w:t xml:space="preserve"> — Extract.</w:t>
      </w:r>
    </w:p>
    <w:p>
      <w:pPr>
        <w:spacing w:after="80"/>
      </w:pPr>
      <w:r>
        <w:rPr>
          <w:b/>
        </w:rPr>
        <w:t xml:space="preserve">S18  </w:t>
      </w:r>
      <w:hyperlink r:id="rId29">
        <w:r>
          <w:rPr>
            <w:color w:val="000000"/>
            <w:u w:val="single"/>
          </w:rPr>
          <w:t>Blue Planet recording page</w:t>
        </w:r>
      </w:hyperlink>
      <w:r>
        <w:t xml:space="preserve"> — Extract; videos not played.</w:t>
      </w:r>
    </w:p>
    <w:p>
      <w:pPr>
        <w:spacing w:after="80"/>
      </w:pPr>
      <w:r>
        <w:rPr>
          <w:b/>
        </w:rPr>
        <w:t xml:space="preserve">S19  </w:t>
      </w:r>
      <w:hyperlink r:id="rId30">
        <w:r>
          <w:rPr>
            <w:color w:val="000000"/>
            <w:u w:val="single"/>
          </w:rPr>
          <w:t>Fellow to Fellow episode 1</w:t>
        </w:r>
      </w:hyperlink>
      <w:r>
        <w:t xml:space="preserve"> — Historical article dated 9 May 2024.</w:t>
      </w:r>
    </w:p>
    <w:p>
      <w:pPr>
        <w:spacing w:after="80"/>
      </w:pPr>
      <w:r>
        <w:rPr>
          <w:b/>
        </w:rPr>
        <w:t xml:space="preserve">S20  </w:t>
      </w:r>
      <w:hyperlink r:id="rId31">
        <w:r>
          <w:rPr>
            <w:color w:val="000000"/>
            <w:u w:val="single"/>
          </w:rPr>
          <w:t>Privacy Policy</w:t>
        </w:r>
      </w:hyperlink>
      <w:r>
        <w:t xml:space="preserve"> — Extract; identity wording reviewed, not legal certification.</w:t>
      </w:r>
    </w:p>
    <w:p>
      <w:pPr>
        <w:spacing w:after="80"/>
      </w:pPr>
      <w:r>
        <w:rPr>
          <w:b/>
        </w:rPr>
        <w:t xml:space="preserve">S21  </w:t>
      </w:r>
      <w:hyperlink r:id="rId32">
        <w:r>
          <w:rPr>
            <w:color w:val="000000"/>
            <w:u w:val="single"/>
          </w:rPr>
          <w:t>Ukraine chapter announcement</w:t>
        </w:r>
      </w:hyperlink>
      <w:r>
        <w:t xml:space="preserve"> — Extract.</w:t>
      </w:r>
    </w:p>
    <w:p>
      <w:pPr>
        <w:spacing w:after="80"/>
      </w:pPr>
      <w:r>
        <w:rPr>
          <w:b/>
        </w:rPr>
        <w:t xml:space="preserve">S22  </w:t>
      </w:r>
      <w:hyperlink r:id="rId33">
        <w:r>
          <w:rPr>
            <w:color w:val="000000"/>
            <w:u w:val="single"/>
          </w:rPr>
          <w:t>Corporate Training and Development</w:t>
        </w:r>
      </w:hyperlink>
      <w:r>
        <w:t xml:space="preserve"> — Extract.</w:t>
      </w:r>
    </w:p>
    <w:p>
      <w:pPr>
        <w:spacing w:after="80"/>
      </w:pPr>
      <w:r>
        <w:rPr>
          <w:b/>
        </w:rPr>
        <w:t xml:space="preserve">S23  </w:t>
      </w:r>
      <w:hyperlink r:id="rId34">
        <w:r>
          <w:rPr>
            <w:color w:val="000000"/>
            <w:u w:val="single"/>
          </w:rPr>
          <w:t>Corporate Partners</w:t>
        </w:r>
      </w:hyperlink>
      <w:r>
        <w:t xml:space="preserve"> — Extract.</w:t>
      </w:r>
    </w:p>
    <w:p>
      <w:pPr>
        <w:spacing w:after="80"/>
      </w:pPr>
      <w:r>
        <w:rPr>
          <w:b/>
        </w:rPr>
        <w:t xml:space="preserve">S24  </w:t>
      </w:r>
      <w:hyperlink r:id="rId35">
        <w:r>
          <w:rPr>
            <w:color w:val="000000"/>
            <w:u w:val="single"/>
          </w:rPr>
          <w:t>Academic Partners</w:t>
        </w:r>
      </w:hyperlink>
      <w:r>
        <w:t xml:space="preserve"> — Extract reported eight-month crawl age.</w:t>
      </w:r>
    </w:p>
    <w:p>
      <w:pPr>
        <w:spacing w:after="80"/>
      </w:pPr>
      <w:r>
        <w:rPr>
          <w:b/>
        </w:rPr>
        <w:t xml:space="preserve">S25  </w:t>
      </w:r>
      <w:hyperlink r:id="rId36">
        <w:r>
          <w:rPr>
            <w:color w:val="000000"/>
            <w:u w:val="single"/>
          </w:rPr>
          <w:t>Corporate About Us</w:t>
        </w:r>
      </w:hyperlink>
      <w:r>
        <w:t xml:space="preserve"> — Extract.</w:t>
      </w:r>
    </w:p>
    <w:p>
      <w:pPr>
        <w:spacing w:after="80"/>
      </w:pPr>
      <w:r>
        <w:rPr>
          <w:b/>
        </w:rPr>
        <w:t xml:space="preserve">S26  </w:t>
      </w:r>
      <w:hyperlink r:id="rId37">
        <w:r>
          <w:rPr>
            <w:color w:val="000000"/>
            <w:u w:val="single"/>
          </w:rPr>
          <w:t>October corporate risk morning cohort</w:t>
        </w:r>
      </w:hyperlink>
      <w:r>
        <w:t xml:space="preserve"> — Extract; external booking not completed.</w:t>
      </w:r>
    </w:p>
    <w:p>
      <w:pPr>
        <w:spacing w:after="80"/>
      </w:pPr>
      <w:r>
        <w:rPr>
          <w:b/>
        </w:rPr>
        <w:t xml:space="preserve">S26A  </w:t>
      </w:r>
      <w:hyperlink r:id="rId38">
        <w:r>
          <w:rPr>
            <w:color w:val="000000"/>
            <w:u w:val="single"/>
          </w:rPr>
          <w:t>Level 6 introductory event</w:t>
        </w:r>
      </w:hyperlink>
      <w:r>
        <w:t xml:space="preserve"> — Extract; date/time and Zoom route.</w:t>
      </w:r>
    </w:p>
    <w:p>
      <w:pPr>
        <w:spacing w:after="80"/>
      </w:pPr>
      <w:r>
        <w:rPr>
          <w:b/>
        </w:rPr>
        <w:t xml:space="preserve">S27  </w:t>
      </w:r>
      <w:hyperlink r:id="rId39">
        <w:r>
          <w:rPr>
            <w:color w:val="000000"/>
            <w:u w:val="single"/>
          </w:rPr>
          <w:t>July 2026 Global Risk Review PDF</w:t>
        </w:r>
      </w:hyperlink>
      <w:r>
        <w:t xml:space="preserve"> — 41-page PDF; title/contents sampled; not full substantive fact-check.</w:t>
      </w:r>
    </w:p>
    <w:p>
      <w:pPr>
        <w:spacing w:after="80"/>
      </w:pPr>
      <w:r>
        <w:rPr>
          <w:b/>
        </w:rPr>
        <w:t xml:space="preserve">S28  </w:t>
      </w:r>
      <w:hyperlink r:id="rId40">
        <w:r>
          <w:rPr>
            <w:color w:val="000000"/>
            <w:u w:val="single"/>
          </w:rPr>
          <w:t>Rittel planning paper PDF</w:t>
        </w:r>
      </w:hyperlink>
      <w:r>
        <w:t xml:space="preserve"> — Seven-page PDF retrieved; bibliographic filename requires review.</w:t>
      </w:r>
    </w:p>
    <w:p>
      <w:pPr>
        <w:spacing w:after="80"/>
      </w:pPr>
      <w:r>
        <w:rPr>
          <w:b/>
        </w:rPr>
        <w:t xml:space="preserve">S30  </w:t>
      </w:r>
      <w:hyperlink r:id="rId41">
        <w:r>
          <w:rPr>
            <w:color w:val="000000"/>
            <w:u w:val="single"/>
          </w:rPr>
          <w:t>Institute of Risk Management</w:t>
        </w:r>
      </w:hyperlink>
      <w:r>
        <w:t xml:space="preserve"> — Peer homepage/navigation extract.</w:t>
      </w:r>
    </w:p>
    <w:p>
      <w:pPr>
        <w:spacing w:after="80"/>
      </w:pPr>
      <w:r>
        <w:rPr>
          <w:b/>
        </w:rPr>
        <w:t xml:space="preserve">S31  </w:t>
      </w:r>
      <w:hyperlink r:id="rId42">
        <w:r>
          <w:rPr>
            <w:color w:val="000000"/>
            <w:u w:val="single"/>
          </w:rPr>
          <w:t>IRM enterprise risk certificate</w:t>
        </w:r>
      </w:hyperlink>
      <w:r>
        <w:t xml:space="preserve"> — Peer course/FAQ extract.</w:t>
      </w:r>
    </w:p>
    <w:p>
      <w:pPr>
        <w:spacing w:after="80"/>
      </w:pPr>
      <w:r>
        <w:rPr>
          <w:b/>
        </w:rPr>
        <w:t xml:space="preserve">S32  </w:t>
      </w:r>
      <w:hyperlink r:id="rId43">
        <w:r>
          <w:rPr>
            <w:color w:val="000000"/>
            <w:u w:val="single"/>
          </w:rPr>
          <w:t>Business Continuity Institute</w:t>
        </w:r>
      </w:hyperlink>
      <w:r>
        <w:t xml:space="preserve"> — Peer homepage/navigation extract.</w:t>
      </w:r>
    </w:p>
    <w:p>
      <w:pPr>
        <w:spacing w:after="80"/>
      </w:pPr>
      <w:r>
        <w:rPr>
          <w:b/>
        </w:rPr>
        <w:t xml:space="preserve">S33  </w:t>
      </w:r>
      <w:hyperlink r:id="rId44">
        <w:r>
          <w:rPr>
            <w:color w:val="000000"/>
            <w:u w:val="single"/>
          </w:rPr>
          <w:t>BCI knowledge catalogue</w:t>
        </w:r>
      </w:hyperlink>
      <w:r>
        <w:t xml:space="preserve"> — Peer filtered resource extract.</w:t>
      </w:r>
    </w:p>
    <w:p>
      <w:pPr>
        <w:spacing w:after="80"/>
      </w:pPr>
      <w:r>
        <w:rPr>
          <w:b/>
        </w:rPr>
        <w:t xml:space="preserve">S34  </w:t>
      </w:r>
      <w:hyperlink r:id="rId45">
        <w:r>
          <w:rPr>
            <w:color w:val="000000"/>
            <w:u w:val="single"/>
          </w:rPr>
          <w:t>ASIS International</w:t>
        </w:r>
      </w:hyperlink>
      <w:r>
        <w:t xml:space="preserve"> — Peer homepage extract.</w:t>
      </w:r>
    </w:p>
    <w:p>
      <w:pPr>
        <w:spacing w:after="80"/>
      </w:pPr>
      <w:r>
        <w:rPr>
          <w:b/>
        </w:rPr>
        <w:t xml:space="preserve">S34A  </w:t>
      </w:r>
      <w:hyperlink r:id="rId46">
        <w:r>
          <w:rPr>
            <w:color w:val="000000"/>
            <w:u w:val="single"/>
          </w:rPr>
          <w:t>ASIS membership joining page</w:t>
        </w:r>
      </w:hyperlink>
      <w:r>
        <w:t xml:space="preserve"> — Peer benefits and prices extract.</w:t>
      </w:r>
    </w:p>
    <w:p>
      <w:pPr>
        <w:spacing w:after="80"/>
      </w:pPr>
      <w:r>
        <w:rPr>
          <w:b/>
        </w:rPr>
        <w:t xml:space="preserve">S35  </w:t>
      </w:r>
      <w:hyperlink r:id="rId47">
        <w:r>
          <w:rPr>
            <w:color w:val="000000"/>
            <w:u w:val="single"/>
          </w:rPr>
          <w:t>UK government Level 6 learning aim</w:t>
        </w:r>
      </w:hyperlink>
      <w:r>
        <w:t xml:space="preserve"> — Independent qualification record; last modified 3 July 2026.</w:t>
      </w:r>
    </w:p>
    <w:p>
      <w:pPr>
        <w:spacing w:after="80"/>
      </w:pPr>
      <w:r>
        <w:rPr>
          <w:b/>
        </w:rPr>
        <w:t xml:space="preserve">S36  </w:t>
      </w:r>
      <w:hyperlink r:id="rId48">
        <w:r>
          <w:rPr>
            <w:color w:val="000000"/>
            <w:u w:val="single"/>
          </w:rPr>
          <w:t>ATHE Level 5 corporate risk award</w:t>
        </w:r>
      </w:hyperlink>
      <w:r>
        <w:t xml:space="preserve"> — Awarding-body record.</w:t>
      </w:r>
    </w:p>
    <w:p>
      <w:pPr>
        <w:spacing w:after="80"/>
      </w:pPr>
      <w:r>
        <w:rPr>
          <w:b/>
        </w:rPr>
        <w:t xml:space="preserve">T01  </w:t>
      </w:r>
      <w:hyperlink r:id="rId49">
        <w:r>
          <w:rPr>
            <w:color w:val="000000"/>
            <w:u w:val="single"/>
          </w:rPr>
          <w:t>Google guidance on search snippets</w:t>
        </w:r>
      </w:hyperlink>
      <w:r>
        <w:t xml:space="preserve"> — Primary technical guidance.</w:t>
      </w:r>
    </w:p>
    <w:p>
      <w:pPr>
        <w:spacing w:after="80"/>
      </w:pPr>
      <w:r>
        <w:rPr>
          <w:b/>
        </w:rPr>
        <w:t xml:space="preserve">T02  </w:t>
      </w:r>
      <w:hyperlink r:id="rId50">
        <w:r>
          <w:rPr>
            <w:color w:val="000000"/>
            <w:u w:val="single"/>
          </w:rPr>
          <w:t>Google Web Vitals guidance</w:t>
        </w:r>
      </w:hyperlink>
      <w:r>
        <w:t xml:space="preserve"> — Primary technical guidance.</w:t>
      </w:r>
    </w:p>
    <w:p>
      <w:pPr>
        <w:spacing w:after="80"/>
      </w:pPr>
      <w:r>
        <w:rPr>
          <w:b/>
        </w:rPr>
        <w:t xml:space="preserve">T03  </w:t>
      </w:r>
      <w:hyperlink r:id="rId51">
        <w:r>
          <w:rPr>
            <w:color w:val="000000"/>
            <w:u w:val="single"/>
          </w:rPr>
          <w:t>W3C WCAG 2.2</w:t>
        </w:r>
      </w:hyperlink>
      <w:r>
        <w:t xml:space="preserve"> — Primary accessibility standard.</w:t>
      </w:r>
    </w:p>
    <w:p>
      <w:pPr>
        <w:pStyle w:val="Heading2"/>
      </w:pPr>
      <w:r>
        <w:t>Coverage limits and inventory interpretation</w:t>
      </w:r>
    </w:p>
    <w:p>
      <w:r>
        <w:t>The catalogue is an inspected-page inventory, not a sitemap or the complete universe of ISRM URLs. It includes 28 ISRM-family HTML entries when the separately numbered calendar and event pages are counted, two sampled PDFs and six peer pages. The library’s 94 distinct PDF URLs are discovery records, not 94 verified downloads. At least the July 2026 report and the Rittel paper were retrieved; other destinations were not systematically validated.</w:t>
      </w:r>
    </w:p>
    <w:p>
      <w:r>
        <w:t>The corporate relationship is supported by the main site’s links, the corporate About description, shared ISRM identity and @theisrm.org contact addresses. This establishes a publicly presented operational relationship; domain ownership and corporate legal structure were not independently audited. ISRM Students and regional sites surfaced in discovery but were not included in the technical sample.</w:t>
      </w:r>
    </w:p>
    <w:p>
      <w:r>
        <w:t>No page-speed scores, traffic estimates, conversion rates, backlink counts, keyword rankings, indexing totals, security vulnerability claims or quantified revenue losses have been invented. Mobile usability, performance and full technical crawl completion remain explicit follow-up work. The findings already support a practical improvement programme; those missing tests should determine the final technical priorities.</w:t>
      </w:r>
    </w:p>
    <w:sectPr w:rsidR="00FC693F" w:rsidRPr="0006063C" w:rsidSect="00034616">
      <w:headerReference w:type="default" r:id="rId9"/>
      <w:footerReference w:type="default" r:id="rId10"/>
      <w:pgSz w:w="12240" w:h="15840"/>
      <w:pgMar w:top="979" w:right="1008" w:bottom="979"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ISRM website audit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ISRM  |  Website review  |  30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heisrm.org/" TargetMode="External"/><Relationship Id="rId12" Type="http://schemas.openxmlformats.org/officeDocument/2006/relationships/hyperlink" Target="https://www.theisrm.org/membership/" TargetMode="External"/><Relationship Id="rId13" Type="http://schemas.openxmlformats.org/officeDocument/2006/relationships/hyperlink" Target="https://www.theisrm.org/registration/" TargetMode="External"/><Relationship Id="rId14" Type="http://schemas.openxmlformats.org/officeDocument/2006/relationships/hyperlink" Target="https://www.theisrm.org/training-programmes/" TargetMode="External"/><Relationship Id="rId15" Type="http://schemas.openxmlformats.org/officeDocument/2006/relationships/hyperlink" Target="https://www.theisrm.org/training-programmes/level-5-award-in-corporate-risk-and-crisis-management/" TargetMode="External"/><Relationship Id="rId16" Type="http://schemas.openxmlformats.org/officeDocument/2006/relationships/hyperlink" Target="https://www.theisrm.org/training-programmes/level-6-diploma-in-strategic-risk-and-crisis-management/" TargetMode="External"/><Relationship Id="rId17" Type="http://schemas.openxmlformats.org/officeDocument/2006/relationships/hyperlink" Target="https://www.theisrm.org/free-to-attend-courses-october-november/" TargetMode="External"/><Relationship Id="rId18" Type="http://schemas.openxmlformats.org/officeDocument/2006/relationships/hyperlink" Target="https://www.theisrm.org/events-calendar/" TargetMode="External"/><Relationship Id="rId19" Type="http://schemas.openxmlformats.org/officeDocument/2006/relationships/hyperlink" Target="https://www.theisrm.org/public-library/" TargetMode="External"/><Relationship Id="rId20" Type="http://schemas.openxmlformats.org/officeDocument/2006/relationships/hyperlink" Target="https://www.theisrm.org/global-risk-review/" TargetMode="External"/><Relationship Id="rId21" Type="http://schemas.openxmlformats.org/officeDocument/2006/relationships/hyperlink" Target="https://www.theisrm.org/login/" TargetMode="External"/><Relationship Id="rId22" Type="http://schemas.openxmlformats.org/officeDocument/2006/relationships/hyperlink" Target="https://www.theisrm.org/library/" TargetMode="External"/><Relationship Id="rId23" Type="http://schemas.openxmlformats.org/officeDocument/2006/relationships/hyperlink" Target="https://www.theisrm.org/about-us/" TargetMode="External"/><Relationship Id="rId24" Type="http://schemas.openxmlformats.org/officeDocument/2006/relationships/hyperlink" Target="https://www.theisrm.org/international-chapters/ukraine-chapter/" TargetMode="External"/><Relationship Id="rId25" Type="http://schemas.openxmlformats.org/officeDocument/2006/relationships/hyperlink" Target="https://www.theisrm.org/international-chapters/uk-hub/" TargetMode="External"/><Relationship Id="rId26" Type="http://schemas.openxmlformats.org/officeDocument/2006/relationships/hyperlink" Target="https://www.theisrm.org/international-chapters/ksa-chapter/" TargetMode="External"/><Relationship Id="rId27" Type="http://schemas.openxmlformats.org/officeDocument/2006/relationships/hyperlink" Target="https://www.theisrm.org/global-risk-forum-465-466/" TargetMode="External"/><Relationship Id="rId28" Type="http://schemas.openxmlformats.org/officeDocument/2006/relationships/hyperlink" Target="https://www.theisrm.org/lessons-from-the-frontline-from-theory-to-doctrine/" TargetMode="External"/><Relationship Id="rId29" Type="http://schemas.openxmlformats.org/officeDocument/2006/relationships/hyperlink" Target="https://www.theisrm.org/blue-planet-coalition-recording/" TargetMode="External"/><Relationship Id="rId30" Type="http://schemas.openxmlformats.org/officeDocument/2006/relationships/hyperlink" Target="https://www.theisrm.org/fellow-to-fellow-ep-1/" TargetMode="External"/><Relationship Id="rId31" Type="http://schemas.openxmlformats.org/officeDocument/2006/relationships/hyperlink" Target="https://www.theisrm.org/privacy-policy/" TargetMode="External"/><Relationship Id="rId32" Type="http://schemas.openxmlformats.org/officeDocument/2006/relationships/hyperlink" Target="https://www.theisrm.org/isrm-announces-ukraine-chapter/" TargetMode="External"/><Relationship Id="rId33" Type="http://schemas.openxmlformats.org/officeDocument/2006/relationships/hyperlink" Target="https://www.isrmcorp.com/training-and-development/" TargetMode="External"/><Relationship Id="rId34" Type="http://schemas.openxmlformats.org/officeDocument/2006/relationships/hyperlink" Target="https://www.isrmcorp.com/corporate-partners/" TargetMode="External"/><Relationship Id="rId35" Type="http://schemas.openxmlformats.org/officeDocument/2006/relationships/hyperlink" Target="https://www.isrmcorp.com/academic-partners/" TargetMode="External"/><Relationship Id="rId36" Type="http://schemas.openxmlformats.org/officeDocument/2006/relationships/hyperlink" Target="https://www.isrmcorp.com/about-us/" TargetMode="External"/><Relationship Id="rId37" Type="http://schemas.openxmlformats.org/officeDocument/2006/relationships/hyperlink" Target="https://www.isrmcorp.com/training-course/level-5-award-in-corporate-risk-crisis-management-october-morning-session/" TargetMode="External"/><Relationship Id="rId38" Type="http://schemas.openxmlformats.org/officeDocument/2006/relationships/hyperlink" Target="https://www.theisrm.org/event/introduction-to-the-level-6-academic-diploma-in-strategic-risk-and-crisis-management/" TargetMode="External"/><Relationship Id="rId39" Type="http://schemas.openxmlformats.org/officeDocument/2006/relationships/hyperlink" Target="https://theisrm.org/documents/GRR_july_2026.pdf" TargetMode="External"/><Relationship Id="rId40" Type="http://schemas.openxmlformats.org/officeDocument/2006/relationships/hyperlink" Target="https://www.theisrm.org/documents/Rittel%20(1072)%20On%20the%20Planning%20Crisis%20-%20Systems%20Analysis%20of%20the%20%27First%20and%20Second%20Generations%27.pdf" TargetMode="External"/><Relationship Id="rId41" Type="http://schemas.openxmlformats.org/officeDocument/2006/relationships/hyperlink" Target="https://www.theirm.org/" TargetMode="External"/><Relationship Id="rId42" Type="http://schemas.openxmlformats.org/officeDocument/2006/relationships/hyperlink" Target="https://hub.theirm.org/en-gb/international-certificate-in-enterprise-risk-management" TargetMode="External"/><Relationship Id="rId43" Type="http://schemas.openxmlformats.org/officeDocument/2006/relationships/hyperlink" Target="https://www.thebci.org/" TargetMode="External"/><Relationship Id="rId44" Type="http://schemas.openxmlformats.org/officeDocument/2006/relationships/hyperlink" Target="https://www.thebci.org/thought-leadership/search-knowledge.html?information_type=FBEEB195-3773-461A-B076AFDFA68C73C2" TargetMode="External"/><Relationship Id="rId45" Type="http://schemas.openxmlformats.org/officeDocument/2006/relationships/hyperlink" Target="https://www.asisonline.org/" TargetMode="External"/><Relationship Id="rId46" Type="http://schemas.openxmlformats.org/officeDocument/2006/relationships/hyperlink" Target="https://www.asisonline.org/membership/join/" TargetMode="External"/><Relationship Id="rId47" Type="http://schemas.openxmlformats.org/officeDocument/2006/relationships/hyperlink" Target="https://submit-learner-data.service.gov.uk/find-a-learning-aim/LearningAimDetails/60322329" TargetMode="External"/><Relationship Id="rId48" Type="http://schemas.openxmlformats.org/officeDocument/2006/relationships/hyperlink" Target="https://athe.co.uk/qualifications/athe-level-5-award-in-corporate-risk-and-crisis-management/" TargetMode="External"/><Relationship Id="rId49" Type="http://schemas.openxmlformats.org/officeDocument/2006/relationships/hyperlink" Target="https://developers.google.com/search/docs/appearance/snippet" TargetMode="External"/><Relationship Id="rId50" Type="http://schemas.openxmlformats.org/officeDocument/2006/relationships/hyperlink" Target="https://web.dev/articles/vitals" TargetMode="External"/><Relationship Id="rId51"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ISRM Website Content and Technical Audit</dc:title>
  <dc:subject>Public website audit and 90 day improvement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