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pruebas unitarias</w:t>
      </w:r>
    </w:p>
    <w:p>
      <w:pPr>
        <w:jc w:val="center"/>
      </w:pPr>
      <w:r>
        <w:rPr>
          <w:b/>
          <w:color w:val="006A3B"/>
          <w:sz w:val="36"/>
        </w:rPr>
        <w:t>Proyecto Corazones Limeños</w:t>
      </w:r>
    </w:p>
    <w:p>
      <w:pPr>
        <w:spacing w:before="440"/>
        <w:jc w:val="center"/>
      </w:pPr>
      <w:r>
        <w:rPr>
          <w:b/>
        </w:rPr>
        <w:t>Curso: Calidad de Software</w:t>
        <w:br/>
      </w:r>
      <w:r>
        <w:t>Tecnología: Angular 22, TypeScript y Vitest</w:t>
        <w:br/>
      </w:r>
      <w:r>
        <w:t>Fecha de ejecución: 29/09/2026</w:t>
      </w:r>
    </w:p>
    <w:p>
      <w:pPr>
        <w:spacing w:before="840"/>
        <w:jc w:val="both"/>
      </w:pPr>
      <w:r>
        <w:rPr>
          <w:b/>
        </w:rPr>
        <w:t xml:space="preserve">Propósito. </w:t>
      </w:r>
      <w:r>
        <w:t>Este informe documenta las pruebas unitarias aplicadas a las reglas de negocio del sistema de donaciones Corazones Limeños. La ejecución verificó correctamente los casos de validación, límites, permisos por rol y seguridad del perfil. La suite final registró 23 pruebas aprobadas y ninguna prueba fallida.</w:t>
      </w:r>
    </w:p>
    <w:p>
      <w:r>
        <w:br w:type="page"/>
      </w:r>
    </w:p>
    <w:p>
      <w:pPr>
        <w:pStyle w:val="Heading1"/>
      </w:pPr>
      <w:r>
        <w:t>1 Resumen de resultados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5F2E9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6A3B"/>
                <w:sz w:val="40"/>
              </w:rPr>
              <w:t>2</w:t>
            </w:r>
          </w:p>
        </w:tc>
        <w:tc>
          <w:tcPr>
            <w:tcW w:type="dxa" w:w="2436"/>
            <w:shd w:fill="E5F2E9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6A3B"/>
                <w:sz w:val="40"/>
              </w:rPr>
              <w:t>23</w:t>
            </w:r>
          </w:p>
        </w:tc>
        <w:tc>
          <w:tcPr>
            <w:tcW w:type="dxa" w:w="2436"/>
            <w:shd w:fill="E5F2E9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6A3B"/>
                <w:sz w:val="40"/>
              </w:rPr>
              <w:t>0</w:t>
            </w:r>
          </w:p>
        </w:tc>
        <w:tc>
          <w:tcPr>
            <w:tcW w:type="dxa" w:w="2436"/>
            <w:shd w:fill="E5F2E9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6A3B"/>
                <w:sz w:val="40"/>
              </w:rPr>
              <w:t>100 %</w:t>
            </w:r>
          </w:p>
        </w:tc>
      </w:tr>
      <w:tr>
        <w:tc>
          <w:tcPr>
            <w:tcW w:type="dxa" w:w="2436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Archivos de prueba</w:t>
            </w:r>
          </w:p>
        </w:tc>
        <w:tc>
          <w:tcPr>
            <w:tcW w:type="dxa" w:w="2436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Pruebas aprobadas</w:t>
            </w:r>
          </w:p>
        </w:tc>
        <w:tc>
          <w:tcPr>
            <w:tcW w:type="dxa" w:w="2436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Pruebas fallidas</w:t>
            </w:r>
          </w:p>
        </w:tc>
        <w:tc>
          <w:tcPr>
            <w:tcW w:type="dxa" w:w="2436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Ejecución satisfactoria</w:t>
            </w:r>
          </w:p>
        </w:tc>
      </w:tr>
    </w:tbl>
    <w:p/>
    <w:p>
      <w:pPr>
        <w:jc w:val="both"/>
      </w:pPr>
      <w:r>
        <w:rPr>
          <w:b/>
        </w:rPr>
        <w:t xml:space="preserve">Conclusión principal. </w:t>
      </w:r>
      <w:r>
        <w:t>Las reglas evaluadas se comportan de acuerdo con los resultados esperados. La separación de la lógica en clases puras permite repetir las pruebas sin abrir el navegador, sin acceder a localStorage y sin depender de componentes visuales.</w:t>
      </w:r>
    </w:p>
    <w:p>
      <w:pPr>
        <w:pStyle w:val="Heading1"/>
      </w:pPr>
      <w:r>
        <w:t>2 Herramienta y enfoque</w:t>
      </w:r>
    </w:p>
    <w:p>
      <w:pPr>
        <w:jc w:val="both"/>
      </w:pPr>
      <w:r>
        <w:rPr>
          <w:b/>
        </w:rPr>
        <w:t xml:space="preserve">El material de clase presenta JUnit para proyectos Java. </w:t>
      </w:r>
      <w:r>
        <w:t>Corazones Limeños está desarrollado en Angular y TypeScript, por lo que utiliza Vitest mediante el ejecutor oficial de Angular CLI. Ambos frameworks pertenecen a la familia xUnit y emplean la misma idea: organizar casos, preparar entradas, ejecutar una unidad aislada y comparar el resultado mediante aserciones.</w:t>
      </w:r>
    </w:p>
    <w:p>
      <w:pPr>
        <w:spacing w:before="200" w:line="288" w:lineRule="auto"/>
      </w:pPr>
      <w:r>
        <w:rPr>
          <w:rFonts w:ascii="Aptos Display" w:hAnsi="Aptos Display"/>
          <w:b/>
          <w:sz w:val="28"/>
        </w:rPr>
        <w:t>2.1 Organización de los archivos</w:t>
      </w:r>
      <w:r>
        <w:br/>
        <w:t>•  business-rules.ts contiene las reglas de negocio que se desean comprobar.</w:t>
      </w:r>
      <w:r>
        <w:br/>
        <w:t>•  business-rules.spec.ts contiene los casos unitarios y las aserciones.</w:t>
      </w:r>
      <w:r>
        <w:br/>
        <w:t>•  app.spec.ts contiene las pruebas básicas de creación de la aplicación Angular.</w:t>
      </w:r>
      <w:r>
        <w:br/>
        <w:t>•  pruebas-unitarias-ieee829.md conserva la trazabilidad de los casos.</w:t>
      </w:r>
    </w:p>
    <w:p>
      <w:pPr>
        <w:pStyle w:val="Heading1"/>
      </w:pPr>
      <w:r>
        <w:t>3 Evidencia de ejecución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2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erminal_prueb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2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Figura 1. Ejecución real de npm run test:unit con todos los casos aprobados.</w:t>
      </w:r>
    </w:p>
    <w:p>
      <w:pPr>
        <w:jc w:val="both"/>
      </w:pPr>
      <w:r>
        <w:rPr>
          <w:b/>
        </w:rPr>
        <w:t xml:space="preserve">Interpretación. </w:t>
      </w:r>
      <w:r>
        <w:t>La línea Test Files 2 passed indica que los dos archivos de pruebas finalizaron correctamente. La línea Tests 23 passed confirma que no existe ningún caso fallido en la ejecución presentada.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codigo_prueb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Figura 2. Casos unitarios definidos con describe, it y expect.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reglas_nego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Figura 3. Clase de reglas del negocio evaluada por la suite.</w:t>
      </w:r>
    </w:p>
    <w:p>
      <w:pPr>
        <w:pStyle w:val="Heading1"/>
      </w:pPr>
      <w:r>
        <w:t>4 Cobertura de código</w:t>
      </w:r>
    </w:p>
    <w:p>
      <w:pPr>
        <w:jc w:val="both"/>
      </w:pPr>
      <w:r>
        <w:rPr>
          <w:b/>
        </w:rPr>
        <w:t xml:space="preserve">La cobertura se obtuvo con el proveedor V8 mediante npm run test:unit -- --coverage. </w:t>
      </w:r>
      <w:r>
        <w:t>La lógica central de negocio alcanzó 88,63 % de sentencias, 87,80 % de ramas, 100 % de funciones y 97,05 % de líneas. En el conjunto completo del proyecto se obtuvo 62,59 % de sentencias y 76,92 % de líneas; la diferencia corresponde principalmente a la plantilla visual y al almacén de datos, que requieren pruebas de componentes e integración.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F4FA"/>
          </w:tcPr>
          <w:p>
            <w:pPr>
              <w:jc w:val="center"/>
            </w:pPr>
            <w:r>
              <w:rPr>
                <w:b/>
                <w:color w:val="244A73"/>
                <w:sz w:val="32"/>
              </w:rPr>
              <w:t>88,63 %</w:t>
            </w:r>
          </w:p>
        </w:tc>
        <w:tc>
          <w:tcPr>
            <w:tcW w:type="dxa" w:w="2436"/>
            <w:shd w:fill="EDF4FA"/>
          </w:tcPr>
          <w:p>
            <w:pPr>
              <w:jc w:val="center"/>
            </w:pPr>
            <w:r>
              <w:rPr>
                <w:b/>
                <w:color w:val="244A73"/>
                <w:sz w:val="32"/>
              </w:rPr>
              <w:t>87,80 %</w:t>
            </w:r>
          </w:p>
        </w:tc>
        <w:tc>
          <w:tcPr>
            <w:tcW w:type="dxa" w:w="2436"/>
            <w:shd w:fill="EDF4FA"/>
          </w:tcPr>
          <w:p>
            <w:pPr>
              <w:jc w:val="center"/>
            </w:pPr>
            <w:r>
              <w:rPr>
                <w:b/>
                <w:color w:val="244A73"/>
                <w:sz w:val="32"/>
              </w:rPr>
              <w:t>100 %</w:t>
            </w:r>
          </w:p>
        </w:tc>
        <w:tc>
          <w:tcPr>
            <w:tcW w:type="dxa" w:w="2436"/>
            <w:shd w:fill="EDF4FA"/>
          </w:tcPr>
          <w:p>
            <w:pPr>
              <w:jc w:val="center"/>
            </w:pPr>
            <w:r>
              <w:rPr>
                <w:b/>
                <w:color w:val="244A73"/>
                <w:sz w:val="32"/>
              </w:rPr>
              <w:t>97,05 %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7"/>
              </w:rPr>
              <w:t>Sentencias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7"/>
              </w:rPr>
              <w:t>Ramas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7"/>
              </w:rPr>
              <w:t>Funciones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7"/>
              </w:rPr>
              <w:t>Líneas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20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erminal_cober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2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Figura 4. Reporte real de cobertura generado por Vitest y V8.</w:t>
      </w:r>
    </w:p>
    <w:p>
      <w:pPr>
        <w:pStyle w:val="Heading1"/>
      </w:pPr>
      <w:r>
        <w:t>5 Casos de prueba documentados</w:t>
      </w:r>
    </w:p>
    <w:p>
      <w:r>
        <w:t>Los casos se identifican según una estructura de trazabilidad compatible con la especificación IEEE 829 solicitada en clase. El resultado obtenido coincide con el resultado esperado en todos los casos.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381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91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CP-UNIT-001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Aceptar la categoría Juguetes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Categoría válida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CP-UNIT-002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Rechazar categoría vacía o desconocida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Validación rechazada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CP-UNIT-003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Aceptar descripción y cantidad válidas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Detalle válido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CP-UNIT-004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Rechazar descripción menor de cinco caracteres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Mensaje de validación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CP-UNIT-005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Rechazar 0, 1001, decimales y NaN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Cantidad inválida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CP-UNIT-006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Aceptar los límites 1 y 1000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Límites válidos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CP-UNIT-007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Exigir distrito en punto de recojo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Distrito obligatorio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CP-UNIT-008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Exigir dirección y horario a domicilio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Datos completos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CP-UNIT-009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Aceptar solamente un albergue aprobado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Albergue válido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CP-UNIT-010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Limitar el contador de cajas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Rango de 1 a 1000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381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91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CP-UNIT-011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Administrador asigna una ruta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Estado En tránsito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CP-UNIT-012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Albergue confirma la recepción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Estado Entregado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CP-UNIT-013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Bloquear cambios por roles no autorizados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Estado sin cambios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CP-UNIT-014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Validar formato del correo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Válido o inválido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CP-UNIT-015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Validar teléfono de 9 a 15 dígitos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Válido o inválido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CP-UNIT-016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Aceptar cambio de contraseña correcto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Cambio permitido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CP-UNIT-017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Rechazar contraseña actual incorrecta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Cambio rechazado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sz w:val="17"/>
              </w:rPr>
              <w:t>CP-UNIT-018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Rechazar contraseñas nuevas diferentes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left"/>
            </w:pPr>
            <w:r>
              <w:rPr>
                <w:sz w:val="17"/>
              </w:rPr>
              <w:t>Cambio rechazado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b/>
                <w:color w:val="006A3B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6 Explicación de tres pruebas representativas</w:t>
      </w:r>
    </w:p>
    <w:p>
      <w:pPr>
        <w:pStyle w:val="Heading2"/>
      </w:pPr>
      <w:r>
        <w:t>6.1 Cantidad de cajas</w:t>
      </w:r>
    </w:p>
    <w:p>
      <w:r>
        <w:t>La prueba envía cantidades fuera del rango permitido: 0, 1001, un número decimal y NaN. La regla debe rechazarlas porque el formulario solo admite números enteros de 1 a 1000. También se prueban exactamente los valores 1 y 1000 para comprobar los límites.</w:t>
      </w:r>
    </w:p>
    <w:p>
      <w:pPr>
        <w:pStyle w:val="Heading2"/>
      </w:pPr>
      <w:r>
        <w:t>6.2 Transición por rol</w:t>
      </w:r>
    </w:p>
    <w:p>
      <w:r>
        <w:t>Una donación pendiente solo puede pasar a En tránsito cuando actúa un administrador. Una donación en tránsito solo puede pasar a Entregado cuando actúa el albergue. Si interviene un rol sin permiso, el estado original se conserva.</w:t>
      </w:r>
    </w:p>
    <w:p>
      <w:pPr>
        <w:pStyle w:val="Heading2"/>
      </w:pPr>
      <w:r>
        <w:t>6.3 Cambio de contraseña</w:t>
      </w:r>
    </w:p>
    <w:p>
      <w:r>
        <w:t>La regla compara la contraseña actual con la almacenada, exige una nueva contraseña de al menos ocho caracteres y verifica que la repetición coincida. Las pruebas evalúan el caso correcto y los principales errores.</w:t>
      </w:r>
    </w:p>
    <w:p>
      <w:pPr>
        <w:pStyle w:val="Heading1"/>
      </w:pPr>
      <w:r>
        <w:t>7 Ejecución de las pruebas</w:t>
      </w:r>
    </w:p>
    <w:p>
      <w:r>
        <w:t>Abrir una terminal en la carpeta del proyecto y ejecutar:</w:t>
      </w:r>
    </w:p>
    <w:p>
      <w:pPr>
        <w:ind w:left="454"/>
      </w:pPr>
      <w:r>
        <w:rPr>
          <w:rFonts w:ascii="Consolas" w:hAnsi="Consolas"/>
          <w:color w:val="00462D"/>
          <w:sz w:val="20"/>
        </w:rPr>
        <w:t>cd C:\ProyectoCalidad\Proyectocalidad</w:t>
        <w:br/>
        <w:t>npm run test:unit</w:t>
      </w:r>
    </w:p>
    <w:p>
      <w:r>
        <w:t>Para trabajar con el ciclo TDD de forma continua puede utilizarse npm run test:watch. Vitest vuelve a ejecutar la suite después de cada cambio guardado.</w:t>
      </w:r>
    </w:p>
    <w:p>
      <w:pPr>
        <w:pStyle w:val="Heading1"/>
      </w:pPr>
      <w:r>
        <w:t>8 Relación con TDD</w:t>
      </w:r>
    </w:p>
    <w:p>
      <w:r>
        <w:rPr>
          <w:b/>
        </w:rPr>
        <w:t xml:space="preserve">Red. </w:t>
      </w:r>
      <w:r>
        <w:t>Se escribe primero un caso en business-rules.spec.ts y se confirma que falle porque la regla todavía no existe.</w:t>
      </w:r>
    </w:p>
    <w:p>
      <w:r>
        <w:rPr>
          <w:b/>
        </w:rPr>
        <w:t xml:space="preserve">Green. </w:t>
      </w:r>
      <w:r>
        <w:t>Se implementa la cantidad mínima de código en business-rules.ts hasta conseguir que el caso pase.</w:t>
      </w:r>
    </w:p>
    <w:p>
      <w:r>
        <w:rPr>
          <w:b/>
        </w:rPr>
        <w:t xml:space="preserve">Refactor. </w:t>
      </w:r>
      <w:r>
        <w:t>Se mejora la estructura sin cambiar el comportamiento y se vuelve a ejecutar toda la suite para detectar regresiones.</w:t>
      </w:r>
    </w:p>
    <w:p>
      <w:pPr>
        <w:pStyle w:val="Heading1"/>
      </w:pPr>
      <w:r>
        <w:t>9 Guía para la exposición</w:t>
      </w:r>
    </w:p>
    <w:p>
      <w:pPr>
        <w:pStyle w:val="ListBullet"/>
      </w:pPr>
      <w:r>
        <w:t>El objetivo de una prueba unitaria es comprobar una parte pequeña y aislada del sistema.</w:t>
      </w:r>
    </w:p>
    <w:p>
      <w:pPr>
        <w:pStyle w:val="ListBullet"/>
      </w:pPr>
      <w:r>
        <w:t>JUnit es la herramienta mostrada para Java; Vitest cumple esa función en Angular y TypeScript.</w:t>
      </w:r>
    </w:p>
    <w:p>
      <w:pPr>
        <w:pStyle w:val="ListBullet"/>
      </w:pPr>
      <w:r>
        <w:t>La lógica fue separada de la interfaz para que las pruebas no dependan del navegador.</w:t>
      </w:r>
    </w:p>
    <w:p>
      <w:pPr>
        <w:pStyle w:val="ListBullet"/>
      </w:pPr>
      <w:r>
        <w:t>Los IDs CP-UNIT permiten relacionar cada prueba automática con su documentación IEEE 829.</w:t>
      </w:r>
    </w:p>
    <w:p>
      <w:pPr>
        <w:pStyle w:val="ListBullet"/>
      </w:pPr>
      <w:r>
        <w:t>Los casos incluyen rutas correctas, datos inválidos, valores límite y permisos por rol.</w:t>
      </w:r>
    </w:p>
    <w:p>
      <w:pPr>
        <w:pStyle w:val="ListBullet"/>
      </w:pPr>
      <w:r>
        <w:t>El resultado final fue de 23 pruebas aprobadas y ninguna fallida.</w:t>
      </w:r>
    </w:p>
    <w:p>
      <w:pPr>
        <w:pStyle w:val="Heading1"/>
      </w:pPr>
      <w:r>
        <w:t>10 Conclusiones</w:t>
      </w:r>
    </w:p>
    <w:p>
      <w:r>
        <w:t>La implementación de pruebas unitarias redujo la dependencia de verificaciones manuales y convirtió las reglas principales en contratos ejecutables. La suite comprueba tanto entradas válidas como errores frecuentes y restricciones de autorización. Al ejecutar las pruebas después de cada cambio, el equipo puede refactorizar el sistema con una señal inmediata sobre posibles regresiones.</w:t>
      </w:r>
    </w:p>
    <w:p>
      <w:r>
        <w:t>Las pruebas unitarias no reemplazan las pruebas de integración ni las pruebas de interfaz. El siguiente nivel de calidad debe verificar la interacción entre componentes, almacenamiento local, rutas y formularios completos.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55E5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unitarias del proyecto Corazones Limeños</dc:title>
  <dc:subject>Evidencia de pruebas unitarias con Angular y Vitest</dc:subject>
  <dc:creator>Equipo del proyecto Corazones Limeños</dc:creator>
  <cp:keywords>pruebas unitarias, Vitest, Angular, IEEE 829, TDD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