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spacing w:line="407.9999869210372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技术方案：</w:t>
      </w:r>
    </w:p>
    <w:p w:rsidR="00000000" w:rsidDel="00000000" w:rsidP="00000000" w:rsidRDefault="00000000" w:rsidRPr="00000000">
      <w:pPr>
        <w:pBdr/>
        <w:spacing w:line="407.9999869210372" w:lineRule="auto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nsis有自己的一套插件机制，自定义的窗口是通过插件实现的。插件会：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07.9999869210372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隐藏nsis原生窗口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07.9999869210372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创建自定义窗口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07.9999869210372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调用nsis接口进行“下一步”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07.9999869210372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执行步骤：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407.9999869210372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开始界面（点击安装按钮、调整安装位置）---&gt;  安装（进度条/ logo）----&gt; 安装结束。 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407.9999869210372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参考qq以及360安装风格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07.9999869210372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NSIS是支持静默安装包的，预装的话，需要静默安装。</w:t>
      </w:r>
    </w:p>
    <w:p w:rsidR="00000000" w:rsidDel="00000000" w:rsidP="00000000" w:rsidRDefault="00000000" w:rsidRPr="00000000">
      <w:pPr>
        <w:pBdr/>
        <w:spacing w:line="407.9999869210372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07.9999869210372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07.9999869210372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