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966A5A" w14:textId="7CD6D6C4" w:rsidR="00D64C80" w:rsidRPr="00500DCD" w:rsidRDefault="00D63821">
      <w:pPr>
        <w:rPr>
          <w:rFonts w:ascii="Times New Roman" w:hAnsi="Times New Roman" w:cs="Times New Roman"/>
          <w:b/>
          <w:bCs/>
        </w:rPr>
      </w:pPr>
      <w:r w:rsidRPr="00500DCD">
        <w:rPr>
          <w:rFonts w:ascii="Times New Roman" w:hAnsi="Times New Roman" w:cs="Times New Roman"/>
          <w:b/>
          <w:bCs/>
        </w:rPr>
        <w:t>Methodology</w:t>
      </w:r>
      <w:r w:rsidR="00500DCD" w:rsidRPr="00500DCD">
        <w:rPr>
          <w:rFonts w:ascii="Times New Roman" w:hAnsi="Times New Roman" w:cs="Times New Roman" w:hint="eastAsia"/>
          <w:b/>
          <w:bCs/>
        </w:rPr>
        <w:t xml:space="preserve"> 3000words</w:t>
      </w:r>
    </w:p>
    <w:p w14:paraId="1168BF9E" w14:textId="77777777" w:rsidR="004B494D" w:rsidRDefault="004B494D" w:rsidP="004B494D">
      <w:pPr>
        <w:rPr>
          <w:rFonts w:ascii="Times New Roman" w:hAnsi="Times New Roman" w:cs="Times New Roman"/>
        </w:rPr>
      </w:pPr>
      <w:r w:rsidRPr="0088273F">
        <w:rPr>
          <w:rFonts w:ascii="Times New Roman" w:hAnsi="Times New Roman" w:cs="Times New Roman"/>
        </w:rPr>
        <w:t>3.1 Study Area</w:t>
      </w:r>
      <w:r w:rsidRPr="0088273F">
        <w:rPr>
          <w:rFonts w:ascii="Times New Roman" w:hAnsi="Times New Roman" w:cs="Times New Roman"/>
        </w:rPr>
        <w:br/>
        <w:t>3.2 Data</w:t>
      </w:r>
    </w:p>
    <w:p w14:paraId="4E7F13F8" w14:textId="77777777" w:rsidR="008677C9" w:rsidRDefault="004B494D" w:rsidP="008677C9">
      <w:pPr>
        <w:ind w:leftChars="100" w:left="240"/>
        <w:rPr>
          <w:rFonts w:ascii="Times New Roman" w:hAnsi="Times New Roman" w:cs="Times New Roman"/>
        </w:rPr>
      </w:pPr>
      <w:r w:rsidRPr="00A15A9F">
        <w:rPr>
          <w:rFonts w:ascii="Times New Roman" w:hAnsi="Times New Roman" w:cs="Times New Roman"/>
        </w:rPr>
        <w:t>3.2.1 Data Sources</w:t>
      </w:r>
      <w:r w:rsidRPr="00A15A9F">
        <w:rPr>
          <w:rFonts w:ascii="Times New Roman" w:hAnsi="Times New Roman" w:cs="Times New Roman"/>
        </w:rPr>
        <w:br/>
        <w:t>3.2.2 Exploratory Data Analysis</w:t>
      </w:r>
    </w:p>
    <w:p w14:paraId="00DD0DFF" w14:textId="77777777" w:rsidR="008677C9" w:rsidRDefault="004B494D" w:rsidP="008677C9">
      <w:pPr>
        <w:ind w:left="240" w:hangingChars="100" w:hanging="240"/>
        <w:rPr>
          <w:rFonts w:ascii="Times New Roman" w:hAnsi="Times New Roman" w:cs="Times New Roman"/>
        </w:rPr>
      </w:pPr>
      <w:r w:rsidRPr="0088273F">
        <w:rPr>
          <w:rFonts w:ascii="Times New Roman" w:hAnsi="Times New Roman" w:cs="Times New Roman"/>
        </w:rPr>
        <w:t>3.3 Methodology Workflow</w:t>
      </w:r>
      <w:r w:rsidRPr="0088273F">
        <w:rPr>
          <w:rFonts w:ascii="Times New Roman" w:hAnsi="Times New Roman" w:cs="Times New Roman"/>
        </w:rPr>
        <w:br/>
      </w:r>
      <w:r w:rsidRPr="004B494D">
        <w:rPr>
          <w:rFonts w:ascii="Times New Roman" w:hAnsi="Times New Roman" w:cs="Times New Roman"/>
        </w:rPr>
        <w:t xml:space="preserve">3.3.1 Phase 1 Existing Provision and </w:t>
      </w:r>
      <w:proofErr w:type="spellStart"/>
      <w:r w:rsidRPr="004B494D">
        <w:rPr>
          <w:rFonts w:ascii="Times New Roman" w:hAnsi="Times New Roman" w:cs="Times New Roman"/>
        </w:rPr>
        <w:t>Utilisation</w:t>
      </w:r>
      <w:proofErr w:type="spellEnd"/>
      <w:r w:rsidRPr="004B494D">
        <w:rPr>
          <w:rFonts w:ascii="Times New Roman" w:hAnsi="Times New Roman" w:cs="Times New Roman"/>
        </w:rPr>
        <w:t xml:space="preserve"> </w:t>
      </w:r>
      <w:r w:rsidRPr="004B494D">
        <w:rPr>
          <w:rFonts w:ascii="Times New Roman" w:hAnsi="Times New Roman" w:cs="Times New Roman"/>
        </w:rPr>
        <w:br/>
        <w:t>3.3.2 Phase 2 Demand Estimation</w:t>
      </w:r>
      <w:r>
        <w:rPr>
          <w:rFonts w:ascii="Times New Roman" w:hAnsi="Times New Roman" w:cs="Times New Roman" w:hint="eastAsia"/>
        </w:rPr>
        <w:t xml:space="preserve"> and</w:t>
      </w:r>
      <w:r>
        <w:rPr>
          <w:rFonts w:ascii="Times New Roman" w:hAnsi="Times New Roman" w:cs="Times New Roman"/>
        </w:rPr>
        <w:t xml:space="preserve"> Spatial Mismatch</w:t>
      </w:r>
      <w:r w:rsidRPr="0088273F">
        <w:rPr>
          <w:rFonts w:ascii="Times New Roman" w:hAnsi="Times New Roman" w:cs="Times New Roman" w:hint="eastAsia"/>
        </w:rPr>
        <w:br/>
      </w:r>
      <w:r w:rsidRPr="0088273F">
        <w:rPr>
          <w:rFonts w:ascii="Times New Roman" w:hAnsi="Times New Roman" w:cs="Times New Roman"/>
        </w:rPr>
        <w:t>3.3.3 Phase 3 P-Median Location-Allocation Model</w:t>
      </w:r>
      <w:r w:rsidRPr="0088273F">
        <w:rPr>
          <w:rFonts w:ascii="Times New Roman" w:hAnsi="Times New Roman" w:cs="Times New Roman"/>
        </w:rPr>
        <w:br/>
        <w:t>3.3.4 Phase 4 Scenario Analysis and Evaluation</w:t>
      </w:r>
    </w:p>
    <w:p w14:paraId="7A8BD016" w14:textId="71811A5B" w:rsidR="004B494D" w:rsidRDefault="004B494D" w:rsidP="008677C9">
      <w:pPr>
        <w:ind w:left="240" w:hangingChars="100" w:hanging="240"/>
        <w:rPr>
          <w:rFonts w:ascii="Times New Roman" w:hAnsi="Times New Roman" w:cs="Times New Roman"/>
        </w:rPr>
      </w:pPr>
      <w:r w:rsidRPr="0088273F">
        <w:rPr>
          <w:rFonts w:ascii="Times New Roman" w:hAnsi="Times New Roman" w:cs="Times New Roman"/>
        </w:rPr>
        <w:t>3.4 Ethical Considerations</w:t>
      </w:r>
    </w:p>
    <w:p w14:paraId="78232400" w14:textId="77777777" w:rsidR="004B494D" w:rsidRDefault="004B494D" w:rsidP="004B494D">
      <w:pPr>
        <w:rPr>
          <w:rFonts w:ascii="Times New Roman" w:hAnsi="Times New Roman" w:cs="Times New Roman"/>
        </w:rPr>
      </w:pPr>
    </w:p>
    <w:p w14:paraId="5367CCC0" w14:textId="001FD257" w:rsidR="003B6432" w:rsidRPr="003B6432" w:rsidRDefault="003B6432" w:rsidP="004B494D">
      <w:pPr>
        <w:rPr>
          <w:rFonts w:ascii="Times New Roman" w:hAnsi="Times New Roman" w:cs="Times New Roman" w:hint="eastAsia"/>
          <w:b/>
          <w:bCs/>
        </w:rPr>
      </w:pPr>
      <w:r w:rsidRPr="00500DCD">
        <w:rPr>
          <w:rFonts w:ascii="Times New Roman" w:hAnsi="Times New Roman" w:cs="Times New Roman"/>
          <w:b/>
          <w:bCs/>
        </w:rPr>
        <w:t>Methodology</w:t>
      </w:r>
      <w:r w:rsidR="00566B30">
        <w:rPr>
          <w:rFonts w:ascii="Times New Roman" w:hAnsi="Times New Roman" w:cs="Times New Roman" w:hint="eastAsia"/>
          <w:b/>
          <w:bCs/>
        </w:rPr>
        <w:t xml:space="preserve"> 3570words</w:t>
      </w:r>
    </w:p>
    <w:p w14:paraId="2695824C" w14:textId="62D65B82" w:rsidR="008677C9" w:rsidRPr="006C7FAC" w:rsidRDefault="006C7FAC" w:rsidP="006C7FAC">
      <w:pPr>
        <w:jc w:val="both"/>
        <w:rPr>
          <w:rFonts w:ascii="Times New Roman" w:hAnsi="Times New Roman" w:cs="Times New Roman"/>
        </w:rPr>
      </w:pPr>
      <w:r w:rsidRPr="006C7FAC">
        <w:rPr>
          <w:rFonts w:ascii="Times New Roman" w:hAnsi="Times New Roman" w:cs="Times New Roman"/>
        </w:rPr>
        <w:t>This chapter described the methodological framework of assessing the spatial efficiency and distributional equity of public EV charging locations.</w:t>
      </w:r>
      <w:r w:rsidR="008677C9" w:rsidRPr="006C7FAC">
        <w:rPr>
          <w:rFonts w:ascii="Times New Roman" w:hAnsi="Times New Roman" w:cs="Times New Roman"/>
        </w:rPr>
        <w:t> </w:t>
      </w:r>
      <w:r w:rsidR="00814AB2" w:rsidRPr="006C7FAC">
        <w:rPr>
          <w:rFonts w:ascii="Times New Roman" w:hAnsi="Times New Roman" w:cs="Times New Roman"/>
        </w:rPr>
        <w:t xml:space="preserve">The </w:t>
      </w:r>
      <w:r w:rsidRPr="006C7FAC">
        <w:rPr>
          <w:rFonts w:ascii="Times New Roman" w:hAnsi="Times New Roman" w:cs="Times New Roman"/>
        </w:rPr>
        <w:t xml:space="preserve">analysis was carried out using Python, and reproducible </w:t>
      </w:r>
      <w:r w:rsidR="000D6D2C">
        <w:rPr>
          <w:rFonts w:ascii="Times New Roman" w:hAnsi="Times New Roman" w:cs="Times New Roman" w:hint="eastAsia"/>
        </w:rPr>
        <w:t>d</w:t>
      </w:r>
      <w:r w:rsidR="000D6D2C" w:rsidRPr="000D6D2C">
        <w:rPr>
          <w:rFonts w:ascii="Times New Roman" w:hAnsi="Times New Roman" w:cs="Times New Roman"/>
        </w:rPr>
        <w:t>ata cleaning and analysis c</w:t>
      </w:r>
      <w:r w:rsidRPr="006C7FAC">
        <w:rPr>
          <w:rFonts w:ascii="Times New Roman" w:hAnsi="Times New Roman" w:cs="Times New Roman"/>
        </w:rPr>
        <w:t xml:space="preserve">ode can be accessed through </w:t>
      </w:r>
      <w:proofErr w:type="spellStart"/>
      <w:proofErr w:type="gramStart"/>
      <w:r w:rsidRPr="006C7FAC">
        <w:rPr>
          <w:rFonts w:ascii="Times New Roman" w:hAnsi="Times New Roman" w:cs="Times New Roman"/>
        </w:rPr>
        <w:t>Github</w:t>
      </w:r>
      <w:proofErr w:type="spellEnd"/>
      <w:r w:rsidRPr="006C7FAC">
        <w:rPr>
          <w:rFonts w:ascii="Times New Roman" w:hAnsi="Times New Roman" w:cs="Times New Roman"/>
        </w:rPr>
        <w:t>.</w:t>
      </w:r>
      <w:r w:rsidR="000D6D2C">
        <w:rPr>
          <w:rFonts w:ascii="Times New Roman" w:hAnsi="Times New Roman" w:cs="Times New Roman" w:hint="eastAsia"/>
        </w:rPr>
        <w:t>【</w:t>
      </w:r>
      <w:proofErr w:type="gramEnd"/>
      <w:r w:rsidR="000D6D2C">
        <w:rPr>
          <w:rFonts w:ascii="Times New Roman" w:hAnsi="Times New Roman" w:cs="Times New Roman" w:hint="eastAsia"/>
        </w:rPr>
        <w:t>link</w:t>
      </w:r>
      <w:r w:rsidR="000D6D2C">
        <w:rPr>
          <w:rFonts w:ascii="Times New Roman" w:hAnsi="Times New Roman" w:cs="Times New Roman" w:hint="eastAsia"/>
        </w:rPr>
        <w:t>】</w:t>
      </w:r>
    </w:p>
    <w:p w14:paraId="5823FF9E" w14:textId="77777777" w:rsidR="0088273F" w:rsidRPr="006C7FAC" w:rsidRDefault="0088273F" w:rsidP="006C7FAC">
      <w:pPr>
        <w:jc w:val="both"/>
        <w:rPr>
          <w:rFonts w:ascii="Times New Roman" w:hAnsi="Times New Roman" w:cs="Times New Roman"/>
        </w:rPr>
      </w:pPr>
    </w:p>
    <w:p w14:paraId="3ADA896B" w14:textId="427D0E37" w:rsidR="003571A5" w:rsidRPr="00CF74B2" w:rsidRDefault="003571A5" w:rsidP="006C7FAC">
      <w:pPr>
        <w:pStyle w:val="p2"/>
        <w:jc w:val="both"/>
        <w:rPr>
          <w:sz w:val="24"/>
          <w:szCs w:val="24"/>
        </w:rPr>
      </w:pPr>
      <w:r w:rsidRPr="006C7FAC">
        <w:rPr>
          <w:sz w:val="24"/>
          <w:szCs w:val="24"/>
        </w:rPr>
        <w:t>3.</w:t>
      </w:r>
      <w:r w:rsidRPr="006C7FAC">
        <w:rPr>
          <w:rFonts w:hint="eastAsia"/>
          <w:sz w:val="24"/>
          <w:szCs w:val="24"/>
        </w:rPr>
        <w:t>1</w:t>
      </w:r>
      <w:r w:rsidRPr="006C7FAC">
        <w:rPr>
          <w:sz w:val="24"/>
          <w:szCs w:val="24"/>
        </w:rPr>
        <w:t>. Study Area</w:t>
      </w:r>
    </w:p>
    <w:p w14:paraId="680E1A20" w14:textId="3C73F338" w:rsidR="006C7FAC" w:rsidRDefault="006C7FAC" w:rsidP="00F977D7">
      <w:pPr>
        <w:pStyle w:val="p2"/>
        <w:jc w:val="both"/>
        <w:rPr>
          <w:sz w:val="24"/>
          <w:szCs w:val="24"/>
        </w:rPr>
      </w:pPr>
      <w:r w:rsidRPr="006C7FAC">
        <w:rPr>
          <w:sz w:val="24"/>
          <w:szCs w:val="24"/>
        </w:rPr>
        <w:t xml:space="preserve">This study focuses on Greater London. London </w:t>
      </w:r>
      <w:r w:rsidR="00A82D2C">
        <w:rPr>
          <w:rFonts w:hint="eastAsia"/>
          <w:sz w:val="24"/>
          <w:szCs w:val="24"/>
        </w:rPr>
        <w:t>is</w:t>
      </w:r>
      <w:r w:rsidRPr="006C7FAC">
        <w:rPr>
          <w:sz w:val="24"/>
          <w:szCs w:val="24"/>
        </w:rPr>
        <w:t xml:space="preserve"> </w:t>
      </w:r>
      <w:r w:rsidR="00A82D2C">
        <w:rPr>
          <w:rFonts w:hint="eastAsia"/>
          <w:sz w:val="24"/>
          <w:szCs w:val="24"/>
        </w:rPr>
        <w:t>a</w:t>
      </w:r>
      <w:r w:rsidR="00A82D2C">
        <w:rPr>
          <w:sz w:val="24"/>
          <w:szCs w:val="24"/>
        </w:rPr>
        <w:t xml:space="preserve"> </w:t>
      </w:r>
      <w:r w:rsidR="00A35CAA" w:rsidRPr="006C7FAC">
        <w:rPr>
          <w:sz w:val="24"/>
          <w:szCs w:val="24"/>
        </w:rPr>
        <w:t>high-density</w:t>
      </w:r>
      <w:r w:rsidR="00A82D2C">
        <w:rPr>
          <w:rFonts w:hint="eastAsia"/>
          <w:sz w:val="24"/>
          <w:szCs w:val="24"/>
        </w:rPr>
        <w:t xml:space="preserve"> city</w:t>
      </w:r>
      <w:r w:rsidRPr="006C7FAC">
        <w:rPr>
          <w:sz w:val="24"/>
          <w:szCs w:val="24"/>
        </w:rPr>
        <w:t xml:space="preserve">, and limited access to private parking increases residents’ reliance on the public charging network (He et al., 2022). The need for additional public charging infrastructure is also recognised in London’s policy objectives </w:t>
      </w:r>
      <w:r w:rsidR="0070392B">
        <w:rPr>
          <w:sz w:val="24"/>
          <w:szCs w:val="24"/>
        </w:rPr>
        <w:t>(</w:t>
      </w:r>
      <w:r w:rsidR="00A82D2C" w:rsidRPr="00A82D2C">
        <w:rPr>
          <w:sz w:val="24"/>
          <w:szCs w:val="24"/>
        </w:rPr>
        <w:t>Transport for London, 2025)</w:t>
      </w:r>
      <w:r w:rsidRPr="006C7FAC">
        <w:rPr>
          <w:sz w:val="24"/>
          <w:szCs w:val="24"/>
        </w:rPr>
        <w:t>. Moreover, household vehicle ownership, income deprivation and existing public charging provision vary considerably across the city. Greater London therefore provides a suitable case for examining the relationship between spatial efficiency and distributional equity in charging infrastructure planning.</w:t>
      </w:r>
    </w:p>
    <w:p w14:paraId="6555719A" w14:textId="77777777" w:rsidR="0070392B" w:rsidRPr="006C7FAC" w:rsidRDefault="0070392B" w:rsidP="00F977D7">
      <w:pPr>
        <w:pStyle w:val="p2"/>
        <w:jc w:val="both"/>
        <w:rPr>
          <w:sz w:val="24"/>
          <w:szCs w:val="24"/>
        </w:rPr>
      </w:pPr>
    </w:p>
    <w:p w14:paraId="000D2627" w14:textId="77777777" w:rsidR="006C7FAC" w:rsidRPr="006C7FAC" w:rsidRDefault="006C7FAC" w:rsidP="00F977D7">
      <w:pPr>
        <w:pStyle w:val="p2"/>
        <w:jc w:val="both"/>
        <w:rPr>
          <w:sz w:val="24"/>
          <w:szCs w:val="24"/>
        </w:rPr>
      </w:pPr>
      <w:r w:rsidRPr="006C7FAC">
        <w:rPr>
          <w:sz w:val="24"/>
          <w:szCs w:val="24"/>
        </w:rPr>
        <w:t xml:space="preserve">The study uses 2021 Lower Layer Super Output Areas (LSOAs) as the basic spatial unit. LSOAs are standard geographical units used for UK census statistics. Each LSOA has a usually resident population of between 1,000 and 3,000 people (ONS, 2021). Both official census statistics and income-deprivation data are available at this level. In the model, all Greater London LSOAs serve as both demand nodes and candidate allocation </w:t>
      </w:r>
      <w:r w:rsidRPr="006C7FAC">
        <w:rPr>
          <w:sz w:val="24"/>
          <w:szCs w:val="24"/>
        </w:rPr>
        <w:lastRenderedPageBreak/>
        <w:t>nodes. Each LSOA represents an area of potential public-charging demand and a possible area for receiving additional provision. Distances are measured between LSOA centroids. This reduces the computational burden of using a complete road network and maintains a consistent spatial resolution throughout the analysis.</w:t>
      </w:r>
    </w:p>
    <w:p w14:paraId="3F577764" w14:textId="158321CC" w:rsidR="006C7FAC" w:rsidRPr="00F977D7" w:rsidRDefault="001318B6" w:rsidP="00F977D7">
      <w:pPr>
        <w:pStyle w:val="p2"/>
        <w:jc w:val="both"/>
        <w:rPr>
          <w:sz w:val="24"/>
          <w:szCs w:val="24"/>
        </w:rPr>
      </w:pPr>
      <w:r w:rsidRPr="00F977D7">
        <w:rPr>
          <w:rFonts w:hint="eastAsia"/>
          <w:sz w:val="24"/>
          <w:szCs w:val="24"/>
        </w:rPr>
        <w:t>【</w:t>
      </w:r>
      <w:r w:rsidRPr="00F977D7">
        <w:rPr>
          <w:sz w:val="24"/>
          <w:szCs w:val="24"/>
        </w:rPr>
        <w:t>add Greater London LSOA boundary map</w:t>
      </w:r>
      <w:r w:rsidRPr="00F977D7">
        <w:rPr>
          <w:rFonts w:hint="eastAsia"/>
          <w:sz w:val="24"/>
          <w:szCs w:val="24"/>
        </w:rPr>
        <w:t>】</w:t>
      </w:r>
    </w:p>
    <w:p w14:paraId="7E4D8223" w14:textId="77777777" w:rsidR="001318B6" w:rsidRDefault="001318B6" w:rsidP="003571A5">
      <w:pPr>
        <w:pStyle w:val="p2"/>
      </w:pPr>
    </w:p>
    <w:p w14:paraId="3E897415" w14:textId="77777777" w:rsidR="000D6D2C" w:rsidRPr="000D6D2C" w:rsidRDefault="000D6D2C" w:rsidP="000D6D2C">
      <w:pPr>
        <w:pStyle w:val="p2"/>
        <w:rPr>
          <w:sz w:val="24"/>
          <w:szCs w:val="24"/>
        </w:rPr>
      </w:pPr>
      <w:r w:rsidRPr="000D6D2C">
        <w:rPr>
          <w:sz w:val="24"/>
          <w:szCs w:val="24"/>
        </w:rPr>
        <w:t>3.2 Data</w:t>
      </w:r>
    </w:p>
    <w:p w14:paraId="3921D90D" w14:textId="3A3730CE" w:rsidR="000D6D2C" w:rsidRPr="000D6D2C" w:rsidRDefault="000D6D2C" w:rsidP="000D6D2C">
      <w:pPr>
        <w:pStyle w:val="p2"/>
        <w:rPr>
          <w:sz w:val="24"/>
          <w:szCs w:val="24"/>
        </w:rPr>
      </w:pPr>
      <w:r w:rsidRPr="000D6D2C">
        <w:rPr>
          <w:sz w:val="24"/>
          <w:szCs w:val="24"/>
        </w:rPr>
        <w:t>3.2.1 Data Sources</w:t>
      </w:r>
    </w:p>
    <w:p w14:paraId="029DDC94" w14:textId="77777777" w:rsidR="000D6D2C" w:rsidRPr="000D6D2C" w:rsidRDefault="000D6D2C" w:rsidP="000D6D2C">
      <w:pPr>
        <w:pStyle w:val="p2"/>
        <w:rPr>
          <w:sz w:val="24"/>
          <w:szCs w:val="24"/>
        </w:rPr>
      </w:pPr>
      <w:r w:rsidRPr="000D6D2C">
        <w:rPr>
          <w:sz w:val="24"/>
          <w:szCs w:val="24"/>
        </w:rPr>
        <w:t>Table X. Overview of core data resources</w:t>
      </w:r>
    </w:p>
    <w:p w14:paraId="62959758" w14:textId="53DBA6F1" w:rsidR="000D6D2C" w:rsidRPr="000D6D2C" w:rsidRDefault="000D6D2C" w:rsidP="003571A5">
      <w:pPr>
        <w:pStyle w:val="p2"/>
        <w:rPr>
          <w:sz w:val="24"/>
          <w:szCs w:val="24"/>
        </w:rPr>
      </w:pPr>
      <w:r w:rsidRPr="000D6D2C">
        <w:rPr>
          <w:sz w:val="24"/>
          <w:szCs w:val="24"/>
        </w:rPr>
        <w:t>The table below lists the core data resources used in this study.</w:t>
      </w:r>
    </w:p>
    <w:tbl>
      <w:tblPr>
        <w:tblStyle w:val="21"/>
        <w:tblW w:w="8786" w:type="dxa"/>
        <w:tblLook w:val="04A0" w:firstRow="1" w:lastRow="0" w:firstColumn="1" w:lastColumn="0" w:noHBand="0" w:noVBand="1"/>
      </w:tblPr>
      <w:tblGrid>
        <w:gridCol w:w="1757"/>
        <w:gridCol w:w="2154"/>
        <w:gridCol w:w="1757"/>
        <w:gridCol w:w="1757"/>
        <w:gridCol w:w="1361"/>
      </w:tblGrid>
      <w:tr w:rsidR="000D6D2C" w:rsidRPr="00166FA6" w14:paraId="08074B70" w14:textId="77777777" w:rsidTr="00E174F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57" w:type="dxa"/>
            <w:vAlign w:val="center"/>
            <w:hideMark/>
          </w:tcPr>
          <w:p w14:paraId="5701958F" w14:textId="77777777" w:rsidR="000D6D2C" w:rsidRPr="00166FA6" w:rsidRDefault="000D6D2C" w:rsidP="00E174FD">
            <w:pPr>
              <w:pStyle w:val="p2"/>
              <w:spacing w:line="240" w:lineRule="atLeast"/>
              <w:jc w:val="center"/>
              <w:rPr>
                <w:sz w:val="15"/>
                <w:szCs w:val="15"/>
              </w:rPr>
            </w:pPr>
            <w:r w:rsidRPr="00166FA6">
              <w:rPr>
                <w:sz w:val="15"/>
                <w:szCs w:val="15"/>
              </w:rPr>
              <w:t>Dataset</w:t>
            </w:r>
          </w:p>
        </w:tc>
        <w:tc>
          <w:tcPr>
            <w:tcW w:w="2154" w:type="dxa"/>
            <w:vAlign w:val="center"/>
            <w:hideMark/>
          </w:tcPr>
          <w:p w14:paraId="72D37AD8" w14:textId="77777777" w:rsidR="000D6D2C" w:rsidRPr="00166FA6" w:rsidRDefault="000D6D2C" w:rsidP="00E174FD">
            <w:pPr>
              <w:pStyle w:val="p2"/>
              <w:spacing w:line="240" w:lineRule="atLeast"/>
              <w:jc w:val="center"/>
              <w:cnfStyle w:val="100000000000" w:firstRow="1" w:lastRow="0" w:firstColumn="0" w:lastColumn="0" w:oddVBand="0" w:evenVBand="0" w:oddHBand="0" w:evenHBand="0" w:firstRowFirstColumn="0" w:firstRowLastColumn="0" w:lastRowFirstColumn="0" w:lastRowLastColumn="0"/>
              <w:rPr>
                <w:sz w:val="15"/>
                <w:szCs w:val="15"/>
              </w:rPr>
            </w:pPr>
            <w:r w:rsidRPr="00166FA6">
              <w:rPr>
                <w:sz w:val="15"/>
                <w:szCs w:val="15"/>
              </w:rPr>
              <w:t>Description</w:t>
            </w:r>
          </w:p>
        </w:tc>
        <w:tc>
          <w:tcPr>
            <w:tcW w:w="1757" w:type="dxa"/>
            <w:vAlign w:val="center"/>
            <w:hideMark/>
          </w:tcPr>
          <w:p w14:paraId="361C9FE3" w14:textId="77777777" w:rsidR="000D6D2C" w:rsidRPr="00166FA6" w:rsidRDefault="000D6D2C" w:rsidP="00E174FD">
            <w:pPr>
              <w:pStyle w:val="p2"/>
              <w:spacing w:line="240" w:lineRule="atLeast"/>
              <w:jc w:val="center"/>
              <w:cnfStyle w:val="100000000000" w:firstRow="1" w:lastRow="0" w:firstColumn="0" w:lastColumn="0" w:oddVBand="0" w:evenVBand="0" w:oddHBand="0" w:evenHBand="0" w:firstRowFirstColumn="0" w:firstRowLastColumn="0" w:lastRowFirstColumn="0" w:lastRowLastColumn="0"/>
              <w:rPr>
                <w:sz w:val="15"/>
                <w:szCs w:val="15"/>
              </w:rPr>
            </w:pPr>
            <w:r w:rsidRPr="00166FA6">
              <w:rPr>
                <w:sz w:val="15"/>
                <w:szCs w:val="15"/>
              </w:rPr>
              <w:t>Observation Unit</w:t>
            </w:r>
          </w:p>
        </w:tc>
        <w:tc>
          <w:tcPr>
            <w:tcW w:w="1757" w:type="dxa"/>
            <w:vAlign w:val="center"/>
            <w:hideMark/>
          </w:tcPr>
          <w:p w14:paraId="032EA534" w14:textId="77777777" w:rsidR="000D6D2C" w:rsidRPr="00166FA6" w:rsidRDefault="000D6D2C" w:rsidP="00E174FD">
            <w:pPr>
              <w:pStyle w:val="p2"/>
              <w:spacing w:line="240" w:lineRule="atLeast"/>
              <w:jc w:val="center"/>
              <w:cnfStyle w:val="100000000000" w:firstRow="1" w:lastRow="0" w:firstColumn="0" w:lastColumn="0" w:oddVBand="0" w:evenVBand="0" w:oddHBand="0" w:evenHBand="0" w:firstRowFirstColumn="0" w:firstRowLastColumn="0" w:lastRowFirstColumn="0" w:lastRowLastColumn="0"/>
              <w:rPr>
                <w:sz w:val="15"/>
                <w:szCs w:val="15"/>
              </w:rPr>
            </w:pPr>
            <w:r w:rsidRPr="00166FA6">
              <w:rPr>
                <w:sz w:val="15"/>
                <w:szCs w:val="15"/>
              </w:rPr>
              <w:t>Source</w:t>
            </w:r>
          </w:p>
        </w:tc>
        <w:tc>
          <w:tcPr>
            <w:tcW w:w="1361" w:type="dxa"/>
            <w:vAlign w:val="center"/>
            <w:hideMark/>
          </w:tcPr>
          <w:p w14:paraId="2F847849" w14:textId="77777777" w:rsidR="000D6D2C" w:rsidRPr="00166FA6" w:rsidRDefault="000D6D2C" w:rsidP="00E174FD">
            <w:pPr>
              <w:pStyle w:val="p2"/>
              <w:spacing w:line="240" w:lineRule="atLeast"/>
              <w:jc w:val="center"/>
              <w:cnfStyle w:val="100000000000" w:firstRow="1" w:lastRow="0" w:firstColumn="0" w:lastColumn="0" w:oddVBand="0" w:evenVBand="0" w:oddHBand="0" w:evenHBand="0" w:firstRowFirstColumn="0" w:firstRowLastColumn="0" w:lastRowFirstColumn="0" w:lastRowLastColumn="0"/>
              <w:rPr>
                <w:sz w:val="15"/>
                <w:szCs w:val="15"/>
              </w:rPr>
            </w:pPr>
            <w:r w:rsidRPr="00166FA6">
              <w:rPr>
                <w:sz w:val="15"/>
                <w:szCs w:val="15"/>
              </w:rPr>
              <w:t>Year / Period</w:t>
            </w:r>
          </w:p>
        </w:tc>
      </w:tr>
      <w:tr w:rsidR="000D6D2C" w:rsidRPr="00166FA6" w14:paraId="00603A02" w14:textId="77777777" w:rsidTr="00E174F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57" w:type="dxa"/>
            <w:vAlign w:val="center"/>
            <w:hideMark/>
          </w:tcPr>
          <w:p w14:paraId="1AE5B3AC" w14:textId="77777777" w:rsidR="000D6D2C" w:rsidRPr="00166FA6" w:rsidRDefault="000D6D2C" w:rsidP="00E174FD">
            <w:pPr>
              <w:pStyle w:val="p2"/>
              <w:spacing w:line="240" w:lineRule="atLeast"/>
              <w:jc w:val="center"/>
              <w:rPr>
                <w:b w:val="0"/>
                <w:bCs w:val="0"/>
                <w:sz w:val="15"/>
                <w:szCs w:val="15"/>
              </w:rPr>
            </w:pPr>
            <w:r w:rsidRPr="00166FA6">
              <w:rPr>
                <w:sz w:val="15"/>
                <w:szCs w:val="15"/>
              </w:rPr>
              <w:t>Census 2021 TS045: Car or van availability</w:t>
            </w:r>
          </w:p>
        </w:tc>
        <w:tc>
          <w:tcPr>
            <w:tcW w:w="2154" w:type="dxa"/>
            <w:vAlign w:val="center"/>
            <w:hideMark/>
          </w:tcPr>
          <w:p w14:paraId="792A98DC"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Number of households with 0, 1, 2, and 3 or more cars or vans</w:t>
            </w:r>
          </w:p>
        </w:tc>
        <w:tc>
          <w:tcPr>
            <w:tcW w:w="1757" w:type="dxa"/>
            <w:vAlign w:val="center"/>
            <w:hideMark/>
          </w:tcPr>
          <w:p w14:paraId="723725C8"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LSOA</w:t>
            </w:r>
          </w:p>
        </w:tc>
        <w:tc>
          <w:tcPr>
            <w:tcW w:w="1757" w:type="dxa"/>
            <w:vAlign w:val="center"/>
            <w:hideMark/>
          </w:tcPr>
          <w:p w14:paraId="48B15F38"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Office for National Statistics</w:t>
            </w:r>
            <w:r>
              <w:rPr>
                <w:sz w:val="15"/>
                <w:szCs w:val="15"/>
              </w:rPr>
              <w:t xml:space="preserve"> </w:t>
            </w:r>
            <w:r w:rsidRPr="00E75857">
              <w:rPr>
                <w:sz w:val="15"/>
                <w:szCs w:val="15"/>
              </w:rPr>
              <w:t>(ONS)</w:t>
            </w:r>
          </w:p>
        </w:tc>
        <w:tc>
          <w:tcPr>
            <w:tcW w:w="1361" w:type="dxa"/>
            <w:vAlign w:val="center"/>
            <w:hideMark/>
          </w:tcPr>
          <w:p w14:paraId="579EC108"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2021</w:t>
            </w:r>
          </w:p>
        </w:tc>
      </w:tr>
      <w:tr w:rsidR="000D6D2C" w:rsidRPr="00166FA6" w14:paraId="00D0D3A4" w14:textId="77777777" w:rsidTr="00E174FD">
        <w:trPr>
          <w:trHeight w:val="567"/>
        </w:trPr>
        <w:tc>
          <w:tcPr>
            <w:cnfStyle w:val="001000000000" w:firstRow="0" w:lastRow="0" w:firstColumn="1" w:lastColumn="0" w:oddVBand="0" w:evenVBand="0" w:oddHBand="0" w:evenHBand="0" w:firstRowFirstColumn="0" w:firstRowLastColumn="0" w:lastRowFirstColumn="0" w:lastRowLastColumn="0"/>
            <w:tcW w:w="1757" w:type="dxa"/>
            <w:vAlign w:val="center"/>
            <w:hideMark/>
          </w:tcPr>
          <w:p w14:paraId="069E1A00" w14:textId="77777777" w:rsidR="000D6D2C" w:rsidRPr="00166FA6" w:rsidRDefault="000D6D2C" w:rsidP="00E174FD">
            <w:pPr>
              <w:pStyle w:val="p2"/>
              <w:spacing w:line="240" w:lineRule="atLeast"/>
              <w:jc w:val="center"/>
              <w:rPr>
                <w:sz w:val="15"/>
                <w:szCs w:val="15"/>
              </w:rPr>
            </w:pPr>
            <w:r w:rsidRPr="00166FA6">
              <w:rPr>
                <w:sz w:val="15"/>
                <w:szCs w:val="15"/>
              </w:rPr>
              <w:t>IoD2025 Income Domain</w:t>
            </w:r>
          </w:p>
        </w:tc>
        <w:tc>
          <w:tcPr>
            <w:tcW w:w="2154" w:type="dxa"/>
            <w:vAlign w:val="center"/>
            <w:hideMark/>
          </w:tcPr>
          <w:p w14:paraId="7A58191C"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r w:rsidRPr="00166FA6">
              <w:rPr>
                <w:sz w:val="15"/>
                <w:szCs w:val="15"/>
              </w:rPr>
              <w:t>Income deprivation score, rank and decile for each LSOA</w:t>
            </w:r>
          </w:p>
        </w:tc>
        <w:tc>
          <w:tcPr>
            <w:tcW w:w="1757" w:type="dxa"/>
            <w:vAlign w:val="center"/>
            <w:hideMark/>
          </w:tcPr>
          <w:p w14:paraId="20C84EB5"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r w:rsidRPr="00166FA6">
              <w:rPr>
                <w:sz w:val="15"/>
                <w:szCs w:val="15"/>
              </w:rPr>
              <w:t>LSOA</w:t>
            </w:r>
          </w:p>
        </w:tc>
        <w:tc>
          <w:tcPr>
            <w:tcW w:w="1757" w:type="dxa"/>
            <w:vAlign w:val="center"/>
            <w:hideMark/>
          </w:tcPr>
          <w:p w14:paraId="3F8028EE"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r w:rsidRPr="00166FA6">
              <w:rPr>
                <w:sz w:val="15"/>
                <w:szCs w:val="15"/>
              </w:rPr>
              <w:t>Ministry of Housing, Communities and Local Government</w:t>
            </w:r>
            <w:r>
              <w:rPr>
                <w:sz w:val="15"/>
                <w:szCs w:val="15"/>
              </w:rPr>
              <w:t xml:space="preserve"> </w:t>
            </w:r>
            <w:r w:rsidRPr="00E75857">
              <w:rPr>
                <w:sz w:val="15"/>
                <w:szCs w:val="15"/>
              </w:rPr>
              <w:t>(MHCLG)</w:t>
            </w:r>
          </w:p>
        </w:tc>
        <w:tc>
          <w:tcPr>
            <w:tcW w:w="1361" w:type="dxa"/>
            <w:vAlign w:val="center"/>
            <w:hideMark/>
          </w:tcPr>
          <w:p w14:paraId="32AF0EA0"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r w:rsidRPr="00166FA6">
              <w:rPr>
                <w:sz w:val="15"/>
                <w:szCs w:val="15"/>
              </w:rPr>
              <w:t>2025</w:t>
            </w:r>
          </w:p>
        </w:tc>
      </w:tr>
      <w:tr w:rsidR="000D6D2C" w:rsidRPr="00166FA6" w14:paraId="1219D25D" w14:textId="77777777" w:rsidTr="00E174F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57" w:type="dxa"/>
            <w:vAlign w:val="center"/>
            <w:hideMark/>
          </w:tcPr>
          <w:p w14:paraId="6653E0F0" w14:textId="77777777" w:rsidR="000D6D2C" w:rsidRPr="00166FA6" w:rsidRDefault="000D6D2C" w:rsidP="00E174FD">
            <w:pPr>
              <w:pStyle w:val="p2"/>
              <w:spacing w:line="240" w:lineRule="atLeast"/>
              <w:jc w:val="center"/>
              <w:rPr>
                <w:sz w:val="15"/>
                <w:szCs w:val="15"/>
              </w:rPr>
            </w:pPr>
            <w:r w:rsidRPr="00166FA6">
              <w:rPr>
                <w:sz w:val="15"/>
                <w:szCs w:val="15"/>
              </w:rPr>
              <w:t>EVSE location registry</w:t>
            </w:r>
          </w:p>
        </w:tc>
        <w:tc>
          <w:tcPr>
            <w:tcW w:w="2154" w:type="dxa"/>
            <w:vAlign w:val="center"/>
            <w:hideMark/>
          </w:tcPr>
          <w:p w14:paraId="3AE95764"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Registry of public charging infrastructure</w:t>
            </w:r>
          </w:p>
        </w:tc>
        <w:tc>
          <w:tcPr>
            <w:tcW w:w="1757" w:type="dxa"/>
            <w:vAlign w:val="center"/>
            <w:hideMark/>
          </w:tcPr>
          <w:p w14:paraId="24CA7477"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Connector, EVSE and charging location</w:t>
            </w:r>
          </w:p>
        </w:tc>
        <w:tc>
          <w:tcPr>
            <w:tcW w:w="1757" w:type="dxa"/>
            <w:vAlign w:val="center"/>
            <w:hideMark/>
          </w:tcPr>
          <w:p w14:paraId="05E2CA9B"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proofErr w:type="spellStart"/>
            <w:r w:rsidRPr="00166FA6">
              <w:rPr>
                <w:rFonts w:hint="eastAsia"/>
                <w:sz w:val="15"/>
                <w:szCs w:val="15"/>
              </w:rPr>
              <w:t>Zapmap</w:t>
            </w:r>
            <w:proofErr w:type="spellEnd"/>
          </w:p>
        </w:tc>
        <w:tc>
          <w:tcPr>
            <w:tcW w:w="1361" w:type="dxa"/>
            <w:vAlign w:val="center"/>
            <w:hideMark/>
          </w:tcPr>
          <w:p w14:paraId="688359D3"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September 2025</w:t>
            </w:r>
          </w:p>
        </w:tc>
      </w:tr>
      <w:tr w:rsidR="000D6D2C" w:rsidRPr="00166FA6" w14:paraId="52094397" w14:textId="77777777" w:rsidTr="00E174FD">
        <w:trPr>
          <w:trHeight w:val="567"/>
        </w:trPr>
        <w:tc>
          <w:tcPr>
            <w:cnfStyle w:val="001000000000" w:firstRow="0" w:lastRow="0" w:firstColumn="1" w:lastColumn="0" w:oddVBand="0" w:evenVBand="0" w:oddHBand="0" w:evenHBand="0" w:firstRowFirstColumn="0" w:firstRowLastColumn="0" w:lastRowFirstColumn="0" w:lastRowLastColumn="0"/>
            <w:tcW w:w="1757" w:type="dxa"/>
            <w:vAlign w:val="center"/>
            <w:hideMark/>
          </w:tcPr>
          <w:p w14:paraId="03A8040B" w14:textId="77777777" w:rsidR="000D6D2C" w:rsidRPr="00166FA6" w:rsidRDefault="000D6D2C" w:rsidP="00E174FD">
            <w:pPr>
              <w:pStyle w:val="p2"/>
              <w:spacing w:line="240" w:lineRule="atLeast"/>
              <w:jc w:val="center"/>
              <w:rPr>
                <w:sz w:val="15"/>
                <w:szCs w:val="15"/>
              </w:rPr>
            </w:pPr>
            <w:r w:rsidRPr="00166FA6">
              <w:rPr>
                <w:sz w:val="15"/>
                <w:szCs w:val="15"/>
              </w:rPr>
              <w:t>Charging activity records</w:t>
            </w:r>
          </w:p>
        </w:tc>
        <w:tc>
          <w:tcPr>
            <w:tcW w:w="2154" w:type="dxa"/>
            <w:vAlign w:val="center"/>
            <w:hideMark/>
          </w:tcPr>
          <w:p w14:paraId="5FAFCDB2"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r w:rsidRPr="00166FA6">
              <w:rPr>
                <w:sz w:val="15"/>
                <w:szCs w:val="15"/>
              </w:rPr>
              <w:t>Charging-session records containing EVSE identifiers, session times and durations</w:t>
            </w:r>
          </w:p>
        </w:tc>
        <w:tc>
          <w:tcPr>
            <w:tcW w:w="1757" w:type="dxa"/>
            <w:vAlign w:val="center"/>
            <w:hideMark/>
          </w:tcPr>
          <w:p w14:paraId="76730C3D"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r w:rsidRPr="00166FA6">
              <w:rPr>
                <w:sz w:val="15"/>
                <w:szCs w:val="15"/>
              </w:rPr>
              <w:t>Individual charging session</w:t>
            </w:r>
          </w:p>
        </w:tc>
        <w:tc>
          <w:tcPr>
            <w:tcW w:w="1757" w:type="dxa"/>
            <w:vAlign w:val="center"/>
            <w:hideMark/>
          </w:tcPr>
          <w:p w14:paraId="36A9738D"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166FA6">
              <w:rPr>
                <w:rFonts w:hint="eastAsia"/>
                <w:sz w:val="15"/>
                <w:szCs w:val="15"/>
              </w:rPr>
              <w:t>Zapmap</w:t>
            </w:r>
            <w:proofErr w:type="spellEnd"/>
          </w:p>
        </w:tc>
        <w:tc>
          <w:tcPr>
            <w:tcW w:w="1361" w:type="dxa"/>
            <w:vAlign w:val="center"/>
            <w:hideMark/>
          </w:tcPr>
          <w:p w14:paraId="1DC2B793" w14:textId="77777777" w:rsidR="000D6D2C" w:rsidRPr="00166FA6" w:rsidRDefault="000D6D2C" w:rsidP="00E174FD">
            <w:pPr>
              <w:pStyle w:val="p2"/>
              <w:spacing w:line="240" w:lineRule="atLeast"/>
              <w:jc w:val="center"/>
              <w:cnfStyle w:val="000000000000" w:firstRow="0" w:lastRow="0" w:firstColumn="0" w:lastColumn="0" w:oddVBand="0" w:evenVBand="0" w:oddHBand="0" w:evenHBand="0" w:firstRowFirstColumn="0" w:firstRowLastColumn="0" w:lastRowFirstColumn="0" w:lastRowLastColumn="0"/>
              <w:rPr>
                <w:sz w:val="15"/>
                <w:szCs w:val="15"/>
              </w:rPr>
            </w:pPr>
            <w:r w:rsidRPr="00166FA6">
              <w:rPr>
                <w:sz w:val="15"/>
                <w:szCs w:val="15"/>
              </w:rPr>
              <w:t>September 2025</w:t>
            </w:r>
          </w:p>
        </w:tc>
      </w:tr>
      <w:tr w:rsidR="000D6D2C" w:rsidRPr="00166FA6" w14:paraId="5E83C13E" w14:textId="77777777" w:rsidTr="00E174F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57" w:type="dxa"/>
            <w:vAlign w:val="center"/>
            <w:hideMark/>
          </w:tcPr>
          <w:p w14:paraId="4872D2BE" w14:textId="77777777" w:rsidR="000D6D2C" w:rsidRPr="00166FA6" w:rsidRDefault="000D6D2C" w:rsidP="00E174FD">
            <w:pPr>
              <w:pStyle w:val="p2"/>
              <w:spacing w:line="240" w:lineRule="atLeast"/>
              <w:jc w:val="center"/>
              <w:rPr>
                <w:sz w:val="15"/>
                <w:szCs w:val="15"/>
              </w:rPr>
            </w:pPr>
            <w:r w:rsidRPr="00166FA6">
              <w:rPr>
                <w:sz w:val="15"/>
                <w:szCs w:val="15"/>
              </w:rPr>
              <w:t>ONS 2021 LSOA boundaries</w:t>
            </w:r>
          </w:p>
        </w:tc>
        <w:tc>
          <w:tcPr>
            <w:tcW w:w="2154" w:type="dxa"/>
            <w:vAlign w:val="center"/>
            <w:hideMark/>
          </w:tcPr>
          <w:p w14:paraId="780BA986"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Polygon boundaries and geographical identifiers</w:t>
            </w:r>
          </w:p>
        </w:tc>
        <w:tc>
          <w:tcPr>
            <w:tcW w:w="1757" w:type="dxa"/>
            <w:vAlign w:val="center"/>
            <w:hideMark/>
          </w:tcPr>
          <w:p w14:paraId="72736619"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LSOA</w:t>
            </w:r>
          </w:p>
        </w:tc>
        <w:tc>
          <w:tcPr>
            <w:tcW w:w="1757" w:type="dxa"/>
            <w:vAlign w:val="center"/>
            <w:hideMark/>
          </w:tcPr>
          <w:p w14:paraId="5020C6FD"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ONS Geography</w:t>
            </w:r>
          </w:p>
        </w:tc>
        <w:tc>
          <w:tcPr>
            <w:tcW w:w="1361" w:type="dxa"/>
            <w:vAlign w:val="center"/>
            <w:hideMark/>
          </w:tcPr>
          <w:p w14:paraId="147EC622" w14:textId="77777777" w:rsidR="000D6D2C" w:rsidRPr="00166FA6" w:rsidRDefault="000D6D2C" w:rsidP="00E174FD">
            <w:pPr>
              <w:pStyle w:val="p2"/>
              <w:spacing w:line="240" w:lineRule="atLeast"/>
              <w:jc w:val="center"/>
              <w:cnfStyle w:val="000000100000" w:firstRow="0" w:lastRow="0" w:firstColumn="0" w:lastColumn="0" w:oddVBand="0" w:evenVBand="0" w:oddHBand="1" w:evenHBand="0" w:firstRowFirstColumn="0" w:firstRowLastColumn="0" w:lastRowFirstColumn="0" w:lastRowLastColumn="0"/>
              <w:rPr>
                <w:sz w:val="15"/>
                <w:szCs w:val="15"/>
              </w:rPr>
            </w:pPr>
            <w:r w:rsidRPr="00166FA6">
              <w:rPr>
                <w:sz w:val="15"/>
                <w:szCs w:val="15"/>
              </w:rPr>
              <w:t>2021</w:t>
            </w:r>
          </w:p>
        </w:tc>
      </w:tr>
    </w:tbl>
    <w:p w14:paraId="5723DB21" w14:textId="77777777" w:rsidR="00266B1D" w:rsidRDefault="00266B1D" w:rsidP="00266B1D">
      <w:pPr>
        <w:pStyle w:val="p2"/>
      </w:pPr>
    </w:p>
    <w:p w14:paraId="5FFAA268" w14:textId="677A3A84" w:rsidR="00266B1D" w:rsidRPr="00F977D7" w:rsidRDefault="00266B1D" w:rsidP="00F977D7">
      <w:pPr>
        <w:pStyle w:val="p2"/>
        <w:jc w:val="both"/>
        <w:rPr>
          <w:sz w:val="24"/>
          <w:szCs w:val="24"/>
        </w:rPr>
      </w:pPr>
      <w:r w:rsidRPr="00F977D7">
        <w:rPr>
          <w:sz w:val="24"/>
          <w:szCs w:val="24"/>
        </w:rPr>
        <w:t>Census 2021 TS045 data were used to construct the household vehicle-stock base for potential public-charging demand. The IoD2025 Income Domain provides a continuous income-deprivation score for each LSOA. This score was used to construct the equity component of the demand weight.</w:t>
      </w:r>
    </w:p>
    <w:p w14:paraId="5E75BEDB" w14:textId="77777777" w:rsidR="00266B1D" w:rsidRPr="00F977D7" w:rsidRDefault="00266B1D" w:rsidP="00F977D7">
      <w:pPr>
        <w:pStyle w:val="p2"/>
        <w:jc w:val="both"/>
        <w:rPr>
          <w:sz w:val="24"/>
          <w:szCs w:val="24"/>
        </w:rPr>
      </w:pPr>
    </w:p>
    <w:p w14:paraId="2D355409" w14:textId="590A7875" w:rsidR="00266B1D" w:rsidRPr="00F977D7" w:rsidRDefault="00266B1D" w:rsidP="00F977D7">
      <w:pPr>
        <w:pStyle w:val="p2"/>
        <w:jc w:val="both"/>
        <w:rPr>
          <w:sz w:val="24"/>
          <w:szCs w:val="24"/>
        </w:rPr>
      </w:pPr>
      <w:r w:rsidRPr="00F977D7">
        <w:rPr>
          <w:sz w:val="24"/>
          <w:szCs w:val="24"/>
        </w:rPr>
        <w:t xml:space="preserve">Data on existing charging infrastructure were obtained from the EVSE location registry. The registry contains information at several levels, including charging locations, EVSEs and connectors. Charging location was selected as the main planning unit for </w:t>
      </w:r>
      <w:r w:rsidRPr="00F977D7">
        <w:rPr>
          <w:sz w:val="24"/>
          <w:szCs w:val="24"/>
        </w:rPr>
        <w:lastRenderedPageBreak/>
        <w:t xml:space="preserve">measuring existing provision. </w:t>
      </w:r>
      <w:r w:rsidRPr="00F977D7">
        <w:rPr>
          <w:rFonts w:hint="eastAsia"/>
          <w:sz w:val="24"/>
          <w:szCs w:val="24"/>
        </w:rPr>
        <w:t>Each of</w:t>
      </w:r>
      <w:r w:rsidRPr="00F977D7">
        <w:rPr>
          <w:sz w:val="24"/>
          <w:szCs w:val="24"/>
        </w:rPr>
        <w:t xml:space="preserve"> September 2025 charging activity records represents an individual charging session and includes an EVSE identifier and information on charging time. Together, the two datasets were used to construct measures of existing provision and observed </w:t>
      </w:r>
      <w:proofErr w:type="spellStart"/>
      <w:r w:rsidRPr="00F977D7">
        <w:rPr>
          <w:sz w:val="24"/>
          <w:szCs w:val="24"/>
        </w:rPr>
        <w:t>utilisation</w:t>
      </w:r>
      <w:proofErr w:type="spellEnd"/>
      <w:r w:rsidRPr="00F977D7">
        <w:rPr>
          <w:sz w:val="24"/>
          <w:szCs w:val="24"/>
        </w:rPr>
        <w:t>.</w:t>
      </w:r>
    </w:p>
    <w:p w14:paraId="2C30B33B" w14:textId="780C5690" w:rsidR="00CA549B" w:rsidRPr="00F977D7" w:rsidRDefault="00CA549B" w:rsidP="00F977D7">
      <w:pPr>
        <w:pStyle w:val="p2"/>
        <w:jc w:val="both"/>
        <w:rPr>
          <w:sz w:val="24"/>
          <w:szCs w:val="24"/>
        </w:rPr>
      </w:pPr>
    </w:p>
    <w:p w14:paraId="156C4DDF" w14:textId="16B525FB" w:rsidR="00CA549B" w:rsidRPr="00F977D7" w:rsidRDefault="00CA549B" w:rsidP="00F977D7">
      <w:pPr>
        <w:pStyle w:val="p2"/>
        <w:jc w:val="both"/>
        <w:rPr>
          <w:sz w:val="24"/>
          <w:szCs w:val="24"/>
        </w:rPr>
      </w:pPr>
      <w:r w:rsidRPr="00F977D7">
        <w:rPr>
          <w:sz w:val="24"/>
          <w:szCs w:val="24"/>
        </w:rPr>
        <w:t xml:space="preserve">In addition to the core datasets, this study also </w:t>
      </w:r>
      <w:proofErr w:type="gramStart"/>
      <w:r w:rsidRPr="00F977D7">
        <w:rPr>
          <w:sz w:val="24"/>
          <w:szCs w:val="24"/>
        </w:rPr>
        <w:t>use</w:t>
      </w:r>
      <w:proofErr w:type="gramEnd"/>
      <w:r w:rsidRPr="00F977D7">
        <w:rPr>
          <w:sz w:val="24"/>
          <w:szCs w:val="24"/>
        </w:rPr>
        <w:t xml:space="preserve"> the s</w:t>
      </w:r>
      <w:r w:rsidRPr="00F977D7">
        <w:rPr>
          <w:rFonts w:hint="eastAsia"/>
          <w:sz w:val="24"/>
          <w:szCs w:val="24"/>
        </w:rPr>
        <w:t>u</w:t>
      </w:r>
      <w:r w:rsidRPr="00F977D7">
        <w:rPr>
          <w:sz w:val="24"/>
          <w:szCs w:val="24"/>
        </w:rPr>
        <w:t>mmary statistics from the Department for Transport (</w:t>
      </w:r>
      <w:proofErr w:type="spellStart"/>
      <w:r w:rsidRPr="00F977D7">
        <w:rPr>
          <w:sz w:val="24"/>
          <w:szCs w:val="24"/>
        </w:rPr>
        <w:t>DfT</w:t>
      </w:r>
      <w:proofErr w:type="spellEnd"/>
      <w:r w:rsidRPr="00F977D7">
        <w:rPr>
          <w:sz w:val="24"/>
          <w:szCs w:val="24"/>
        </w:rPr>
        <w:t xml:space="preserve">) EV Driver Tracker Year 1 as parameter source to set the charging frequency and the percentage of public charging. </w:t>
      </w:r>
    </w:p>
    <w:p w14:paraId="0CB1C6C1" w14:textId="77777777" w:rsidR="00D63821" w:rsidRDefault="00D63821">
      <w:pPr>
        <w:rPr>
          <w:rFonts w:ascii="Times New Roman" w:hAnsi="Times New Roman" w:cs="Times New Roman"/>
        </w:rPr>
      </w:pPr>
    </w:p>
    <w:p w14:paraId="7E4A569E" w14:textId="20C3321F" w:rsidR="001C59AD" w:rsidRDefault="001C59AD">
      <w:pPr>
        <w:rPr>
          <w:rFonts w:ascii="Times New Roman" w:hAnsi="Times New Roman" w:cs="Times New Roman"/>
        </w:rPr>
      </w:pPr>
      <w:r w:rsidRPr="00A15A9F">
        <w:rPr>
          <w:rFonts w:ascii="Times New Roman" w:hAnsi="Times New Roman" w:cs="Times New Roman"/>
        </w:rPr>
        <w:t>3.2.2 Exploratory Data Analysis</w:t>
      </w:r>
    </w:p>
    <w:p w14:paraId="7AA3ABEA" w14:textId="4BD4B7A9" w:rsidR="001C59AD" w:rsidRDefault="001C59AD" w:rsidP="001C59AD">
      <w:pPr>
        <w:jc w:val="both"/>
        <w:rPr>
          <w:rFonts w:ascii="Times New Roman" w:hAnsi="Times New Roman" w:cs="Times New Roman"/>
        </w:rPr>
      </w:pPr>
      <w:r w:rsidRPr="001C59AD">
        <w:rPr>
          <w:rFonts w:ascii="Times New Roman" w:hAnsi="Times New Roman" w:cs="Times New Roman"/>
        </w:rPr>
        <w:t xml:space="preserve">Before modelling, exploratory spatial analysis was conducted on four variables: the household vehicle-stock proxy, income deprivation, existing on-street charging provision and observed </w:t>
      </w:r>
      <w:proofErr w:type="spellStart"/>
      <w:r w:rsidRPr="001C59AD">
        <w:rPr>
          <w:rFonts w:ascii="Times New Roman" w:hAnsi="Times New Roman" w:cs="Times New Roman"/>
        </w:rPr>
        <w:t>utilisation</w:t>
      </w:r>
      <w:proofErr w:type="spellEnd"/>
      <w:r w:rsidRPr="001C59AD">
        <w:rPr>
          <w:rFonts w:ascii="Times New Roman" w:hAnsi="Times New Roman" w:cs="Times New Roman"/>
        </w:rPr>
        <w:t>. This analysis was used to assess data completeness and identify broad spatial patterns. Figure X shows the spatial distribution of these variables.</w:t>
      </w:r>
    </w:p>
    <w:p w14:paraId="1CE945BB" w14:textId="77777777" w:rsidR="001C59AD" w:rsidRDefault="001C59AD">
      <w:pPr>
        <w:rPr>
          <w:rFonts w:ascii="Times New Roman" w:hAnsi="Times New Roman" w:cs="Times New Roman"/>
        </w:rPr>
      </w:pPr>
    </w:p>
    <w:p w14:paraId="705E1A26" w14:textId="3215E395" w:rsidR="007F1BA1" w:rsidRDefault="00156D9E">
      <w:pPr>
        <w:rPr>
          <w:rFonts w:ascii="Times New Roman" w:hAnsi="Times New Roman" w:cs="Times New Roman"/>
        </w:rPr>
      </w:pPr>
      <w:r w:rsidRPr="00156D9E">
        <w:rPr>
          <w:noProof/>
        </w:rPr>
        <w:drawing>
          <wp:inline distT="0" distB="0" distL="0" distR="0" wp14:anchorId="4D244A93" wp14:editId="6EC6EB3E">
            <wp:extent cx="2536780" cy="2039816"/>
            <wp:effectExtent l="0" t="0" r="3810" b="5080"/>
            <wp:docPr id="140486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6888" name=""/>
                    <pic:cNvPicPr/>
                  </pic:nvPicPr>
                  <pic:blipFill>
                    <a:blip r:embed="rId5"/>
                    <a:stretch>
                      <a:fillRect/>
                    </a:stretch>
                  </pic:blipFill>
                  <pic:spPr>
                    <a:xfrm>
                      <a:off x="0" y="0"/>
                      <a:ext cx="2536780" cy="2039816"/>
                    </a:xfrm>
                    <a:prstGeom prst="rect">
                      <a:avLst/>
                    </a:prstGeom>
                  </pic:spPr>
                </pic:pic>
              </a:graphicData>
            </a:graphic>
          </wp:inline>
        </w:drawing>
      </w:r>
      <w:r w:rsidRPr="00156D9E">
        <w:rPr>
          <w:noProof/>
        </w:rPr>
        <w:drawing>
          <wp:inline distT="0" distB="0" distL="0" distR="0" wp14:anchorId="7155855B" wp14:editId="1BA195FE">
            <wp:extent cx="2561773" cy="2059912"/>
            <wp:effectExtent l="0" t="0" r="3810" b="0"/>
            <wp:docPr id="650863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3211" name=""/>
                    <pic:cNvPicPr/>
                  </pic:nvPicPr>
                  <pic:blipFill>
                    <a:blip r:embed="rId6"/>
                    <a:stretch>
                      <a:fillRect/>
                    </a:stretch>
                  </pic:blipFill>
                  <pic:spPr>
                    <a:xfrm>
                      <a:off x="0" y="0"/>
                      <a:ext cx="2582894" cy="2076895"/>
                    </a:xfrm>
                    <a:prstGeom prst="rect">
                      <a:avLst/>
                    </a:prstGeom>
                  </pic:spPr>
                </pic:pic>
              </a:graphicData>
            </a:graphic>
          </wp:inline>
        </w:drawing>
      </w:r>
      <w:r w:rsidRPr="00156D9E">
        <w:rPr>
          <w:noProof/>
        </w:rPr>
        <w:drawing>
          <wp:inline distT="0" distB="0" distL="0" distR="0" wp14:anchorId="2C7AA327" wp14:editId="144C50BB">
            <wp:extent cx="2536779" cy="2039815"/>
            <wp:effectExtent l="0" t="0" r="3810" b="5080"/>
            <wp:docPr id="2063634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4257" name=""/>
                    <pic:cNvPicPr/>
                  </pic:nvPicPr>
                  <pic:blipFill>
                    <a:blip r:embed="rId7"/>
                    <a:stretch>
                      <a:fillRect/>
                    </a:stretch>
                  </pic:blipFill>
                  <pic:spPr>
                    <a:xfrm>
                      <a:off x="0" y="0"/>
                      <a:ext cx="2561503" cy="2059695"/>
                    </a:xfrm>
                    <a:prstGeom prst="rect">
                      <a:avLst/>
                    </a:prstGeom>
                  </pic:spPr>
                </pic:pic>
              </a:graphicData>
            </a:graphic>
          </wp:inline>
        </w:drawing>
      </w:r>
      <w:r w:rsidRPr="00156D9E">
        <w:rPr>
          <w:noProof/>
        </w:rPr>
        <w:t xml:space="preserve">  </w:t>
      </w:r>
      <w:r w:rsidRPr="00156D9E">
        <w:rPr>
          <w:noProof/>
        </w:rPr>
        <w:drawing>
          <wp:inline distT="0" distB="0" distL="0" distR="0" wp14:anchorId="661282A0" wp14:editId="17256F76">
            <wp:extent cx="2401556" cy="1931083"/>
            <wp:effectExtent l="0" t="0" r="0" b="0"/>
            <wp:docPr id="2134980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80831" name=""/>
                    <pic:cNvPicPr/>
                  </pic:nvPicPr>
                  <pic:blipFill>
                    <a:blip r:embed="rId8"/>
                    <a:stretch>
                      <a:fillRect/>
                    </a:stretch>
                  </pic:blipFill>
                  <pic:spPr>
                    <a:xfrm>
                      <a:off x="0" y="0"/>
                      <a:ext cx="2423544" cy="1948763"/>
                    </a:xfrm>
                    <a:prstGeom prst="rect">
                      <a:avLst/>
                    </a:prstGeom>
                  </pic:spPr>
                </pic:pic>
              </a:graphicData>
            </a:graphic>
          </wp:inline>
        </w:drawing>
      </w:r>
    </w:p>
    <w:p w14:paraId="06A3B748" w14:textId="3A75B13F" w:rsidR="00E235C9" w:rsidRPr="003110D1" w:rsidRDefault="00E235C9" w:rsidP="003110D1">
      <w:pPr>
        <w:jc w:val="both"/>
        <w:rPr>
          <w:rFonts w:ascii="Times New Roman" w:hAnsi="Times New Roman" w:cs="Times New Roman"/>
        </w:rPr>
      </w:pPr>
      <w:r w:rsidRPr="003110D1">
        <w:rPr>
          <w:rFonts w:ascii="Times New Roman" w:hAnsi="Times New Roman" w:cs="Times New Roman"/>
        </w:rPr>
        <w:lastRenderedPageBreak/>
        <w:t xml:space="preserve">Figure X shows that household vehicle stock is generally higher in outer London and lower in central London. Income deprivation follows a different spatial pattern, with higher levels mainly found in east and north-east London and in some parts of inner London. Existing on-street charging provision, by contrast, is more concentrated in inner London, while many outer-London LSOAs have no registered provision. Observed </w:t>
      </w:r>
      <w:proofErr w:type="spellStart"/>
      <w:r w:rsidRPr="003110D1">
        <w:rPr>
          <w:rFonts w:ascii="Times New Roman" w:hAnsi="Times New Roman" w:cs="Times New Roman"/>
        </w:rPr>
        <w:t>utilisation</w:t>
      </w:r>
      <w:proofErr w:type="spellEnd"/>
      <w:r w:rsidRPr="003110D1">
        <w:rPr>
          <w:rFonts w:ascii="Times New Roman" w:hAnsi="Times New Roman" w:cs="Times New Roman"/>
        </w:rPr>
        <w:t xml:space="preserve"> also varies considerably across existing charging locations. This suggests that the amount of infrastructure and the intensity of utili</w:t>
      </w:r>
      <w:r w:rsidRPr="003110D1">
        <w:rPr>
          <w:rFonts w:ascii="Times New Roman" w:hAnsi="Times New Roman" w:cs="Times New Roman" w:hint="eastAsia"/>
        </w:rPr>
        <w:t>s</w:t>
      </w:r>
      <w:r w:rsidRPr="003110D1">
        <w:rPr>
          <w:rFonts w:ascii="Times New Roman" w:hAnsi="Times New Roman" w:cs="Times New Roman"/>
        </w:rPr>
        <w:t>ation</w:t>
      </w:r>
      <w:r w:rsidRPr="003110D1">
        <w:rPr>
          <w:rFonts w:ascii="Times New Roman" w:hAnsi="Times New Roman" w:cs="Times New Roman" w:hint="eastAsia"/>
        </w:rPr>
        <w:t xml:space="preserve"> </w:t>
      </w:r>
      <w:r w:rsidRPr="003110D1">
        <w:rPr>
          <w:rFonts w:ascii="Times New Roman" w:hAnsi="Times New Roman" w:cs="Times New Roman"/>
        </w:rPr>
        <w:t>do not follow the same spatial pattern.</w:t>
      </w:r>
    </w:p>
    <w:p w14:paraId="2C0FC6D5" w14:textId="77777777" w:rsidR="00FB4A28" w:rsidRPr="003110D1" w:rsidRDefault="00FB4A28" w:rsidP="003110D1">
      <w:pPr>
        <w:jc w:val="both"/>
        <w:rPr>
          <w:rFonts w:ascii="Times New Roman" w:hAnsi="Times New Roman" w:cs="Times New Roman"/>
        </w:rPr>
      </w:pPr>
    </w:p>
    <w:p w14:paraId="5BC5F594" w14:textId="77777777" w:rsidR="00FB4A28" w:rsidRPr="003110D1" w:rsidRDefault="00FB4A28" w:rsidP="003110D1">
      <w:pPr>
        <w:pStyle w:val="p2"/>
        <w:jc w:val="both"/>
        <w:rPr>
          <w:color w:val="auto"/>
          <w:sz w:val="24"/>
          <w:szCs w:val="24"/>
        </w:rPr>
      </w:pPr>
      <w:r w:rsidRPr="003110D1">
        <w:rPr>
          <w:color w:val="auto"/>
          <w:sz w:val="24"/>
          <w:szCs w:val="24"/>
        </w:rPr>
        <w:t>3.</w:t>
      </w:r>
      <w:r w:rsidRPr="003110D1">
        <w:rPr>
          <w:rFonts w:hint="eastAsia"/>
          <w:color w:val="auto"/>
          <w:sz w:val="24"/>
          <w:szCs w:val="24"/>
        </w:rPr>
        <w:t>3</w:t>
      </w:r>
      <w:r w:rsidRPr="003110D1">
        <w:rPr>
          <w:color w:val="auto"/>
          <w:sz w:val="24"/>
          <w:szCs w:val="24"/>
        </w:rPr>
        <w:t>. Methodology Workflow</w:t>
      </w:r>
    </w:p>
    <w:p w14:paraId="53CBE8DC" w14:textId="210E3635" w:rsidR="00D92031" w:rsidRPr="003110D1" w:rsidRDefault="003D16C5" w:rsidP="003110D1">
      <w:pPr>
        <w:pStyle w:val="p2"/>
        <w:jc w:val="both"/>
        <w:rPr>
          <w:color w:val="auto"/>
          <w:sz w:val="24"/>
          <w:szCs w:val="24"/>
        </w:rPr>
      </w:pPr>
      <w:r w:rsidRPr="003110D1">
        <w:rPr>
          <w:rFonts w:hint="eastAsia"/>
          <w:color w:val="auto"/>
          <w:sz w:val="24"/>
          <w:szCs w:val="24"/>
        </w:rPr>
        <w:t>T</w:t>
      </w:r>
      <w:r w:rsidRPr="003110D1">
        <w:rPr>
          <w:color w:val="auto"/>
          <w:sz w:val="24"/>
          <w:szCs w:val="24"/>
        </w:rPr>
        <w:t>he study proceeded through four linked phases.</w:t>
      </w:r>
      <w:r w:rsidRPr="003110D1">
        <w:rPr>
          <w:rFonts w:hint="eastAsia"/>
          <w:color w:val="auto"/>
          <w:sz w:val="24"/>
          <w:szCs w:val="24"/>
        </w:rPr>
        <w:t xml:space="preserve"> </w:t>
      </w:r>
      <w:r w:rsidR="00D92031" w:rsidRPr="003110D1">
        <w:rPr>
          <w:color w:val="auto"/>
          <w:sz w:val="24"/>
          <w:szCs w:val="24"/>
        </w:rPr>
        <w:t xml:space="preserve">Each phase produced inputs used in the subsequent modelling or evaluation. Phase 1 measured existing provision and observed </w:t>
      </w:r>
      <w:proofErr w:type="spellStart"/>
      <w:r w:rsidR="00D92031" w:rsidRPr="003110D1">
        <w:rPr>
          <w:color w:val="auto"/>
          <w:sz w:val="24"/>
          <w:szCs w:val="24"/>
        </w:rPr>
        <w:t>utilisation</w:t>
      </w:r>
      <w:proofErr w:type="spellEnd"/>
      <w:r w:rsidR="00D92031" w:rsidRPr="003110D1">
        <w:rPr>
          <w:color w:val="auto"/>
          <w:sz w:val="24"/>
          <w:szCs w:val="24"/>
        </w:rPr>
        <w:t xml:space="preserve">. Phase 2 combined vehicle stock, charging </w:t>
      </w:r>
      <w:proofErr w:type="spellStart"/>
      <w:r w:rsidR="00D92031" w:rsidRPr="003110D1">
        <w:rPr>
          <w:color w:val="auto"/>
          <w:sz w:val="24"/>
          <w:szCs w:val="24"/>
        </w:rPr>
        <w:t>behaviour</w:t>
      </w:r>
      <w:proofErr w:type="spellEnd"/>
      <w:r w:rsidR="00D92031" w:rsidRPr="003110D1">
        <w:rPr>
          <w:color w:val="auto"/>
          <w:sz w:val="24"/>
          <w:szCs w:val="24"/>
        </w:rPr>
        <w:t xml:space="preserve">, </w:t>
      </w:r>
      <w:proofErr w:type="spellStart"/>
      <w:r w:rsidR="00D92031" w:rsidRPr="003110D1">
        <w:rPr>
          <w:color w:val="auto"/>
          <w:sz w:val="24"/>
          <w:szCs w:val="24"/>
        </w:rPr>
        <w:t>utilisation</w:t>
      </w:r>
      <w:proofErr w:type="spellEnd"/>
      <w:r w:rsidR="00D92031" w:rsidRPr="003110D1">
        <w:rPr>
          <w:color w:val="auto"/>
          <w:sz w:val="24"/>
          <w:szCs w:val="24"/>
        </w:rPr>
        <w:t xml:space="preserve"> pressure and income deprivation to construct LSOA-level demand weights. Phase 3 used these weights in a </w:t>
      </w:r>
      <w:r w:rsidR="00D92031" w:rsidRPr="003110D1">
        <w:rPr>
          <w:rFonts w:hint="eastAsia"/>
          <w:color w:val="auto"/>
          <w:sz w:val="24"/>
          <w:szCs w:val="24"/>
        </w:rPr>
        <w:t xml:space="preserve">P median </w:t>
      </w:r>
      <w:r w:rsidR="00D92031" w:rsidRPr="003110D1">
        <w:rPr>
          <w:color w:val="auto"/>
          <w:sz w:val="24"/>
          <w:szCs w:val="24"/>
        </w:rPr>
        <w:t xml:space="preserve">location–allocation model. Phase 4 compared spatial efficiency and distributional equity across different deprivation-weighting and investment scenarios. </w:t>
      </w:r>
    </w:p>
    <w:p w14:paraId="3738A85D" w14:textId="365C5D7D" w:rsidR="00D92031" w:rsidRPr="003110D1" w:rsidRDefault="008217C2" w:rsidP="003110D1">
      <w:pPr>
        <w:pStyle w:val="p2"/>
        <w:jc w:val="both"/>
        <w:rPr>
          <w:color w:val="auto"/>
          <w:sz w:val="24"/>
          <w:szCs w:val="24"/>
        </w:rPr>
      </w:pPr>
      <w:r w:rsidRPr="003110D1">
        <w:rPr>
          <w:rFonts w:hint="eastAsia"/>
          <w:color w:val="auto"/>
          <w:sz w:val="24"/>
          <w:szCs w:val="24"/>
        </w:rPr>
        <w:t>【</w:t>
      </w:r>
      <w:r w:rsidRPr="003110D1">
        <w:rPr>
          <w:rFonts w:hint="eastAsia"/>
          <w:color w:val="auto"/>
          <w:sz w:val="24"/>
          <w:szCs w:val="24"/>
        </w:rPr>
        <w:t>workflow</w:t>
      </w:r>
      <w:r w:rsidRPr="003110D1">
        <w:rPr>
          <w:rFonts w:hint="eastAsia"/>
          <w:color w:val="auto"/>
          <w:sz w:val="24"/>
          <w:szCs w:val="24"/>
        </w:rPr>
        <w:t>】</w:t>
      </w:r>
    </w:p>
    <w:p w14:paraId="4C669F66" w14:textId="77777777" w:rsidR="008217C2" w:rsidRDefault="008217C2" w:rsidP="00B0051C">
      <w:pPr>
        <w:rPr>
          <w:rFonts w:ascii="Times New Roman" w:hAnsi="Times New Roman" w:cs="Times New Roman"/>
          <w:color w:val="000000"/>
          <w:sz w:val="17"/>
          <w:szCs w:val="17"/>
        </w:rPr>
      </w:pPr>
    </w:p>
    <w:p w14:paraId="37B5E258" w14:textId="57B92C59" w:rsidR="00ED0198" w:rsidRDefault="00ED0198" w:rsidP="00580E3D">
      <w:pPr>
        <w:jc w:val="both"/>
        <w:rPr>
          <w:rFonts w:ascii="Times New Roman" w:hAnsi="Times New Roman" w:cs="Times New Roman"/>
        </w:rPr>
      </w:pPr>
      <w:r w:rsidRPr="004B494D">
        <w:rPr>
          <w:rFonts w:ascii="Times New Roman" w:hAnsi="Times New Roman" w:cs="Times New Roman"/>
        </w:rPr>
        <w:t xml:space="preserve">3.3.1 Phase 1 Existing Provision and </w:t>
      </w:r>
      <w:proofErr w:type="spellStart"/>
      <w:r w:rsidRPr="004B494D">
        <w:rPr>
          <w:rFonts w:ascii="Times New Roman" w:hAnsi="Times New Roman" w:cs="Times New Roman"/>
        </w:rPr>
        <w:t>Utilisation</w:t>
      </w:r>
      <w:proofErr w:type="spellEnd"/>
    </w:p>
    <w:p w14:paraId="43533068" w14:textId="5E880F1D" w:rsidR="00ED0198" w:rsidRDefault="00817AFE" w:rsidP="00580E3D">
      <w:pPr>
        <w:jc w:val="both"/>
        <w:rPr>
          <w:rFonts w:ascii="Times New Roman" w:hAnsi="Times New Roman" w:cs="Times New Roman"/>
        </w:rPr>
      </w:pPr>
      <w:r w:rsidRPr="00817AFE">
        <w:rPr>
          <w:rFonts w:ascii="Times New Roman" w:hAnsi="Times New Roman" w:cs="Times New Roman"/>
        </w:rPr>
        <w:t xml:space="preserve">To measure the amount and actual use of existing on-street charging provision in Greater London, this phase constructed two </w:t>
      </w:r>
      <w:r>
        <w:rPr>
          <w:rFonts w:ascii="Times New Roman" w:hAnsi="Times New Roman" w:cs="Times New Roman" w:hint="eastAsia"/>
        </w:rPr>
        <w:t>indicators</w:t>
      </w:r>
      <w:r w:rsidRPr="00817AFE">
        <w:rPr>
          <w:rFonts w:ascii="Times New Roman" w:hAnsi="Times New Roman" w:cs="Times New Roman"/>
        </w:rPr>
        <w:t xml:space="preserve">: existing provision and </w:t>
      </w:r>
      <w:proofErr w:type="spellStart"/>
      <w:r w:rsidRPr="00817AFE">
        <w:rPr>
          <w:rFonts w:ascii="Times New Roman" w:hAnsi="Times New Roman" w:cs="Times New Roman"/>
        </w:rPr>
        <w:t>realised</w:t>
      </w:r>
      <w:proofErr w:type="spellEnd"/>
      <w:r w:rsidRPr="00817AFE">
        <w:rPr>
          <w:rFonts w:ascii="Times New Roman" w:hAnsi="Times New Roman" w:cs="Times New Roman"/>
        </w:rPr>
        <w:t xml:space="preserve"> </w:t>
      </w:r>
      <w:proofErr w:type="spellStart"/>
      <w:r w:rsidRPr="00817AFE">
        <w:rPr>
          <w:rFonts w:ascii="Times New Roman" w:hAnsi="Times New Roman" w:cs="Times New Roman"/>
        </w:rPr>
        <w:t>utilisation</w:t>
      </w:r>
      <w:proofErr w:type="spellEnd"/>
      <w:r w:rsidRPr="00817AFE">
        <w:rPr>
          <w:rFonts w:ascii="Times New Roman" w:hAnsi="Times New Roman" w:cs="Times New Roman"/>
        </w:rPr>
        <w:t xml:space="preserve">. </w:t>
      </w:r>
      <w:r>
        <w:rPr>
          <w:rFonts w:ascii="Times New Roman" w:hAnsi="Times New Roman" w:cs="Times New Roman" w:hint="eastAsia"/>
        </w:rPr>
        <w:t>They</w:t>
      </w:r>
      <w:r w:rsidRPr="00817AFE">
        <w:rPr>
          <w:rFonts w:ascii="Times New Roman" w:hAnsi="Times New Roman" w:cs="Times New Roman" w:hint="eastAsia"/>
        </w:rPr>
        <w:t xml:space="preserve"> </w:t>
      </w:r>
      <w:r w:rsidRPr="00817AFE">
        <w:rPr>
          <w:rFonts w:ascii="Times New Roman" w:hAnsi="Times New Roman" w:cs="Times New Roman"/>
        </w:rPr>
        <w:t>describe the spatial distribution of current infrastructure</w:t>
      </w:r>
      <w:r>
        <w:rPr>
          <w:rFonts w:ascii="Times New Roman" w:hAnsi="Times New Roman" w:cs="Times New Roman" w:hint="eastAsia"/>
        </w:rPr>
        <w:t xml:space="preserve"> and</w:t>
      </w:r>
      <w:r w:rsidRPr="00817AFE">
        <w:rPr>
          <w:rFonts w:ascii="Times New Roman" w:hAnsi="Times New Roman" w:cs="Times New Roman"/>
        </w:rPr>
        <w:t xml:space="preserve"> reflect the actual occupancy of existing facilities during the September 2025 observation period</w:t>
      </w:r>
      <w:r>
        <w:rPr>
          <w:rFonts w:ascii="Times New Roman" w:hAnsi="Times New Roman" w:cs="Times New Roman"/>
        </w:rPr>
        <w:t xml:space="preserve"> </w:t>
      </w:r>
      <w:proofErr w:type="spellStart"/>
      <w:r>
        <w:rPr>
          <w:rFonts w:ascii="Times New Roman" w:hAnsi="Times New Roman" w:cs="Times New Roman"/>
        </w:rPr>
        <w:t>sepelrately</w:t>
      </w:r>
      <w:proofErr w:type="spellEnd"/>
      <w:r w:rsidRPr="00817AFE">
        <w:rPr>
          <w:rFonts w:ascii="Times New Roman" w:hAnsi="Times New Roman" w:cs="Times New Roman"/>
        </w:rPr>
        <w:t>. The</w:t>
      </w:r>
      <w:r>
        <w:rPr>
          <w:rFonts w:ascii="Times New Roman" w:hAnsi="Times New Roman" w:cs="Times New Roman" w:hint="eastAsia"/>
        </w:rPr>
        <w:t>y</w:t>
      </w:r>
      <w:r w:rsidRPr="00817AFE">
        <w:rPr>
          <w:rFonts w:ascii="Times New Roman" w:hAnsi="Times New Roman" w:cs="Times New Roman"/>
        </w:rPr>
        <w:t xml:space="preserve"> were used to construct the </w:t>
      </w:r>
      <w:proofErr w:type="spellStart"/>
      <w:r w:rsidRPr="00817AFE">
        <w:rPr>
          <w:rFonts w:ascii="Times New Roman" w:hAnsi="Times New Roman" w:cs="Times New Roman"/>
        </w:rPr>
        <w:t>utilisation</w:t>
      </w:r>
      <w:proofErr w:type="spellEnd"/>
      <w:r w:rsidRPr="00817AFE">
        <w:rPr>
          <w:rFonts w:ascii="Times New Roman" w:hAnsi="Times New Roman" w:cs="Times New Roman"/>
        </w:rPr>
        <w:t xml:space="preserve"> adjustment in Phase 2 and to identify spatial mismatches between </w:t>
      </w:r>
      <w:r>
        <w:rPr>
          <w:rFonts w:ascii="Times New Roman" w:hAnsi="Times New Roman" w:cs="Times New Roman"/>
        </w:rPr>
        <w:t xml:space="preserve">estimated </w:t>
      </w:r>
      <w:r w:rsidRPr="00817AFE">
        <w:rPr>
          <w:rFonts w:ascii="Times New Roman" w:hAnsi="Times New Roman" w:cs="Times New Roman"/>
        </w:rPr>
        <w:t>demand and existing provision.</w:t>
      </w:r>
    </w:p>
    <w:p w14:paraId="07DADC15" w14:textId="77777777" w:rsidR="00B0051C" w:rsidRPr="00481369" w:rsidRDefault="00B0051C" w:rsidP="00481369">
      <w:pPr>
        <w:jc w:val="both"/>
        <w:rPr>
          <w:rFonts w:ascii="Times New Roman" w:hAnsi="Times New Roman" w:cs="Times New Roman"/>
        </w:rPr>
      </w:pPr>
    </w:p>
    <w:p w14:paraId="7239D1C4" w14:textId="53EE6D43" w:rsidR="00B0051C" w:rsidRPr="00481369" w:rsidRDefault="00817AFE" w:rsidP="00481369">
      <w:pPr>
        <w:jc w:val="both"/>
        <w:rPr>
          <w:rFonts w:ascii="Times New Roman" w:hAnsi="Times New Roman" w:cs="Times New Roman"/>
        </w:rPr>
      </w:pPr>
      <w:proofErr w:type="gramStart"/>
      <w:r w:rsidRPr="00481369">
        <w:rPr>
          <w:rFonts w:ascii="Times New Roman" w:hAnsi="Times New Roman" w:cs="Times New Roman"/>
        </w:rPr>
        <w:t>Let :</w:t>
      </w:r>
      <w:proofErr w:type="gramEnd"/>
    </w:p>
    <w:p w14:paraId="65EB489F" w14:textId="0E4DFC31" w:rsidR="00817AFE" w:rsidRPr="00481369" w:rsidRDefault="00000000" w:rsidP="00481369">
      <w:pPr>
        <w:pStyle w:val="p2"/>
        <w:jc w:val="both"/>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i</m:t>
              </m:r>
            </m:sub>
          </m:sSub>
          <m:r>
            <m:rPr>
              <m:sty m:val="p"/>
            </m:rPr>
            <w:rPr>
              <w:rFonts w:ascii="Cambria Math" w:hAnsi="Cambria Math"/>
              <w:color w:val="auto"/>
              <w:sz w:val="24"/>
              <w:szCs w:val="24"/>
            </w:rPr>
            <m:t>=</m:t>
          </m:r>
          <m:r>
            <m:rPr>
              <m:nor/>
            </m:rPr>
            <w:rPr>
              <w:color w:val="auto"/>
              <w:sz w:val="24"/>
              <w:szCs w:val="24"/>
            </w:rPr>
            <m:t>number of registered on-street charging locations in LSOA </m:t>
          </m:r>
          <m:r>
            <w:rPr>
              <w:rFonts w:ascii="Cambria Math" w:hAnsi="Cambria Math"/>
              <w:color w:val="auto"/>
              <w:sz w:val="24"/>
              <w:szCs w:val="24"/>
            </w:rPr>
            <m:t>i</m:t>
          </m:r>
        </m:oMath>
      </m:oMathPara>
    </w:p>
    <w:p w14:paraId="3F30FA7B" w14:textId="77777777" w:rsidR="00817AFE" w:rsidRPr="00481369" w:rsidRDefault="00817AFE" w:rsidP="00481369">
      <w:pPr>
        <w:pStyle w:val="p2"/>
        <w:jc w:val="both"/>
        <w:rPr>
          <w:color w:val="auto"/>
          <w:sz w:val="24"/>
          <w:szCs w:val="24"/>
        </w:rPr>
      </w:pPr>
    </w:p>
    <w:p w14:paraId="2B1F1D9D" w14:textId="205CF63E" w:rsidR="00092EB9" w:rsidRPr="00092EB9" w:rsidRDefault="00481369" w:rsidP="00092EB9">
      <w:pPr>
        <w:widowControl w:val="0"/>
        <w:jc w:val="both"/>
        <w:rPr>
          <w:rFonts w:ascii="Times New Roman" w:hAnsi="Times New Roman" w:cs="Times New Roman"/>
        </w:rPr>
      </w:pPr>
      <w:proofErr w:type="spellStart"/>
      <w:r w:rsidRPr="00481369">
        <w:rPr>
          <w:rFonts w:ascii="Times New Roman" w:hAnsi="Times New Roman" w:cs="Times New Roman"/>
        </w:rPr>
        <w:t>Zapmap</w:t>
      </w:r>
      <w:proofErr w:type="spellEnd"/>
      <w:r w:rsidRPr="00481369">
        <w:rPr>
          <w:rFonts w:ascii="Times New Roman" w:hAnsi="Times New Roman" w:cs="Times New Roman"/>
        </w:rPr>
        <w:t xml:space="preserve"> distinguishes between charging locations, devices, EV chargers or EVSEs, and connectors (</w:t>
      </w:r>
      <w:proofErr w:type="spellStart"/>
      <w:r w:rsidRPr="00481369">
        <w:rPr>
          <w:rFonts w:ascii="Times New Roman" w:hAnsi="Times New Roman" w:cs="Times New Roman"/>
        </w:rPr>
        <w:t>Zapmap</w:t>
      </w:r>
      <w:proofErr w:type="spellEnd"/>
      <w:r w:rsidRPr="00481369">
        <w:rPr>
          <w:rFonts w:ascii="Times New Roman" w:hAnsi="Times New Roman" w:cs="Times New Roman"/>
        </w:rPr>
        <w:t>, 2026).</w:t>
      </w:r>
      <w:r w:rsidRPr="00481369">
        <w:rPr>
          <w:rFonts w:ascii="Times New Roman" w:hAnsi="Times New Roman" w:cs="Times New Roman" w:hint="eastAsia"/>
        </w:rPr>
        <w:t xml:space="preserve"> C</w:t>
      </w:r>
      <w:r w:rsidRPr="00481369">
        <w:rPr>
          <w:rFonts w:ascii="Times New Roman" w:hAnsi="Times New Roman" w:cs="Times New Roman"/>
        </w:rPr>
        <w:t xml:space="preserve">harging location is a geographical site containing one or more charging devices, while an EVSE is a charging unit that can independently control </w:t>
      </w:r>
      <w:r w:rsidRPr="00481369">
        <w:rPr>
          <w:rFonts w:ascii="Times New Roman" w:hAnsi="Times New Roman" w:cs="Times New Roman"/>
        </w:rPr>
        <w:lastRenderedPageBreak/>
        <w:t>a charging session and serve one vehicle. This study uses charging location as the common unit for defining both existing and additional provision</w:t>
      </w:r>
      <w:r>
        <w:rPr>
          <w:rFonts w:ascii="Times New Roman" w:hAnsi="Times New Roman" w:cs="Times New Roman" w:hint="eastAsia"/>
        </w:rPr>
        <w:t xml:space="preserve"> </w:t>
      </w:r>
      <w:r>
        <w:rPr>
          <w:rFonts w:ascii="Times New Roman" w:hAnsi="Times New Roman" w:cs="Times New Roman"/>
        </w:rPr>
        <w:t xml:space="preserve">to </w:t>
      </w:r>
      <w:r w:rsidRPr="00481369">
        <w:rPr>
          <w:rFonts w:ascii="Times New Roman" w:hAnsi="Times New Roman" w:cs="Times New Roman"/>
        </w:rPr>
        <w:t>ensur</w:t>
      </w:r>
      <w:r>
        <w:rPr>
          <w:rFonts w:ascii="Times New Roman" w:hAnsi="Times New Roman" w:cs="Times New Roman"/>
        </w:rPr>
        <w:t>e their</w:t>
      </w:r>
      <w:r w:rsidRPr="00481369">
        <w:rPr>
          <w:rFonts w:ascii="Times New Roman" w:hAnsi="Times New Roman" w:cs="Times New Roman"/>
        </w:rPr>
        <w:t xml:space="preserve"> comparability</w:t>
      </w:r>
      <w:r>
        <w:rPr>
          <w:rFonts w:ascii="Times New Roman" w:hAnsi="Times New Roman" w:cs="Times New Roman"/>
        </w:rPr>
        <w:t>.</w:t>
      </w:r>
      <w:r w:rsidR="00092EB9">
        <w:rPr>
          <w:rFonts w:ascii="Times New Roman" w:hAnsi="Times New Roman" w:cs="Times New Roman" w:hint="eastAsia"/>
        </w:rPr>
        <w:t xml:space="preserve"> </w:t>
      </w:r>
      <w:r w:rsidR="00092EB9" w:rsidRPr="00092EB9">
        <w:rPr>
          <w:rFonts w:ascii="Times New Roman" w:hAnsi="Times New Roman" w:cs="Times New Roman"/>
        </w:rPr>
        <w:t>As charging locations may contain different numbers of EVSEs, the number of</w:t>
      </w:r>
      <w:r w:rsidR="00092EB9">
        <w:rPr>
          <w:rFonts w:ascii="Times New Roman" w:hAnsi="Times New Roman" w:cs="Times New Roman" w:hint="eastAsia"/>
        </w:rPr>
        <w:t xml:space="preserve"> </w:t>
      </w:r>
      <w:r w:rsidR="00092EB9" w:rsidRPr="00092EB9">
        <w:rPr>
          <w:rFonts w:ascii="Times New Roman" w:hAnsi="Times New Roman" w:cs="Times New Roman"/>
        </w:rPr>
        <w:t xml:space="preserve">locations mainly reflects the spatial coverage of public charging infrastructure. If an LSOA has no registered charging locations, this does not mean that it has no potential charging demand. In addition to not representing service </w:t>
      </w:r>
      <w:r w:rsidR="00092EB9">
        <w:rPr>
          <w:rFonts w:ascii="Times New Roman" w:hAnsi="Times New Roman" w:cs="Times New Roman" w:hint="eastAsia"/>
        </w:rPr>
        <w:t>ability</w:t>
      </w:r>
      <w:r w:rsidR="00092EB9" w:rsidRPr="00092EB9">
        <w:rPr>
          <w:rFonts w:ascii="Times New Roman" w:hAnsi="Times New Roman" w:cs="Times New Roman"/>
        </w:rPr>
        <w:t xml:space="preserve">, the number of </w:t>
      </w:r>
      <w:r w:rsidR="00092EB9">
        <w:rPr>
          <w:rFonts w:ascii="Times New Roman" w:hAnsi="Times New Roman" w:cs="Times New Roman" w:hint="eastAsia"/>
        </w:rPr>
        <w:t xml:space="preserve">charging locations </w:t>
      </w:r>
      <w:r w:rsidR="00092EB9" w:rsidRPr="00092EB9">
        <w:rPr>
          <w:rFonts w:ascii="Times New Roman" w:hAnsi="Times New Roman" w:cs="Times New Roman"/>
        </w:rPr>
        <w:t>cannot reflect how intensively the existing infrastructure is used.</w:t>
      </w:r>
    </w:p>
    <w:p w14:paraId="3D5B7BE4" w14:textId="77777777" w:rsidR="00092EB9" w:rsidRDefault="00092EB9" w:rsidP="00092EB9">
      <w:pPr>
        <w:widowControl w:val="0"/>
        <w:jc w:val="both"/>
        <w:rPr>
          <w:rFonts w:ascii="Times New Roman" w:hAnsi="Times New Roman" w:cs="Times New Roman"/>
        </w:rPr>
      </w:pPr>
    </w:p>
    <w:p w14:paraId="63BFDAE3" w14:textId="56BFF435" w:rsidR="00092EB9" w:rsidRPr="00092EB9" w:rsidRDefault="00092EB9" w:rsidP="00092EB9">
      <w:pPr>
        <w:widowControl w:val="0"/>
        <w:jc w:val="both"/>
        <w:rPr>
          <w:rFonts w:ascii="Times New Roman" w:hAnsi="Times New Roman" w:cs="Times New Roman"/>
        </w:rPr>
      </w:pPr>
      <w:r w:rsidRPr="00092EB9">
        <w:rPr>
          <w:rFonts w:ascii="Times New Roman" w:hAnsi="Times New Roman" w:cs="Times New Roman"/>
        </w:rPr>
        <w:t xml:space="preserve">The September 2025 charging-session records were therefore used to calculate EVSE-level </w:t>
      </w:r>
      <w:proofErr w:type="spellStart"/>
      <w:r w:rsidRPr="00092EB9">
        <w:rPr>
          <w:rFonts w:ascii="Times New Roman" w:hAnsi="Times New Roman" w:cs="Times New Roman"/>
        </w:rPr>
        <w:t>realised</w:t>
      </w:r>
      <w:proofErr w:type="spellEnd"/>
      <w:r w:rsidRPr="00092EB9">
        <w:rPr>
          <w:rFonts w:ascii="Times New Roman" w:hAnsi="Times New Roman" w:cs="Times New Roman"/>
        </w:rPr>
        <w:t xml:space="preserve"> </w:t>
      </w:r>
      <w:proofErr w:type="spellStart"/>
      <w:r w:rsidRPr="00092EB9">
        <w:rPr>
          <w:rFonts w:ascii="Times New Roman" w:hAnsi="Times New Roman" w:cs="Times New Roman"/>
        </w:rPr>
        <w:t>utilisation</w:t>
      </w:r>
      <w:proofErr w:type="spellEnd"/>
      <w:r w:rsidRPr="00092EB9">
        <w:rPr>
          <w:rFonts w:ascii="Times New Roman" w:hAnsi="Times New Roman" w:cs="Times New Roman"/>
        </w:rPr>
        <w:t xml:space="preserve">. The observation window ran from 00:00 on </w:t>
      </w:r>
      <w:r>
        <w:rPr>
          <w:rFonts w:ascii="Times New Roman" w:hAnsi="Times New Roman" w:cs="Times New Roman" w:hint="eastAsia"/>
        </w:rPr>
        <w:t>1st</w:t>
      </w:r>
      <w:r w:rsidRPr="00092EB9">
        <w:rPr>
          <w:rFonts w:ascii="Times New Roman" w:hAnsi="Times New Roman" w:cs="Times New Roman"/>
        </w:rPr>
        <w:t xml:space="preserve"> September 2025 to 00:00 on 1</w:t>
      </w:r>
      <w:r>
        <w:rPr>
          <w:rFonts w:ascii="Times New Roman" w:hAnsi="Times New Roman" w:cs="Times New Roman"/>
        </w:rPr>
        <w:t>st</w:t>
      </w:r>
      <w:r w:rsidRPr="00092EB9">
        <w:rPr>
          <w:rFonts w:ascii="Times New Roman" w:hAnsi="Times New Roman" w:cs="Times New Roman"/>
        </w:rPr>
        <w:t xml:space="preserve"> October 2025. This covered 30 days</w:t>
      </w:r>
      <w:r>
        <w:rPr>
          <w:rFonts w:ascii="Times New Roman" w:hAnsi="Times New Roman" w:cs="Times New Roman"/>
        </w:rPr>
        <w:t xml:space="preserve"> (</w:t>
      </w:r>
      <w:r w:rsidRPr="00092EB9">
        <w:rPr>
          <w:rFonts w:ascii="Times New Roman" w:hAnsi="Times New Roman" w:cs="Times New Roman"/>
        </w:rPr>
        <w:t>43,200 minutes</w:t>
      </w:r>
      <w:r>
        <w:rPr>
          <w:rFonts w:ascii="Times New Roman" w:hAnsi="Times New Roman" w:cs="Times New Roman"/>
        </w:rPr>
        <w:t>)</w:t>
      </w:r>
      <w:r w:rsidRPr="00092EB9">
        <w:rPr>
          <w:rFonts w:ascii="Times New Roman" w:hAnsi="Times New Roman" w:cs="Times New Roman"/>
        </w:rPr>
        <w:t xml:space="preserve">. The </w:t>
      </w:r>
      <w:proofErr w:type="spellStart"/>
      <w:r w:rsidRPr="00092EB9">
        <w:rPr>
          <w:rFonts w:ascii="Times New Roman" w:hAnsi="Times New Roman" w:cs="Times New Roman"/>
        </w:rPr>
        <w:t>utilisation</w:t>
      </w:r>
      <w:proofErr w:type="spellEnd"/>
      <w:r w:rsidRPr="00092EB9">
        <w:rPr>
          <w:rFonts w:ascii="Times New Roman" w:hAnsi="Times New Roman" w:cs="Times New Roman"/>
        </w:rPr>
        <w:t xml:space="preserve"> of each EVSE </w:t>
      </w:r>
      <m:oMath>
        <m:r>
          <w:rPr>
            <w:rFonts w:ascii="Cambria Math" w:hAnsi="Cambria Math" w:cs="Times New Roman"/>
          </w:rPr>
          <m:t>j</m:t>
        </m:r>
      </m:oMath>
      <w:r w:rsidRPr="00092EB9">
        <w:rPr>
          <w:rFonts w:ascii="Times New Roman" w:hAnsi="Times New Roman" w:cs="Times New Roman"/>
        </w:rPr>
        <w:t xml:space="preserve"> was defined as:</w:t>
      </w:r>
    </w:p>
    <w:p w14:paraId="2720ADFE" w14:textId="665BABBE" w:rsidR="00B0051C" w:rsidRDefault="00B0051C" w:rsidP="00092EB9">
      <w:pPr>
        <w:widowControl w:val="0"/>
        <w:jc w:val="both"/>
        <w:rPr>
          <w:rFonts w:ascii="Times New Roman" w:hAnsi="Times New Roman" w:cs="Times New Roman"/>
          <w:color w:val="000000"/>
          <w:sz w:val="17"/>
          <w:szCs w:val="17"/>
        </w:rPr>
      </w:pPr>
    </w:p>
    <w:p w14:paraId="2BBFBE65" w14:textId="77777777" w:rsidR="00B0051C" w:rsidRPr="00516615" w:rsidRDefault="00B0051C" w:rsidP="00B0051C">
      <w:pPr>
        <w:pStyle w:val="p2"/>
        <w:ind w:left="360"/>
        <w:jc w:val="center"/>
        <w:rPr>
          <w:color w:val="auto"/>
          <w:sz w:val="24"/>
          <w:szCs w:val="24"/>
        </w:rPr>
      </w:pPr>
      <m:oMathPara>
        <m:oMath>
          <m:r>
            <w:rPr>
              <w:rFonts w:ascii="Cambria Math" w:hAnsi="Cambria Math"/>
              <w:color w:val="auto"/>
              <w:sz w:val="24"/>
              <w:szCs w:val="24"/>
            </w:rPr>
            <m:t>u</m:t>
          </m:r>
          <m:sSub>
            <m:sSubPr>
              <m:ctrlPr>
                <w:rPr>
                  <w:rFonts w:ascii="Cambria Math" w:hAnsi="Cambria Math"/>
                  <w:color w:val="auto"/>
                  <w:sz w:val="24"/>
                  <w:szCs w:val="24"/>
                </w:rPr>
              </m:ctrlPr>
            </m:sSubPr>
            <m:e>
              <m:r>
                <w:rPr>
                  <w:rFonts w:ascii="Cambria Math" w:hAnsi="Cambria Math"/>
                  <w:color w:val="auto"/>
                  <w:sz w:val="24"/>
                  <w:szCs w:val="24"/>
                </w:rPr>
                <m:t>r</m:t>
              </m:r>
            </m:e>
            <m:sub>
              <m:r>
                <w:rPr>
                  <w:rFonts w:ascii="Cambria Math" w:hAnsi="Cambria Math"/>
                  <w:color w:val="auto"/>
                  <w:sz w:val="24"/>
                  <w:szCs w:val="24"/>
                </w:rPr>
                <m:t>j</m:t>
              </m:r>
            </m:sub>
          </m:sSub>
          <m:r>
            <m:rPr>
              <m:sty m:val="p"/>
            </m:rPr>
            <w:rPr>
              <w:rFonts w:ascii="Cambria Math" w:hAnsi="Cambria Math"/>
              <w:color w:val="auto"/>
              <w:sz w:val="24"/>
              <w:szCs w:val="24"/>
            </w:rPr>
            <m:t>=</m:t>
          </m:r>
          <m:f>
            <m:fPr>
              <m:ctrlPr>
                <w:rPr>
                  <w:rFonts w:ascii="Cambria Math" w:hAnsi="Cambria Math"/>
                  <w:color w:val="auto"/>
                  <w:sz w:val="24"/>
                  <w:szCs w:val="24"/>
                </w:rPr>
              </m:ctrlPr>
            </m:fPr>
            <m:num>
              <m:r>
                <w:rPr>
                  <w:rFonts w:ascii="Cambria Math" w:hAnsi="Cambria Math"/>
                  <w:color w:val="auto"/>
                  <w:sz w:val="24"/>
                  <w:szCs w:val="24"/>
                </w:rPr>
                <m:t>total</m:t>
              </m:r>
              <m:r>
                <m:rPr>
                  <m:sty m:val="p"/>
                </m:rPr>
                <w:rPr>
                  <w:rFonts w:ascii="Cambria Math" w:hAnsi="Cambria Math"/>
                  <w:color w:val="auto"/>
                  <w:sz w:val="24"/>
                  <w:szCs w:val="24"/>
                </w:rPr>
                <m:t xml:space="preserve"> </m:t>
              </m:r>
              <m:r>
                <w:rPr>
                  <w:rFonts w:ascii="Cambria Math" w:hAnsi="Cambria Math"/>
                  <w:color w:val="auto"/>
                  <w:sz w:val="24"/>
                  <w:szCs w:val="24"/>
                </w:rPr>
                <m:t>occ</m:t>
              </m:r>
              <m:r>
                <w:rPr>
                  <w:rFonts w:ascii="Cambria Math" w:hAnsi="Cambria Math" w:hint="eastAsia"/>
                  <w:color w:val="auto"/>
                  <w:sz w:val="24"/>
                  <w:szCs w:val="24"/>
                </w:rPr>
                <m:t>u</m:t>
              </m:r>
              <m:r>
                <w:rPr>
                  <w:rFonts w:ascii="Cambria Math" w:hAnsi="Cambria Math"/>
                  <w:color w:val="auto"/>
                  <w:sz w:val="24"/>
                  <w:szCs w:val="24"/>
                </w:rPr>
                <m:t>pied</m:t>
              </m:r>
              <m:r>
                <m:rPr>
                  <m:sty m:val="p"/>
                </m:rPr>
                <w:rPr>
                  <w:rFonts w:ascii="Cambria Math" w:hAnsi="Cambria Math"/>
                  <w:color w:val="auto"/>
                  <w:sz w:val="24"/>
                  <w:szCs w:val="24"/>
                </w:rPr>
                <m:t xml:space="preserve"> </m:t>
              </m:r>
              <m:r>
                <w:rPr>
                  <w:rFonts w:ascii="Cambria Math" w:hAnsi="Cambria Math"/>
                  <w:color w:val="auto"/>
                  <w:sz w:val="24"/>
                  <w:szCs w:val="24"/>
                </w:rPr>
                <m:t>minutes</m:t>
              </m:r>
              <m:r>
                <m:rPr>
                  <m:sty m:val="p"/>
                </m:rPr>
                <w:rPr>
                  <w:rFonts w:ascii="Cambria Math" w:hAnsi="Cambria Math"/>
                  <w:color w:val="auto"/>
                  <w:sz w:val="24"/>
                  <w:szCs w:val="24"/>
                </w:rPr>
                <m:t xml:space="preserve"> </m:t>
              </m:r>
              <m:r>
                <w:rPr>
                  <w:rFonts w:ascii="Cambria Math" w:hAnsi="Cambria Math"/>
                  <w:color w:val="auto"/>
                  <w:sz w:val="24"/>
                  <w:szCs w:val="24"/>
                </w:rPr>
                <m:t>recorded</m:t>
              </m:r>
              <m:r>
                <m:rPr>
                  <m:sty m:val="p"/>
                </m:rPr>
                <w:rPr>
                  <w:rFonts w:ascii="Cambria Math" w:hAnsi="Cambria Math"/>
                  <w:color w:val="auto"/>
                  <w:sz w:val="24"/>
                  <w:szCs w:val="24"/>
                </w:rPr>
                <m:t xml:space="preserve"> </m:t>
              </m:r>
              <m:r>
                <w:rPr>
                  <w:rFonts w:ascii="Cambria Math" w:hAnsi="Cambria Math"/>
                  <w:color w:val="auto"/>
                  <w:sz w:val="24"/>
                  <w:szCs w:val="24"/>
                </w:rPr>
                <m:t>for</m:t>
              </m:r>
              <m:r>
                <m:rPr>
                  <m:sty m:val="p"/>
                </m:rPr>
                <w:rPr>
                  <w:rFonts w:ascii="Cambria Math" w:hAnsi="Cambria Math"/>
                  <w:color w:val="auto"/>
                  <w:sz w:val="24"/>
                  <w:szCs w:val="24"/>
                </w:rPr>
                <m:t xml:space="preserve"> </m:t>
              </m:r>
              <m:r>
                <w:rPr>
                  <w:rFonts w:ascii="Cambria Math" w:hAnsi="Cambria Math"/>
                  <w:color w:val="auto"/>
                  <w:sz w:val="24"/>
                  <w:szCs w:val="24"/>
                </w:rPr>
                <m:t>EVSE</m:t>
              </m:r>
              <m:r>
                <m:rPr>
                  <m:sty m:val="p"/>
                </m:rPr>
                <w:rPr>
                  <w:rFonts w:ascii="Cambria Math" w:hAnsi="Cambria Math"/>
                  <w:color w:val="auto"/>
                  <w:sz w:val="24"/>
                  <w:szCs w:val="24"/>
                </w:rPr>
                <m:t xml:space="preserve"> </m:t>
              </m:r>
              <m:r>
                <w:rPr>
                  <w:rFonts w:ascii="Cambria Math" w:hAnsi="Cambria Math"/>
                  <w:color w:val="auto"/>
                  <w:sz w:val="24"/>
                  <w:szCs w:val="24"/>
                </w:rPr>
                <m:t>j</m:t>
              </m:r>
            </m:num>
            <m:den>
              <m:r>
                <m:rPr>
                  <m:sty m:val="p"/>
                </m:rPr>
                <w:rPr>
                  <w:rFonts w:ascii="Cambria Math" w:hAnsi="Cambria Math"/>
                  <w:color w:val="auto"/>
                  <w:sz w:val="24"/>
                  <w:szCs w:val="24"/>
                </w:rPr>
                <m:t>43,200 min</m:t>
              </m:r>
            </m:den>
          </m:f>
        </m:oMath>
      </m:oMathPara>
    </w:p>
    <w:p w14:paraId="5D14FB59" w14:textId="77777777" w:rsidR="00092EB9" w:rsidRPr="008234A8" w:rsidRDefault="00092EB9" w:rsidP="00B0051C">
      <w:pPr>
        <w:pStyle w:val="p2"/>
        <w:ind w:left="360"/>
        <w:jc w:val="center"/>
      </w:pPr>
    </w:p>
    <w:p w14:paraId="73EA4AC7" w14:textId="7D23D808" w:rsidR="00B92D00" w:rsidRDefault="00B92D00" w:rsidP="00B92D00">
      <w:pPr>
        <w:jc w:val="both"/>
        <w:rPr>
          <w:rFonts w:ascii="Times New Roman" w:hAnsi="Times New Roman" w:cs="Times New Roman"/>
        </w:rPr>
      </w:pPr>
      <w:r w:rsidRPr="00B92D00">
        <w:rPr>
          <w:rFonts w:ascii="Times New Roman" w:hAnsi="Times New Roman" w:cs="Times New Roman"/>
        </w:rPr>
        <w:t xml:space="preserve">Before calculation, overlapping or directly adjacent time intervals for the same EVSE were merged to avoid double-counting occupied time. The resulting </w:t>
      </w:r>
      <m:oMath>
        <m:r>
          <w:rPr>
            <w:rFonts w:ascii="Cambria Math" w:hAnsi="Cambria Math"/>
          </w:rPr>
          <m:t>u</m:t>
        </m:r>
        <m:sSub>
          <m:sSubPr>
            <m:ctrlPr>
              <w:rPr>
                <w:rFonts w:ascii="Cambria Math" w:hAnsi="Cambria Math"/>
              </w:rPr>
            </m:ctrlPr>
          </m:sSubPr>
          <m:e>
            <m:r>
              <w:rPr>
                <w:rFonts w:ascii="Cambria Math" w:hAnsi="Cambria Math"/>
              </w:rPr>
              <m:t>r</m:t>
            </m:r>
          </m:e>
          <m:sub>
            <m:r>
              <w:rPr>
                <w:rFonts w:ascii="Cambria Math" w:hAnsi="Cambria Math"/>
              </w:rPr>
              <m:t>j</m:t>
            </m:r>
          </m:sub>
        </m:sSub>
      </m:oMath>
      <w:r w:rsidRPr="00B92D00">
        <w:rPr>
          <w:rFonts w:ascii="Times New Roman" w:hAnsi="Times New Roman" w:cs="Times New Roman"/>
        </w:rPr>
        <w:t xml:space="preserve"> represents the proportion of the September observation period during which EVSE </w:t>
      </w:r>
      <m:oMath>
        <m:r>
          <w:rPr>
            <w:rFonts w:ascii="Cambria Math" w:hAnsi="Cambria Math" w:cs="Times New Roman"/>
          </w:rPr>
          <m:t>j</m:t>
        </m:r>
      </m:oMath>
      <w:r w:rsidRPr="00B92D00">
        <w:rPr>
          <w:rFonts w:ascii="Times New Roman" w:hAnsi="Times New Roman" w:cs="Times New Roman"/>
        </w:rPr>
        <w:t xml:space="preserve"> was occupied. EVSEs included in the </w:t>
      </w:r>
      <w:r w:rsidR="00B7528F">
        <w:rPr>
          <w:rFonts w:ascii="Times New Roman" w:hAnsi="Times New Roman" w:cs="Times New Roman" w:hint="eastAsia"/>
        </w:rPr>
        <w:t>location</w:t>
      </w:r>
      <w:r w:rsidRPr="00B92D00">
        <w:rPr>
          <w:rFonts w:ascii="Times New Roman" w:hAnsi="Times New Roman" w:cs="Times New Roman"/>
        </w:rPr>
        <w:t xml:space="preserve"> registry but with no charging sessions observed in September were retained and assigned</w:t>
      </w:r>
      <w:r w:rsidR="00B7528F">
        <w:rPr>
          <w:rFonts w:ascii="Times New Roman" w:hAnsi="Times New Roman" w:cs="Times New Roman" w:hint="eastAsia"/>
        </w:rPr>
        <w:t xml:space="preserve"> </w:t>
      </w:r>
      <m:oMath>
        <m:r>
          <w:rPr>
            <w:rFonts w:ascii="Cambria Math" w:hAnsi="Cambria Math"/>
          </w:rPr>
          <m:t>u</m:t>
        </m:r>
        <m:sSub>
          <m:sSubPr>
            <m:ctrlPr>
              <w:rPr>
                <w:rFonts w:ascii="Cambria Math" w:hAnsi="Cambria Math"/>
              </w:rPr>
            </m:ctrlPr>
          </m:sSubPr>
          <m:e>
            <m:r>
              <w:rPr>
                <w:rFonts w:ascii="Cambria Math" w:hAnsi="Cambria Math"/>
              </w:rPr>
              <m:t>r</m:t>
            </m:r>
          </m:e>
          <m:sub>
            <m:r>
              <w:rPr>
                <w:rFonts w:ascii="Cambria Math" w:hAnsi="Cambria Math"/>
              </w:rPr>
              <m:t>j</m:t>
            </m:r>
          </m:sub>
        </m:sSub>
      </m:oMath>
      <w:r w:rsidRPr="00B92D00">
        <w:rPr>
          <w:rFonts w:ascii="Times New Roman" w:hAnsi="Times New Roman" w:cs="Times New Roman"/>
        </w:rPr>
        <w:t>=0. Removing these EVSEs would leave only devices with recorded charging activity and would therefore overestimate observed utilisation.</w:t>
      </w:r>
    </w:p>
    <w:p w14:paraId="56345684" w14:textId="77777777" w:rsidR="00B92D00" w:rsidRPr="00B92D00" w:rsidRDefault="00B92D00" w:rsidP="00B92D00">
      <w:pPr>
        <w:jc w:val="both"/>
        <w:rPr>
          <w:rFonts w:ascii="Times New Roman" w:hAnsi="Times New Roman" w:cs="Times New Roman" w:hint="eastAsia"/>
        </w:rPr>
      </w:pPr>
    </w:p>
    <w:p w14:paraId="7E43B730" w14:textId="1E61A2D7" w:rsidR="00B92D00" w:rsidRPr="00B92D00" w:rsidRDefault="00B92D00" w:rsidP="00B92D00">
      <w:pPr>
        <w:jc w:val="both"/>
        <w:rPr>
          <w:rFonts w:ascii="Times New Roman" w:hAnsi="Times New Roman" w:cs="Times New Roman"/>
        </w:rPr>
      </w:pPr>
      <w:r w:rsidRPr="00B92D00">
        <w:rPr>
          <w:rFonts w:ascii="Times New Roman" w:hAnsi="Times New Roman" w:cs="Times New Roman"/>
        </w:rPr>
        <w:t xml:space="preserve">As the final spatial analysis was conducted at the LSOA level, EVSE-level </w:t>
      </w:r>
      <w:proofErr w:type="spellStart"/>
      <w:r w:rsidRPr="00B92D00">
        <w:rPr>
          <w:rFonts w:ascii="Times New Roman" w:hAnsi="Times New Roman" w:cs="Times New Roman"/>
        </w:rPr>
        <w:t>utilisation</w:t>
      </w:r>
      <w:proofErr w:type="spellEnd"/>
      <w:r w:rsidRPr="00B92D00">
        <w:rPr>
          <w:rFonts w:ascii="Times New Roman" w:hAnsi="Times New Roman" w:cs="Times New Roman"/>
        </w:rPr>
        <w:t xml:space="preserve"> was further aggregated. First, the </w:t>
      </w:r>
      <w:proofErr w:type="spellStart"/>
      <w:r w:rsidRPr="00B92D00">
        <w:rPr>
          <w:rFonts w:ascii="Times New Roman" w:hAnsi="Times New Roman" w:cs="Times New Roman"/>
        </w:rPr>
        <w:t>utilisation</w:t>
      </w:r>
      <w:proofErr w:type="spellEnd"/>
      <w:r w:rsidRPr="00B92D00">
        <w:rPr>
          <w:rFonts w:ascii="Times New Roman" w:hAnsi="Times New Roman" w:cs="Times New Roman"/>
        </w:rPr>
        <w:t xml:space="preserve"> values of all EVSEs at the same charging location were averaged to obtain location-level </w:t>
      </w:r>
      <w:proofErr w:type="spellStart"/>
      <w:r w:rsidRPr="00B92D00">
        <w:rPr>
          <w:rFonts w:ascii="Times New Roman" w:hAnsi="Times New Roman" w:cs="Times New Roman"/>
        </w:rPr>
        <w:t>utilisation</w:t>
      </w:r>
      <w:proofErr w:type="spellEnd"/>
      <w:r w:rsidRPr="00B92D00">
        <w:rPr>
          <w:rFonts w:ascii="Times New Roman" w:hAnsi="Times New Roman" w:cs="Times New Roman"/>
        </w:rPr>
        <w:t xml:space="preserve">. The location-level values for all on-street charging locations within the same LSOA were then averaged to obtain the mean observed </w:t>
      </w:r>
      <w:proofErr w:type="spellStart"/>
      <w:r w:rsidRPr="00B92D00">
        <w:rPr>
          <w:rFonts w:ascii="Times New Roman" w:hAnsi="Times New Roman" w:cs="Times New Roman"/>
        </w:rPr>
        <w:t>utilisation</w:t>
      </w:r>
      <w:proofErr w:type="spellEnd"/>
      <w:r w:rsidRPr="00B92D00">
        <w:rPr>
          <w:rFonts w:ascii="Times New Roman" w:hAnsi="Times New Roman" w:cs="Times New Roman"/>
        </w:rPr>
        <w:t xml:space="preserve"> for LSOA</w:t>
      </w:r>
      <w:r w:rsidR="00516615" w:rsidRPr="00516615">
        <w:rPr>
          <w:rFonts w:ascii="Times New Roman" w:hAnsi="Times New Roman" w:cs="Times New Roman" w:hint="eastAsia"/>
        </w:rPr>
        <w:t xml:space="preserve"> </w:t>
      </w:r>
      <m:oMath>
        <m:r>
          <w:rPr>
            <w:rFonts w:ascii="Cambria Math" w:hAnsi="Cambria Math" w:cs="Times New Roman" w:hint="eastAsia"/>
          </w:rPr>
          <m:t>i</m:t>
        </m:r>
      </m:oMath>
      <w:r w:rsidRPr="00B92D00">
        <w:rPr>
          <w:rFonts w:ascii="Times New Roman" w:hAnsi="Times New Roman" w:cs="Times New Roman"/>
        </w:rPr>
        <w:t xml:space="preserve">, denoted by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B92D00">
        <w:rPr>
          <w:rFonts w:ascii="Times New Roman" w:hAnsi="Times New Roman" w:cs="Times New Roman"/>
        </w:rPr>
        <w:t>. Zero-session EVSEs were retained throughout this process. This two-stage aggregation prevented charging locations with more EVSEs from receiving greater weight.</w:t>
      </w:r>
    </w:p>
    <w:p w14:paraId="700A5C58" w14:textId="77777777" w:rsidR="00B0051C" w:rsidRDefault="00B0051C" w:rsidP="00B0051C">
      <w:pPr>
        <w:rPr>
          <w:rFonts w:ascii="Times New Roman" w:hAnsi="Times New Roman" w:cs="Times New Roman" w:hint="eastAsia"/>
          <w:color w:val="000000"/>
          <w:sz w:val="17"/>
          <w:szCs w:val="17"/>
        </w:rPr>
      </w:pPr>
    </w:p>
    <w:p w14:paraId="588593A1" w14:textId="541E80AC" w:rsidR="00B0051C" w:rsidRPr="00A0429A" w:rsidRDefault="00B0051C" w:rsidP="00A0429A">
      <w:pPr>
        <w:jc w:val="both"/>
        <w:rPr>
          <w:rFonts w:ascii="Times New Roman" w:hAnsi="Times New Roman" w:cs="Times New Roman"/>
        </w:rPr>
      </w:pPr>
      <w:r w:rsidRPr="00A0429A">
        <w:rPr>
          <w:rFonts w:ascii="Times New Roman" w:hAnsi="Times New Roman" w:cs="Times New Roman"/>
        </w:rPr>
        <w:lastRenderedPageBreak/>
        <w:t xml:space="preserve">LSOA-level </w:t>
      </w:r>
      <w:proofErr w:type="spellStart"/>
      <w:r w:rsidRPr="00A0429A">
        <w:rPr>
          <w:rFonts w:ascii="Times New Roman" w:hAnsi="Times New Roman" w:cs="Times New Roman"/>
        </w:rPr>
        <w:t>utilisation</w:t>
      </w:r>
      <w:proofErr w:type="spellEnd"/>
      <w:r w:rsidRPr="00A0429A">
        <w:rPr>
          <w:rFonts w:ascii="Times New Roman" w:hAnsi="Times New Roman" w:cs="Times New Roman"/>
        </w:rPr>
        <w:t xml:space="preserve"> </w:t>
      </w:r>
      <w:r w:rsidR="00C9660D" w:rsidRPr="00A0429A">
        <w:rPr>
          <w:rFonts w:ascii="Times New Roman" w:hAnsi="Times New Roman" w:cs="Times New Roman"/>
        </w:rPr>
        <w:t>is then converted into</w:t>
      </w:r>
      <w:r w:rsidRPr="00A0429A">
        <w:rPr>
          <w:rFonts w:ascii="Times New Roman" w:hAnsi="Times New Roman" w:cs="Times New Roman"/>
        </w:rPr>
        <w:t xml:space="preserve"> </w:t>
      </w:r>
      <w:proofErr w:type="spellStart"/>
      <w:r w:rsidRPr="00A0429A">
        <w:rPr>
          <w:rFonts w:ascii="Times New Roman" w:hAnsi="Times New Roman" w:cs="Times New Roman"/>
        </w:rPr>
        <w:t>utilisation</w:t>
      </w:r>
      <w:proofErr w:type="spellEnd"/>
      <w:r w:rsidRPr="00A0429A">
        <w:rPr>
          <w:rFonts w:ascii="Times New Roman" w:hAnsi="Times New Roman" w:cs="Times New Roman"/>
        </w:rPr>
        <w:t>-pressure adjustment</w:t>
      </w:r>
      <w:r w:rsidRPr="00A0429A">
        <w:rPr>
          <w:rFonts w:ascii="Times New Roman" w:hAnsi="Times New Roman" w:cs="Times New Roman"/>
        </w:rPr>
        <w:t>：</w:t>
      </w:r>
    </w:p>
    <w:p w14:paraId="177D647A" w14:textId="77777777" w:rsidR="00B0051C" w:rsidRPr="00A0429A" w:rsidRDefault="00000000" w:rsidP="00A0429A">
      <w:pPr>
        <w:pStyle w:val="p2"/>
        <w:jc w:val="both"/>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U</m:t>
              </m:r>
            </m:e>
            <m:sub>
              <m:r>
                <w:rPr>
                  <w:rFonts w:ascii="Cambria Math" w:hAnsi="Cambria Math"/>
                  <w:color w:val="auto"/>
                  <w:sz w:val="24"/>
                  <w:szCs w:val="24"/>
                </w:rPr>
                <m:t>i</m:t>
              </m:r>
            </m:sub>
          </m:sSub>
          <m:r>
            <m:rPr>
              <m:sty m:val="p"/>
            </m:rPr>
            <w:rPr>
              <w:rFonts w:ascii="Cambria Math" w:hAnsi="Cambria Math"/>
              <w:color w:val="auto"/>
              <w:sz w:val="24"/>
              <w:szCs w:val="24"/>
            </w:rPr>
            <m:t>=</m:t>
          </m:r>
          <m:d>
            <m:dPr>
              <m:begChr m:val="{"/>
              <m:endChr m:val=""/>
              <m:ctrlPr>
                <w:rPr>
                  <w:rFonts w:ascii="Cambria Math" w:hAnsi="Cambria Math"/>
                  <w:color w:val="auto"/>
                  <w:sz w:val="24"/>
                  <w:szCs w:val="24"/>
                </w:rPr>
              </m:ctrlPr>
            </m:dPr>
            <m:e>
              <m:m>
                <m:mPr>
                  <m:plcHide m:val="1"/>
                  <m:mcs>
                    <m:mc>
                      <m:mcPr>
                        <m:count m:val="2"/>
                        <m:mcJc m:val="center"/>
                      </m:mcPr>
                    </m:mc>
                  </m:mcs>
                  <m:ctrlPr>
                    <w:rPr>
                      <w:rFonts w:ascii="Cambria Math" w:hAnsi="Cambria Math"/>
                      <w:color w:val="auto"/>
                      <w:sz w:val="24"/>
                      <w:szCs w:val="24"/>
                    </w:rPr>
                  </m:ctrlPr>
                </m:mPr>
                <m:mr>
                  <m:e>
                    <m:r>
                      <m:rPr>
                        <m:sty m:val="p"/>
                      </m:rPr>
                      <w:rPr>
                        <w:rFonts w:ascii="Cambria Math" w:hAnsi="Cambria Math"/>
                        <w:color w:val="auto"/>
                        <w:sz w:val="24"/>
                        <w:szCs w:val="24"/>
                      </w:rPr>
                      <m:t>1+</m:t>
                    </m:r>
                    <m:sSub>
                      <m:sSubPr>
                        <m:ctrlPr>
                          <w:rPr>
                            <w:rFonts w:ascii="Cambria Math" w:hAnsi="Cambria Math"/>
                            <w:color w:val="auto"/>
                            <w:sz w:val="24"/>
                            <w:szCs w:val="24"/>
                          </w:rPr>
                        </m:ctrlPr>
                      </m:sSubPr>
                      <m:e>
                        <m:r>
                          <w:rPr>
                            <w:rFonts w:ascii="Cambria Math" w:hAnsi="Cambria Math"/>
                            <w:color w:val="auto"/>
                            <w:sz w:val="24"/>
                            <w:szCs w:val="24"/>
                          </w:rPr>
                          <m:t>u</m:t>
                        </m:r>
                      </m:e>
                      <m:sub>
                        <m:r>
                          <w:rPr>
                            <w:rFonts w:ascii="Cambria Math" w:hAnsi="Cambria Math"/>
                            <w:color w:val="auto"/>
                            <w:sz w:val="24"/>
                            <w:szCs w:val="24"/>
                          </w:rPr>
                          <m:t>i</m:t>
                        </m:r>
                      </m:sub>
                    </m:sSub>
                    <m:r>
                      <m:rPr>
                        <m:sty m:val="p"/>
                      </m:rPr>
                      <w:rPr>
                        <w:rFonts w:ascii="Cambria Math" w:hAnsi="Cambria Math"/>
                        <w:color w:val="auto"/>
                        <w:sz w:val="24"/>
                        <w:szCs w:val="24"/>
                      </w:rPr>
                      <m:t>,</m:t>
                    </m:r>
                  </m:e>
                  <m:e>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i</m:t>
                        </m:r>
                      </m:sub>
                    </m:sSub>
                    <m:r>
                      <m:rPr>
                        <m:sty m:val="p"/>
                      </m:rPr>
                      <w:rPr>
                        <w:rFonts w:ascii="Cambria Math" w:hAnsi="Cambria Math"/>
                        <w:color w:val="auto"/>
                        <w:sz w:val="24"/>
                        <w:szCs w:val="24"/>
                      </w:rPr>
                      <m:t>&gt;0,</m:t>
                    </m:r>
                  </m:e>
                </m:mr>
                <m:mr>
                  <m:e>
                    <m:r>
                      <m:rPr>
                        <m:sty m:val="p"/>
                      </m:rPr>
                      <w:rPr>
                        <w:rFonts w:ascii="Cambria Math" w:hAnsi="Cambria Math"/>
                        <w:color w:val="auto"/>
                        <w:sz w:val="24"/>
                        <w:szCs w:val="24"/>
                      </w:rPr>
                      <m:t>1,</m:t>
                    </m:r>
                  </m:e>
                  <m:e>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i</m:t>
                        </m:r>
                      </m:sub>
                    </m:sSub>
                    <m:r>
                      <m:rPr>
                        <m:sty m:val="p"/>
                      </m:rPr>
                      <w:rPr>
                        <w:rFonts w:ascii="Cambria Math" w:hAnsi="Cambria Math"/>
                        <w:color w:val="auto"/>
                        <w:sz w:val="24"/>
                        <w:szCs w:val="24"/>
                      </w:rPr>
                      <m:t>=0.</m:t>
                    </m:r>
                  </m:e>
                </m:mr>
              </m:m>
            </m:e>
          </m:d>
        </m:oMath>
      </m:oMathPara>
    </w:p>
    <w:p w14:paraId="13286868" w14:textId="2E1108F9" w:rsidR="00B0051C" w:rsidRPr="00A0429A" w:rsidRDefault="00C9660D" w:rsidP="00A0429A">
      <w:pPr>
        <w:jc w:val="both"/>
        <w:rPr>
          <w:rFonts w:ascii="Times New Roman" w:hAnsi="Times New Roman" w:cs="Times New Roman"/>
        </w:rPr>
      </w:pPr>
      <w:r w:rsidRPr="00A0429A">
        <w:rPr>
          <w:rFonts w:ascii="Times New Roman" w:hAnsi="Times New Roman" w:cs="Times New Roman" w:hint="eastAsia"/>
        </w:rPr>
        <w:t>For</w:t>
      </w:r>
      <w:r w:rsidR="00B0051C" w:rsidRPr="00A0429A">
        <w:rPr>
          <w:rFonts w:ascii="Times New Roman" w:hAnsi="Times New Roman" w:cs="Times New Roman"/>
        </w:rPr>
        <w:t xml:space="preserve"> </w:t>
      </w:r>
      <w:r w:rsidRPr="00A0429A">
        <w:rPr>
          <w:rFonts w:ascii="Times New Roman" w:hAnsi="Times New Roman" w:cs="Times New Roman"/>
        </w:rPr>
        <w:t>LSOA</w:t>
      </w:r>
      <w:r w:rsidRPr="00A0429A">
        <w:rPr>
          <w:rFonts w:ascii="Times New Roman" w:hAnsi="Times New Roman" w:cs="Times New Roman"/>
        </w:rPr>
        <w:t xml:space="preserve"> </w:t>
      </w:r>
      <w:r w:rsidRPr="00A0429A">
        <w:rPr>
          <w:rFonts w:ascii="Times New Roman" w:hAnsi="Times New Roman" w:cs="Times New Roman" w:hint="eastAsia"/>
        </w:rPr>
        <w:t xml:space="preserve">without </w:t>
      </w:r>
      <w:r w:rsidR="00B0051C" w:rsidRPr="00A0429A">
        <w:rPr>
          <w:rFonts w:ascii="Times New Roman" w:hAnsi="Times New Roman" w:cs="Times New Roman"/>
        </w:rPr>
        <w:t>existing on-street provision</w:t>
      </w:r>
      <w:r w:rsidR="00B0051C" w:rsidRPr="00A0429A">
        <w:rPr>
          <w:rFonts w:ascii="Times New Roman" w:hAnsi="Times New Roman" w:cs="Times New Roman"/>
        </w:rPr>
        <w:t>，</w:t>
      </w:r>
      <w:r w:rsidRPr="00A0429A">
        <w:rPr>
          <w:rFonts w:ascii="Times New Roman" w:hAnsi="Times New Roman" w:cs="Times New Roman" w:hint="eastAsia"/>
        </w:rPr>
        <w:t>the</w:t>
      </w:r>
      <w:r w:rsidRPr="00A0429A">
        <w:rPr>
          <w:rFonts w:ascii="Times New Roman" w:hAnsi="Times New Roman" w:cs="Times New Roman"/>
        </w:rPr>
        <w:t xml:space="preserve"> value of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00B0051C" w:rsidRPr="00A0429A">
        <w:rPr>
          <w:rFonts w:ascii="Times New Roman" w:hAnsi="Times New Roman" w:cs="Times New Roman" w:hint="eastAsia"/>
        </w:rPr>
        <w:t xml:space="preserve"> </w:t>
      </w:r>
      <w:r w:rsidRPr="00A0429A">
        <w:rPr>
          <w:rFonts w:ascii="Times New Roman" w:hAnsi="Times New Roman" w:cs="Times New Roman"/>
        </w:rPr>
        <w:t>is set to</w:t>
      </w:r>
      <w:r w:rsidR="00B0051C" w:rsidRPr="00A0429A">
        <w:rPr>
          <w:rFonts w:ascii="Times New Roman" w:hAnsi="Times New Roman" w:cs="Times New Roman"/>
        </w:rPr>
        <w:t xml:space="preserve"> 1</w:t>
      </w:r>
      <w:r w:rsidRPr="00A0429A">
        <w:rPr>
          <w:rFonts w:ascii="Times New Roman" w:hAnsi="Times New Roman" w:cs="Times New Roman"/>
        </w:rPr>
        <w:t xml:space="preserve"> as</w:t>
      </w:r>
      <w:r w:rsidR="00B0051C" w:rsidRPr="00A0429A">
        <w:rPr>
          <w:rFonts w:ascii="Times New Roman" w:hAnsi="Times New Roman" w:cs="Times New Roman"/>
        </w:rPr>
        <w:t xml:space="preserve"> neutral adjustment</w:t>
      </w:r>
      <w:r w:rsidRPr="00A0429A">
        <w:rPr>
          <w:rFonts w:ascii="Times New Roman" w:hAnsi="Times New Roman" w:cs="Times New Roman"/>
        </w:rPr>
        <w:t xml:space="preserve">. </w:t>
      </w:r>
      <w:r w:rsidRPr="00A0429A">
        <w:rPr>
          <w:rFonts w:ascii="Times New Roman" w:hAnsi="Times New Roman" w:cs="Times New Roman" w:hint="eastAsia"/>
        </w:rPr>
        <w:t xml:space="preserve">This approach </w:t>
      </w:r>
      <w:r w:rsidRPr="00A0429A">
        <w:rPr>
          <w:rFonts w:ascii="Times New Roman" w:hAnsi="Times New Roman" w:cs="Times New Roman"/>
        </w:rPr>
        <w:t xml:space="preserve">avoids incorrectly interpreting “no </w:t>
      </w:r>
      <w:r w:rsidRPr="00A0429A">
        <w:rPr>
          <w:rFonts w:ascii="Times New Roman" w:hAnsi="Times New Roman" w:cs="Times New Roman" w:hint="eastAsia"/>
        </w:rPr>
        <w:t>EVSE</w:t>
      </w:r>
      <w:r w:rsidRPr="00A0429A">
        <w:rPr>
          <w:rFonts w:ascii="Times New Roman" w:hAnsi="Times New Roman" w:cs="Times New Roman"/>
        </w:rPr>
        <w:t xml:space="preserve"> available for observation” as “zero </w:t>
      </w:r>
      <w:proofErr w:type="spellStart"/>
      <w:r w:rsidRPr="00A0429A">
        <w:rPr>
          <w:rFonts w:ascii="Times New Roman" w:hAnsi="Times New Roman" w:cs="Times New Roman"/>
        </w:rPr>
        <w:t>utilisation</w:t>
      </w:r>
      <w:proofErr w:type="spellEnd"/>
      <w:r w:rsidRPr="00A0429A">
        <w:rPr>
          <w:rFonts w:ascii="Times New Roman" w:hAnsi="Times New Roman" w:cs="Times New Roman"/>
        </w:rPr>
        <w:t>”.</w:t>
      </w:r>
    </w:p>
    <w:p w14:paraId="222A4930" w14:textId="77777777" w:rsidR="00B0051C" w:rsidRDefault="00B0051C" w:rsidP="00FB4A28">
      <w:pPr>
        <w:pStyle w:val="p2"/>
      </w:pPr>
    </w:p>
    <w:p w14:paraId="7561397F" w14:textId="7779642D" w:rsidR="00B15BC3" w:rsidRPr="008358AA" w:rsidRDefault="00B15BC3" w:rsidP="00B15BC3">
      <w:pPr>
        <w:rPr>
          <w:rFonts w:ascii="Times New Roman" w:hAnsi="Times New Roman" w:cs="Times New Roman"/>
        </w:rPr>
      </w:pPr>
      <w:r w:rsidRPr="008358AA">
        <w:rPr>
          <w:rFonts w:ascii="Times New Roman" w:hAnsi="Times New Roman" w:cs="Times New Roman"/>
        </w:rPr>
        <w:t>3.3.</w:t>
      </w:r>
      <w:r w:rsidR="00271B89" w:rsidRPr="008358AA">
        <w:rPr>
          <w:rFonts w:ascii="Times New Roman" w:hAnsi="Times New Roman" w:cs="Times New Roman"/>
        </w:rPr>
        <w:t>2</w:t>
      </w:r>
      <w:r w:rsidRPr="008358AA">
        <w:rPr>
          <w:rFonts w:ascii="Times New Roman" w:hAnsi="Times New Roman" w:cs="Times New Roman"/>
        </w:rPr>
        <w:t xml:space="preserve"> Phase </w:t>
      </w:r>
      <w:r w:rsidR="00073FB2" w:rsidRPr="008358AA">
        <w:rPr>
          <w:rFonts w:ascii="Times New Roman" w:hAnsi="Times New Roman" w:cs="Times New Roman" w:hint="eastAsia"/>
        </w:rPr>
        <w:t xml:space="preserve">2 </w:t>
      </w:r>
      <w:r w:rsidRPr="008358AA">
        <w:rPr>
          <w:rFonts w:ascii="Times New Roman" w:hAnsi="Times New Roman" w:cs="Times New Roman"/>
        </w:rPr>
        <w:t>Demand Estimation</w:t>
      </w:r>
      <w:r w:rsidR="00073FB2" w:rsidRPr="008358AA">
        <w:rPr>
          <w:rFonts w:ascii="Times New Roman" w:hAnsi="Times New Roman" w:cs="Times New Roman" w:hint="eastAsia"/>
        </w:rPr>
        <w:t xml:space="preserve"> and</w:t>
      </w:r>
      <w:r w:rsidR="00073FB2" w:rsidRPr="008358AA">
        <w:rPr>
          <w:rFonts w:ascii="Times New Roman" w:hAnsi="Times New Roman" w:cs="Times New Roman"/>
        </w:rPr>
        <w:t xml:space="preserve"> Spatial Mismatch</w:t>
      </w:r>
    </w:p>
    <w:p w14:paraId="2DA40801" w14:textId="2A2227D0" w:rsidR="008358AA" w:rsidRPr="008358AA" w:rsidRDefault="008358AA" w:rsidP="008358AA">
      <w:pPr>
        <w:jc w:val="both"/>
        <w:rPr>
          <w:rFonts w:ascii="Times New Roman" w:hAnsi="Times New Roman" w:cs="Times New Roman"/>
        </w:rPr>
      </w:pPr>
      <w:r w:rsidRPr="008358AA">
        <w:rPr>
          <w:rFonts w:ascii="Times New Roman" w:hAnsi="Times New Roman" w:cs="Times New Roman"/>
        </w:rPr>
        <w:t xml:space="preserve">Spatial optimisation requires the relative distribution of charging demand across Greater London to be identified. This study constructed a relative equity-adjusted public-charging demand weight for each LSOA. Its main purpose was to establish relative demand weights across LSOAs and provide the demand input for the subsequent location–allocation model. The demand measure was constructed in four stages: household vehicle stock, public-charging </w:t>
      </w:r>
      <w:proofErr w:type="spellStart"/>
      <w:r w:rsidRPr="008358AA">
        <w:rPr>
          <w:rFonts w:ascii="Times New Roman" w:hAnsi="Times New Roman" w:cs="Times New Roman"/>
        </w:rPr>
        <w:t>behaviour</w:t>
      </w:r>
      <w:proofErr w:type="spellEnd"/>
      <w:r w:rsidRPr="008358AA">
        <w:rPr>
          <w:rFonts w:ascii="Times New Roman" w:hAnsi="Times New Roman" w:cs="Times New Roman"/>
        </w:rPr>
        <w:t xml:space="preserve"> parameters, existing </w:t>
      </w:r>
      <w:r w:rsidR="0020364E">
        <w:rPr>
          <w:rFonts w:ascii="Times New Roman" w:hAnsi="Times New Roman" w:cs="Times New Roman" w:hint="eastAsia"/>
        </w:rPr>
        <w:t>provision</w:t>
      </w:r>
      <w:r w:rsidRPr="008358AA">
        <w:rPr>
          <w:rFonts w:ascii="Times New Roman" w:hAnsi="Times New Roman" w:cs="Times New Roman"/>
        </w:rPr>
        <w:t xml:space="preserve"> </w:t>
      </w:r>
      <w:proofErr w:type="spellStart"/>
      <w:r w:rsidRPr="008358AA">
        <w:rPr>
          <w:rFonts w:ascii="Times New Roman" w:hAnsi="Times New Roman" w:cs="Times New Roman"/>
        </w:rPr>
        <w:t>utilisation</w:t>
      </w:r>
      <w:proofErr w:type="spellEnd"/>
      <w:r w:rsidRPr="008358AA">
        <w:rPr>
          <w:rFonts w:ascii="Times New Roman" w:hAnsi="Times New Roman" w:cs="Times New Roman"/>
        </w:rPr>
        <w:t xml:space="preserve"> and income-deprivation weighting.</w:t>
      </w:r>
    </w:p>
    <w:p w14:paraId="632102E1" w14:textId="77777777" w:rsidR="0020364E" w:rsidRDefault="0020364E" w:rsidP="006D0573">
      <w:pPr>
        <w:pStyle w:val="p2"/>
      </w:pPr>
    </w:p>
    <w:p w14:paraId="2D9624C5" w14:textId="6D2EC7BC" w:rsidR="006D0573" w:rsidRPr="0020364E" w:rsidRDefault="0020364E" w:rsidP="006D0573">
      <w:pPr>
        <w:pStyle w:val="p2"/>
        <w:rPr>
          <w:color w:val="auto"/>
          <w:sz w:val="24"/>
          <w:szCs w:val="24"/>
        </w:rPr>
      </w:pPr>
      <w:r w:rsidRPr="0020364E">
        <w:rPr>
          <w:rFonts w:hint="eastAsia"/>
          <w:color w:val="auto"/>
          <w:sz w:val="24"/>
          <w:szCs w:val="24"/>
        </w:rPr>
        <w:t>The o</w:t>
      </w:r>
      <w:r w:rsidR="006D0573" w:rsidRPr="0020364E">
        <w:rPr>
          <w:color w:val="auto"/>
          <w:sz w:val="24"/>
          <w:szCs w:val="24"/>
        </w:rPr>
        <w:t>verall structure</w:t>
      </w:r>
      <w:r w:rsidRPr="0020364E">
        <w:rPr>
          <w:color w:val="auto"/>
          <w:sz w:val="24"/>
          <w:szCs w:val="24"/>
        </w:rPr>
        <w:t xml:space="preserve"> is:</w:t>
      </w:r>
    </w:p>
    <w:p w14:paraId="740D6F82" w14:textId="77777777" w:rsidR="006D0573" w:rsidRPr="0020364E" w:rsidRDefault="00000000" w:rsidP="006D0573">
      <w:pPr>
        <w:pStyle w:val="p2"/>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m:t>
              </m:r>
            </m:sub>
          </m:sSub>
          <m:d>
            <m:dPr>
              <m:ctrlPr>
                <w:rPr>
                  <w:rFonts w:ascii="Cambria Math" w:hAnsi="Cambria Math"/>
                  <w:color w:val="auto"/>
                  <w:sz w:val="24"/>
                  <w:szCs w:val="24"/>
                </w:rPr>
              </m:ctrlPr>
            </m:dPr>
            <m:e>
              <m:r>
                <w:rPr>
                  <w:rFonts w:ascii="Cambria Math" w:hAnsi="Cambria Math"/>
                  <w:color w:val="auto"/>
                  <w:sz w:val="24"/>
                  <w:szCs w:val="24"/>
                </w:rPr>
                <m:t>α</m:t>
              </m:r>
            </m:e>
          </m:d>
          <m:r>
            <m:rPr>
              <m:sty m:val="p"/>
            </m:rPr>
            <w:rPr>
              <w:rFonts w:ascii="Cambria Math" w:hAnsi="Cambria Math"/>
              <w:color w:val="auto"/>
              <w:sz w:val="24"/>
              <w:szCs w:val="24"/>
            </w:rPr>
            <m:t>=</m:t>
          </m:r>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H</m:t>
                  </m:r>
                </m:e>
                <m:sub>
                  <m:r>
                    <w:rPr>
                      <w:rFonts w:ascii="Cambria Math" w:hAnsi="Cambria Math"/>
                      <w:color w:val="auto"/>
                      <w:sz w:val="24"/>
                      <w:szCs w:val="24"/>
                    </w:rPr>
                    <m:t>i</m:t>
                  </m:r>
                </m:sub>
              </m:sSub>
              <m:sSub>
                <m:sSubPr>
                  <m:ctrlPr>
                    <w:rPr>
                      <w:rFonts w:ascii="Cambria Math" w:hAnsi="Cambria Math"/>
                      <w:color w:val="auto"/>
                      <w:sz w:val="24"/>
                      <w:szCs w:val="24"/>
                    </w:rPr>
                  </m:ctrlPr>
                </m:sSubPr>
                <m:e>
                  <m:r>
                    <w:rPr>
                      <w:rFonts w:ascii="Cambria Math" w:hAnsi="Cambria Math"/>
                      <w:color w:val="auto"/>
                      <w:sz w:val="24"/>
                      <w:szCs w:val="24"/>
                    </w:rPr>
                    <m:t>C</m:t>
                  </m:r>
                </m:e>
                <m:sub>
                  <m:r>
                    <w:rPr>
                      <w:rFonts w:ascii="Cambria Math" w:hAnsi="Cambria Math"/>
                      <w:color w:val="auto"/>
                      <w:sz w:val="24"/>
                      <w:szCs w:val="24"/>
                    </w:rPr>
                    <m:t>i</m:t>
                  </m:r>
                </m:sub>
              </m:sSub>
            </m:e>
          </m:d>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d</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pub</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U</m:t>
              </m:r>
            </m:e>
            <m:sub>
              <m:r>
                <w:rPr>
                  <w:rFonts w:ascii="Cambria Math" w:hAnsi="Cambria Math"/>
                  <w:color w:val="auto"/>
                  <w:sz w:val="24"/>
                  <w:szCs w:val="24"/>
                </w:rPr>
                <m:t>i</m:t>
              </m:r>
            </m:sub>
          </m:sSub>
          <m:r>
            <m:rPr>
              <m:sty m:val="p"/>
            </m:rPr>
            <w:rPr>
              <w:rFonts w:ascii="Cambria Math" w:hAnsi="Cambria Math"/>
              <w:color w:val="auto"/>
              <w:sz w:val="24"/>
              <w:szCs w:val="24"/>
            </w:rPr>
            <m:t>×</m:t>
          </m:r>
          <m:d>
            <m:dPr>
              <m:ctrlPr>
                <w:rPr>
                  <w:rFonts w:ascii="Cambria Math" w:hAnsi="Cambria Math"/>
                  <w:color w:val="auto"/>
                  <w:sz w:val="24"/>
                  <w:szCs w:val="24"/>
                </w:rPr>
              </m:ctrlPr>
            </m:dPr>
            <m:e>
              <m:r>
                <m:rPr>
                  <m:sty m:val="p"/>
                </m:rPr>
                <w:rPr>
                  <w:rFonts w:ascii="Cambria Math" w:hAnsi="Cambria Math"/>
                  <w:color w:val="auto"/>
                  <w:sz w:val="24"/>
                  <w:szCs w:val="24"/>
                </w:rPr>
                <m:t>1+</m:t>
              </m:r>
              <m:r>
                <w:rPr>
                  <w:rFonts w:ascii="Cambria Math" w:hAnsi="Cambria Math"/>
                  <w:color w:val="auto"/>
                  <w:sz w:val="24"/>
                  <w:szCs w:val="24"/>
                </w:rPr>
                <m:t>α</m:t>
              </m:r>
              <m:r>
                <m:rPr>
                  <m:sty m:val="p"/>
                </m:rPr>
                <w:rPr>
                  <w:rFonts w:ascii="Cambria Math" w:hAnsi="Cambria Math"/>
                  <w:color w:val="auto"/>
                  <w:sz w:val="24"/>
                  <w:szCs w:val="24"/>
                </w:rPr>
                <m:t>⋅</m:t>
              </m:r>
              <m:r>
                <w:rPr>
                  <w:rFonts w:ascii="Cambria Math" w:hAnsi="Cambria Math"/>
                  <w:color w:val="auto"/>
                  <w:sz w:val="24"/>
                  <w:szCs w:val="24"/>
                </w:rPr>
                <m:t>IM</m:t>
              </m:r>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m:t>
                  </m:r>
                </m:sub>
              </m:sSub>
            </m:e>
          </m:d>
        </m:oMath>
      </m:oMathPara>
    </w:p>
    <w:p w14:paraId="427BB52E" w14:textId="77777777" w:rsidR="006D0573" w:rsidRPr="0020364E" w:rsidRDefault="006D0573" w:rsidP="006D0573">
      <w:pPr>
        <w:pStyle w:val="p2"/>
        <w:rPr>
          <w:color w:val="auto"/>
          <w:sz w:val="24"/>
          <w:szCs w:val="24"/>
        </w:rPr>
      </w:pPr>
      <w:r w:rsidRPr="0020364E">
        <w:rPr>
          <w:color w:val="auto"/>
          <w:sz w:val="24"/>
          <w:szCs w:val="24"/>
        </w:rPr>
        <w:t>where </w:t>
      </w: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m:t>
            </m:r>
          </m:sub>
        </m:sSub>
        <m:d>
          <m:dPr>
            <m:ctrlPr>
              <w:rPr>
                <w:rFonts w:ascii="Cambria Math" w:hAnsi="Cambria Math"/>
                <w:color w:val="auto"/>
                <w:sz w:val="24"/>
                <w:szCs w:val="24"/>
              </w:rPr>
            </m:ctrlPr>
          </m:dPr>
          <m:e>
            <m:r>
              <w:rPr>
                <w:rFonts w:ascii="Cambria Math" w:hAnsi="Cambria Math"/>
                <w:color w:val="auto"/>
                <w:sz w:val="24"/>
                <w:szCs w:val="24"/>
              </w:rPr>
              <m:t>α</m:t>
            </m:r>
          </m:e>
        </m:d>
      </m:oMath>
      <w:r w:rsidRPr="0020364E">
        <w:rPr>
          <w:color w:val="auto"/>
          <w:sz w:val="24"/>
          <w:szCs w:val="24"/>
        </w:rPr>
        <w:t> is the equity-adjusted public-charging demand weight for LSOA </w:t>
      </w:r>
      <m:oMath>
        <m:r>
          <w:rPr>
            <w:rFonts w:ascii="Cambria Math" w:hAnsi="Cambria Math"/>
            <w:color w:val="auto"/>
            <w:sz w:val="24"/>
            <w:szCs w:val="24"/>
          </w:rPr>
          <m:t>i</m:t>
        </m:r>
      </m:oMath>
      <w:r w:rsidRPr="0020364E">
        <w:rPr>
          <w:color w:val="auto"/>
          <w:sz w:val="24"/>
          <w:szCs w:val="24"/>
        </w:rPr>
        <w:t xml:space="preserve">. </w:t>
      </w:r>
    </w:p>
    <w:p w14:paraId="0A609A43" w14:textId="77777777" w:rsidR="00807F25" w:rsidRDefault="00807F25" w:rsidP="00B15BC3">
      <w:pPr>
        <w:rPr>
          <w:rFonts w:ascii="Times New Roman" w:hAnsi="Times New Roman" w:cs="Times New Roman"/>
          <w:color w:val="000000"/>
          <w:sz w:val="17"/>
          <w:szCs w:val="17"/>
        </w:rPr>
      </w:pPr>
    </w:p>
    <w:p w14:paraId="01F49692" w14:textId="53919315" w:rsidR="00825594" w:rsidRPr="00825594" w:rsidRDefault="00825594" w:rsidP="00825594">
      <w:pPr>
        <w:jc w:val="both"/>
        <w:rPr>
          <w:rFonts w:ascii="Times New Roman" w:hAnsi="Times New Roman" w:cs="Times New Roman"/>
        </w:rPr>
      </w:pPr>
      <w:r w:rsidRPr="00825594">
        <w:rPr>
          <w:rFonts w:ascii="Times New Roman" w:hAnsi="Times New Roman" w:cs="Times New Roman"/>
        </w:rPr>
        <w:t xml:space="preserve">As data </w:t>
      </w:r>
      <w:r w:rsidR="00E93E5B">
        <w:rPr>
          <w:rFonts w:ascii="Times New Roman" w:hAnsi="Times New Roman" w:cs="Times New Roman"/>
        </w:rPr>
        <w:t xml:space="preserve">of </w:t>
      </w:r>
      <w:r w:rsidRPr="00825594">
        <w:rPr>
          <w:rFonts w:ascii="Times New Roman" w:hAnsi="Times New Roman" w:cs="Times New Roman"/>
        </w:rPr>
        <w:t>EV ownership at the LSOA level</w:t>
      </w:r>
      <w:r w:rsidRPr="00825594">
        <w:rPr>
          <w:rFonts w:ascii="Times New Roman" w:hAnsi="Times New Roman" w:cs="Times New Roman"/>
        </w:rPr>
        <w:t xml:space="preserve"> </w:t>
      </w:r>
      <w:r w:rsidRPr="00825594">
        <w:rPr>
          <w:rFonts w:ascii="Times New Roman" w:hAnsi="Times New Roman" w:cs="Times New Roman"/>
        </w:rPr>
        <w:t xml:space="preserve">were unavailable, this study used household vehicle stock to represent the spatial base that may generate future public-charging demand. Census 2021 TS045 provides the number of households in each LSOA with no cars or vans, one, two, or three or more. The “three or more” category was treated as three vehicles, providing a conservative estimate for this group. The average number of vehicles per household,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825594">
        <w:rPr>
          <w:rFonts w:ascii="Times New Roman" w:hAnsi="Times New Roman" w:cs="Times New Roman"/>
        </w:rPr>
        <w:t xml:space="preserve">, was calculated from these categories and multiplied by the total number of households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825594">
        <w:rPr>
          <w:rFonts w:ascii="Times New Roman" w:hAnsi="Times New Roman" w:cs="Times New Roman"/>
        </w:rPr>
        <w:t xml:space="preserve">, in each LSOA. Household vehicle ownership was selected because vehicle availability is </w:t>
      </w:r>
      <w:r w:rsidR="00E93E5B">
        <w:rPr>
          <w:rFonts w:ascii="Times New Roman" w:hAnsi="Times New Roman" w:cs="Times New Roman"/>
        </w:rPr>
        <w:t xml:space="preserve">usually </w:t>
      </w:r>
      <w:r w:rsidRPr="00825594">
        <w:rPr>
          <w:rFonts w:ascii="Times New Roman" w:hAnsi="Times New Roman" w:cs="Times New Roman"/>
        </w:rPr>
        <w:t xml:space="preserve">measured at the household level </w:t>
      </w:r>
      <w:r w:rsidRPr="00825594">
        <w:rPr>
          <w:rFonts w:ascii="Times New Roman" w:hAnsi="Times New Roman" w:cs="Times New Roman"/>
        </w:rPr>
        <w:t>(</w:t>
      </w:r>
      <w:r w:rsidRPr="00825594">
        <w:rPr>
          <w:rFonts w:ascii="Times New Roman" w:hAnsi="Times New Roman" w:cs="Times New Roman"/>
        </w:rPr>
        <w:t>JONG, G. D. et al.</w:t>
      </w:r>
      <w:r w:rsidRPr="00825594">
        <w:rPr>
          <w:rFonts w:ascii="Times New Roman" w:hAnsi="Times New Roman" w:cs="Times New Roman"/>
        </w:rPr>
        <w:t xml:space="preserve">, </w:t>
      </w:r>
      <w:r w:rsidRPr="00825594">
        <w:rPr>
          <w:rFonts w:ascii="Times New Roman" w:hAnsi="Times New Roman" w:cs="Times New Roman"/>
        </w:rPr>
        <w:t>2004). Using total population instead would not distinguish between households with and without vehicles, thereby systematically diluting the estimated demand.</w:t>
      </w:r>
    </w:p>
    <w:p w14:paraId="059C464F" w14:textId="77777777" w:rsidR="00825594" w:rsidRPr="00825594" w:rsidRDefault="00825594" w:rsidP="00B15BC3">
      <w:pPr>
        <w:rPr>
          <w:rFonts w:ascii="Times New Roman" w:hAnsi="Times New Roman" w:cs="Times New Roman" w:hint="eastAsia"/>
          <w:color w:val="000000"/>
          <w:sz w:val="17"/>
          <w:szCs w:val="17"/>
        </w:rPr>
      </w:pPr>
    </w:p>
    <w:p w14:paraId="66E3C1BB" w14:textId="77777777" w:rsidR="009627B3" w:rsidRPr="009627B3" w:rsidRDefault="009627B3" w:rsidP="00B15BC3">
      <w:pPr>
        <w:rPr>
          <w:rFonts w:ascii="Times New Roman" w:hAnsi="Times New Roman" w:cs="Times New Roman"/>
          <w:color w:val="000000"/>
          <w:sz w:val="17"/>
          <w:szCs w:val="17"/>
        </w:rPr>
      </w:pPr>
    </w:p>
    <w:p w14:paraId="337104E1" w14:textId="7A229087" w:rsidR="00C7008F" w:rsidRPr="00F95460" w:rsidRDefault="00C7008F" w:rsidP="00F95460">
      <w:pPr>
        <w:jc w:val="both"/>
        <w:rPr>
          <w:rFonts w:ascii="Times New Roman" w:hAnsi="Times New Roman" w:cs="Times New Roman"/>
        </w:rPr>
      </w:pPr>
      <w:r w:rsidRPr="00F95460">
        <w:rPr>
          <w:rFonts w:ascii="Times New Roman" w:hAnsi="Times New Roman" w:cs="Times New Roman"/>
        </w:rPr>
        <w:lastRenderedPageBreak/>
        <w:t xml:space="preserve">Not </w:t>
      </w:r>
      <w:r w:rsidRPr="00F95460">
        <w:rPr>
          <w:rFonts w:ascii="Times New Roman" w:hAnsi="Times New Roman" w:cs="Times New Roman"/>
        </w:rPr>
        <w:t>every vehicle needs to be charged every day. This study therefore introduced two charging-</w:t>
      </w:r>
      <w:proofErr w:type="spellStart"/>
      <w:r w:rsidRPr="00F95460">
        <w:rPr>
          <w:rFonts w:ascii="Times New Roman" w:hAnsi="Times New Roman" w:cs="Times New Roman"/>
        </w:rPr>
        <w:t>behaviour</w:t>
      </w:r>
      <w:proofErr w:type="spellEnd"/>
      <w:r w:rsidRPr="00F95460">
        <w:rPr>
          <w:rFonts w:ascii="Times New Roman" w:hAnsi="Times New Roman" w:cs="Times New Roman"/>
        </w:rPr>
        <w:t xml:space="preserve"> parameters to convert vehicle stock into daily public-charging demand. The </w:t>
      </w:r>
      <w:r w:rsidR="0007701F" w:rsidRPr="00F95460">
        <w:rPr>
          <w:rFonts w:ascii="Times New Roman" w:hAnsi="Times New Roman" w:cs="Times New Roman"/>
        </w:rPr>
        <w:t>Department for Transport</w:t>
      </w:r>
      <w:r w:rsidR="0007701F" w:rsidRPr="00F95460">
        <w:rPr>
          <w:rFonts w:ascii="Times New Roman" w:hAnsi="Times New Roman" w:cs="Times New Roman"/>
        </w:rPr>
        <w:t xml:space="preserve"> (</w:t>
      </w:r>
      <w:proofErr w:type="spellStart"/>
      <w:r w:rsidRPr="00F95460">
        <w:rPr>
          <w:rFonts w:ascii="Times New Roman" w:hAnsi="Times New Roman" w:cs="Times New Roman"/>
        </w:rPr>
        <w:t>DfT</w:t>
      </w:r>
      <w:proofErr w:type="spellEnd"/>
      <w:r w:rsidR="0007701F" w:rsidRPr="00F95460">
        <w:rPr>
          <w:rFonts w:ascii="Times New Roman" w:hAnsi="Times New Roman" w:cs="Times New Roman"/>
        </w:rPr>
        <w:t>)</w:t>
      </w:r>
      <w:r w:rsidRPr="00F95460">
        <w:rPr>
          <w:rFonts w:ascii="Times New Roman" w:hAnsi="Times New Roman" w:cs="Times New Roman"/>
        </w:rPr>
        <w:t xml:space="preserve"> EV Driver Tracker Year 1 reported that</w:t>
      </w:r>
      <w:r w:rsidR="0007701F" w:rsidRPr="00F95460">
        <w:rPr>
          <w:rFonts w:ascii="Times New Roman" w:hAnsi="Times New Roman" w:cs="Times New Roman"/>
        </w:rPr>
        <w:t xml:space="preserve"> </w:t>
      </w:r>
      <w:r w:rsidR="0007701F" w:rsidRPr="00F95460">
        <w:rPr>
          <w:rFonts w:ascii="Times New Roman" w:hAnsi="Times New Roman" w:cs="Times New Roman"/>
        </w:rPr>
        <w:t xml:space="preserve">Battery </w:t>
      </w:r>
      <w:r w:rsidR="0007701F" w:rsidRPr="00F95460">
        <w:rPr>
          <w:rFonts w:ascii="Times New Roman" w:hAnsi="Times New Roman" w:cs="Times New Roman"/>
        </w:rPr>
        <w:t>E</w:t>
      </w:r>
      <w:r w:rsidR="0007701F" w:rsidRPr="00F95460">
        <w:rPr>
          <w:rFonts w:ascii="Times New Roman" w:hAnsi="Times New Roman" w:cs="Times New Roman"/>
        </w:rPr>
        <w:t xml:space="preserve">lectric </w:t>
      </w:r>
      <w:r w:rsidR="0007701F" w:rsidRPr="00F95460">
        <w:rPr>
          <w:rFonts w:ascii="Times New Roman" w:hAnsi="Times New Roman" w:cs="Times New Roman"/>
        </w:rPr>
        <w:t>V</w:t>
      </w:r>
      <w:r w:rsidR="0007701F" w:rsidRPr="00F95460">
        <w:rPr>
          <w:rFonts w:ascii="Times New Roman" w:hAnsi="Times New Roman" w:cs="Times New Roman"/>
        </w:rPr>
        <w:t>ehicle</w:t>
      </w:r>
      <w:r w:rsidR="0007701F" w:rsidRPr="00F95460">
        <w:rPr>
          <w:rFonts w:ascii="Times New Roman" w:hAnsi="Times New Roman" w:cs="Times New Roman"/>
        </w:rPr>
        <w:t xml:space="preserve"> (</w:t>
      </w:r>
      <w:r w:rsidRPr="00F95460">
        <w:rPr>
          <w:rFonts w:ascii="Times New Roman" w:hAnsi="Times New Roman" w:cs="Times New Roman"/>
        </w:rPr>
        <w:t>BEV</w:t>
      </w:r>
      <w:r w:rsidR="0007701F" w:rsidRPr="00F95460">
        <w:rPr>
          <w:rFonts w:ascii="Times New Roman" w:hAnsi="Times New Roman" w:cs="Times New Roman"/>
        </w:rPr>
        <w:t>)</w:t>
      </w:r>
      <w:r w:rsidRPr="00F95460">
        <w:rPr>
          <w:rFonts w:ascii="Times New Roman" w:hAnsi="Times New Roman" w:cs="Times New Roman"/>
        </w:rPr>
        <w:t xml:space="preserve"> drivers charged an average of 4.3 times over a two-week period, including 2.6 home-charging events and 1.8 public-charging events. Based on these,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oMath>
      <w:r w:rsidR="00D17CAC" w:rsidRPr="00F95460">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pub</m:t>
            </m:r>
          </m:sub>
        </m:sSub>
      </m:oMath>
      <w:r w:rsidRPr="00F95460">
        <w:rPr>
          <w:rFonts w:ascii="Times New Roman" w:hAnsi="Times New Roman" w:cs="Times New Roman"/>
        </w:rPr>
        <w:t xml:space="preserve"> were calculated as follows:</w:t>
      </w:r>
    </w:p>
    <w:p w14:paraId="4097BE1F" w14:textId="58276807" w:rsidR="00F95460" w:rsidRPr="00F95460" w:rsidRDefault="009463F0" w:rsidP="00260CA4">
      <w:pPr>
        <w:pStyle w:val="p2"/>
        <w:jc w:val="both"/>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d</m:t>
              </m:r>
            </m:sub>
          </m:sSub>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4.3 times</m:t>
              </m:r>
            </m:num>
            <m:den>
              <m:r>
                <m:rPr>
                  <m:sty m:val="p"/>
                </m:rPr>
                <w:rPr>
                  <w:rFonts w:ascii="Cambria Math" w:hAnsi="Cambria Math"/>
                  <w:color w:val="auto"/>
                  <w:sz w:val="24"/>
                  <w:szCs w:val="24"/>
                </w:rPr>
                <m:t>14days</m:t>
              </m:r>
            </m:den>
          </m:f>
          <m:r>
            <m:rPr>
              <m:sty m:val="p"/>
            </m:rPr>
            <w:rPr>
              <w:rFonts w:ascii="Cambria Math" w:hAnsi="Cambria Math"/>
              <w:color w:val="auto"/>
              <w:sz w:val="24"/>
              <w:szCs w:val="24"/>
            </w:rPr>
            <m:t>≈0.31</m:t>
          </m:r>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pub</m:t>
              </m:r>
            </m:sub>
          </m:sSub>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1.8 times</m:t>
              </m:r>
            </m:num>
            <m:den>
              <m:r>
                <m:rPr>
                  <m:sty m:val="p"/>
                </m:rPr>
                <w:rPr>
                  <w:rFonts w:ascii="Cambria Math" w:hAnsi="Cambria Math"/>
                  <w:color w:val="auto"/>
                  <w:sz w:val="24"/>
                  <w:szCs w:val="24"/>
                </w:rPr>
                <m:t>1.8 times+2.6 times</m:t>
              </m:r>
            </m:den>
          </m:f>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1.8 times</m:t>
              </m:r>
            </m:num>
            <m:den>
              <m:r>
                <m:rPr>
                  <m:sty m:val="p"/>
                </m:rPr>
                <w:rPr>
                  <w:rFonts w:ascii="Cambria Math" w:hAnsi="Cambria Math"/>
                  <w:color w:val="auto"/>
                  <w:sz w:val="24"/>
                  <w:szCs w:val="24"/>
                </w:rPr>
                <m:t>4.4 times</m:t>
              </m:r>
            </m:den>
          </m:f>
          <m:r>
            <m:rPr>
              <m:sty m:val="p"/>
            </m:rPr>
            <w:rPr>
              <w:rFonts w:ascii="Cambria Math" w:hAnsi="Cambria Math"/>
              <w:color w:val="auto"/>
              <w:sz w:val="24"/>
              <w:szCs w:val="24"/>
            </w:rPr>
            <m:t>≈0.4</m:t>
          </m:r>
          <m:r>
            <m:rPr>
              <m:sty m:val="p"/>
            </m:rPr>
            <w:rPr>
              <w:rFonts w:ascii="Cambria Math" w:hAnsi="Cambria Math"/>
              <w:color w:val="auto"/>
              <w:sz w:val="24"/>
              <w:szCs w:val="24"/>
            </w:rPr>
            <m:t>1</m:t>
          </m:r>
        </m:oMath>
      </m:oMathPara>
    </w:p>
    <w:p w14:paraId="0852A550" w14:textId="125ACDD9" w:rsidR="009463F0" w:rsidRPr="00F95460" w:rsidRDefault="009463F0" w:rsidP="00F95460">
      <w:pPr>
        <w:pStyle w:val="p2"/>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d</m:t>
            </m:r>
          </m:sub>
        </m:sSub>
      </m:oMath>
      <w:r w:rsidRPr="00F95460">
        <w:rPr>
          <w:color w:val="auto"/>
          <w:sz w:val="24"/>
          <w:szCs w:val="24"/>
        </w:rPr>
        <w:t>: probability that a vehicle requires charging on a given day.</w:t>
      </w:r>
    </w:p>
    <w:p w14:paraId="659CADAD" w14:textId="08CFD235" w:rsidR="009463F0" w:rsidRPr="00F95460" w:rsidRDefault="009463F0" w:rsidP="00F95460">
      <w:pPr>
        <w:pStyle w:val="p2"/>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pub</m:t>
            </m:r>
          </m:sub>
        </m:sSub>
      </m:oMath>
      <w:r w:rsidRPr="00F95460">
        <w:rPr>
          <w:color w:val="auto"/>
          <w:sz w:val="24"/>
          <w:szCs w:val="24"/>
        </w:rPr>
        <w:t>: proportion of charging events occurring at public facilities.</w:t>
      </w:r>
    </w:p>
    <w:p w14:paraId="3E38633D" w14:textId="77777777" w:rsidR="00D17CAC" w:rsidRPr="00F95460" w:rsidRDefault="00D17CAC" w:rsidP="00F95460">
      <w:pPr>
        <w:jc w:val="both"/>
        <w:rPr>
          <w:rFonts w:ascii="Times New Roman" w:hAnsi="Times New Roman" w:cs="Times New Roman"/>
        </w:rPr>
      </w:pPr>
    </w:p>
    <w:p w14:paraId="1FF95E61" w14:textId="673BCD8B" w:rsidR="001864A8" w:rsidRPr="00F95460" w:rsidRDefault="001864A8" w:rsidP="00F95460">
      <w:pPr>
        <w:jc w:val="both"/>
        <w:rPr>
          <w:rFonts w:ascii="Times New Roman" w:hAnsi="Times New Roman" w:cs="Times New Roman"/>
        </w:rPr>
      </w:pPr>
      <w:r w:rsidRPr="00F95460">
        <w:rPr>
          <w:rFonts w:ascii="Times New Roman" w:hAnsi="Times New Roman" w:cs="Times New Roman"/>
        </w:rPr>
        <w:t>The report gives an average total of 4.3 charging events over two weeks</w:t>
      </w:r>
      <w:r w:rsidR="005718E0" w:rsidRPr="00F95460">
        <w:rPr>
          <w:rFonts w:ascii="Times New Roman" w:hAnsi="Times New Roman" w:cs="Times New Roman"/>
        </w:rPr>
        <w:t>, but the times</w:t>
      </w:r>
      <w:r w:rsidRPr="00F95460">
        <w:rPr>
          <w:rFonts w:ascii="Times New Roman" w:hAnsi="Times New Roman" w:cs="Times New Roman"/>
        </w:rPr>
        <w:t xml:space="preserve"> for home charging and public charging sum to 4.4. This small difference results from the independent rounding of figures presented in different tables in the original report. As the calculation of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pub</m:t>
            </m:r>
          </m:sub>
        </m:sSub>
      </m:oMath>
      <w:r w:rsidRPr="00F95460">
        <w:rPr>
          <w:rFonts w:ascii="Times New Roman" w:hAnsi="Times New Roman" w:cs="Times New Roman"/>
        </w:rPr>
        <w:t xml:space="preserve"> relies on the breakdown by charging location, this study used the combined total of 4.4 as the common basis for calculating both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oMath>
      <w:r w:rsidRPr="00F95460">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pub</m:t>
            </m:r>
          </m:sub>
        </m:sSub>
      </m:oMath>
      <w:r w:rsidRPr="00F95460">
        <w:rPr>
          <w:rFonts w:ascii="Times New Roman" w:hAnsi="Times New Roman" w:cs="Times New Roman"/>
        </w:rPr>
        <w:t>, ensuring consistency between the two parameters.</w:t>
      </w:r>
      <w:r w:rsidR="003A3D9D">
        <w:rPr>
          <w:rFonts w:ascii="Times New Roman" w:hAnsi="Times New Roman" w:cs="Times New Roman"/>
        </w:rPr>
        <w:t xml:space="preserve"> </w:t>
      </w:r>
      <w:proofErr w:type="gramStart"/>
      <w:r w:rsidRPr="00F95460">
        <w:rPr>
          <w:rFonts w:ascii="Times New Roman" w:hAnsi="Times New Roman" w:cs="Times New Roman"/>
        </w:rPr>
        <w:t>This</w:t>
      </w:r>
      <w:proofErr w:type="gramEnd"/>
      <w:r w:rsidRPr="00F95460">
        <w:rPr>
          <w:rFonts w:ascii="Times New Roman" w:hAnsi="Times New Roman" w:cs="Times New Roman"/>
        </w:rPr>
        <w:t xml:space="preserve"> approach follows the general logic used by He et al. (2022), who converted EV demand into daily public-charging demand using charging frequency and the public-charging share. However, their underlying demand was derived from an EV purchase survey. As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oMath>
      <w:r w:rsidRPr="00F95460">
        <w:rPr>
          <w:rFonts w:ascii="Times New Roman" w:hAnsi="Times New Roman" w:cs="Times New Roman"/>
        </w:rPr>
        <w:t xml:space="preserve"> and</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pub</m:t>
            </m:r>
          </m:sub>
        </m:sSub>
      </m:oMath>
      <w:r w:rsidR="00044205">
        <w:rPr>
          <w:rFonts w:ascii="Times New Roman" w:hAnsi="Times New Roman" w:cs="Times New Roman"/>
        </w:rPr>
        <w:t xml:space="preserve"> </w:t>
      </w:r>
      <w:r w:rsidRPr="00F95460">
        <w:rPr>
          <w:rFonts w:ascii="Times New Roman" w:hAnsi="Times New Roman" w:cs="Times New Roman"/>
        </w:rPr>
        <w:t>take the same values across all LSOAs, they mainly adjust the overall scale of demand and do not change the relative spatial distribution derived from household vehicle stock.</w:t>
      </w:r>
    </w:p>
    <w:p w14:paraId="4EEB0BB3" w14:textId="77777777" w:rsidR="005F64FB" w:rsidRDefault="005F64FB" w:rsidP="00B15BC3">
      <w:pPr>
        <w:rPr>
          <w:rFonts w:ascii="Times New Roman" w:hAnsi="Times New Roman" w:cs="Times New Roman"/>
          <w:color w:val="000000"/>
          <w:sz w:val="17"/>
          <w:szCs w:val="17"/>
        </w:rPr>
      </w:pPr>
    </w:p>
    <w:p w14:paraId="05932A5D" w14:textId="36EB419C" w:rsidR="00BE31B9" w:rsidRPr="00BE31B9" w:rsidRDefault="00F2781C" w:rsidP="00BE31B9">
      <w:pPr>
        <w:jc w:val="both"/>
        <w:rPr>
          <w:rFonts w:ascii="Times New Roman" w:hAnsi="Times New Roman" w:cs="Times New Roman"/>
        </w:rPr>
      </w:pPr>
      <w:proofErr w:type="gramStart"/>
      <w:r w:rsidRPr="00BE31B9">
        <w:rPr>
          <w:rFonts w:ascii="Times New Roman" w:hAnsi="Times New Roman" w:cs="Times New Roman"/>
        </w:rPr>
        <w:t>In order to</w:t>
      </w:r>
      <w:proofErr w:type="gramEnd"/>
      <w:r w:rsidRPr="00BE31B9">
        <w:rPr>
          <w:rFonts w:ascii="Times New Roman" w:hAnsi="Times New Roman" w:cs="Times New Roman"/>
        </w:rPr>
        <w:t xml:space="preserve"> reflect</w:t>
      </w:r>
      <w:r w:rsidR="003806E8" w:rsidRPr="00BE31B9">
        <w:rPr>
          <w:rFonts w:ascii="Times New Roman" w:hAnsi="Times New Roman" w:cs="Times New Roman"/>
        </w:rPr>
        <w:t xml:space="preserve"> pressure already observed within the existing charging network</w:t>
      </w:r>
      <w:r w:rsidRPr="00BE31B9">
        <w:rPr>
          <w:rFonts w:ascii="Times New Roman" w:hAnsi="Times New Roman" w:cs="Times New Roman"/>
        </w:rPr>
        <w:t>,</w:t>
      </w:r>
      <w:r w:rsidR="0059591A" w:rsidRPr="00BE31B9">
        <w:rPr>
          <w:rFonts w:ascii="Times New Roman" w:hAnsi="Times New Roman" w:cs="Times New Roman"/>
        </w:rPr>
        <w: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 xml:space="preserve"> </m:t>
        </m:r>
      </m:oMath>
      <w:r w:rsidRPr="00BE31B9">
        <w:rPr>
          <w:rFonts w:ascii="Times New Roman" w:hAnsi="Times New Roman" w:cs="Times New Roman"/>
        </w:rPr>
        <w:t xml:space="preserve">calculated in </w:t>
      </w:r>
      <w:r w:rsidR="0059591A" w:rsidRPr="00BE31B9">
        <w:rPr>
          <w:rFonts w:ascii="Times New Roman" w:hAnsi="Times New Roman" w:cs="Times New Roman"/>
        </w:rPr>
        <w:t>Section 3.3.</w:t>
      </w:r>
      <w:r w:rsidR="004D1FF6" w:rsidRPr="00BE31B9">
        <w:rPr>
          <w:rFonts w:ascii="Times New Roman" w:hAnsi="Times New Roman" w:cs="Times New Roman" w:hint="eastAsia"/>
        </w:rPr>
        <w:t>1</w:t>
      </w:r>
      <w:r w:rsidR="0059591A" w:rsidRPr="00BE31B9">
        <w:rPr>
          <w:rFonts w:ascii="Times New Roman" w:hAnsi="Times New Roman" w:cs="Times New Roman"/>
        </w:rPr>
        <w:t xml:space="preserve"> </w:t>
      </w:r>
      <w:r w:rsidRPr="00BE31B9">
        <w:rPr>
          <w:rFonts w:ascii="Times New Roman" w:hAnsi="Times New Roman" w:cs="Times New Roman"/>
        </w:rPr>
        <w:t xml:space="preserve">is added into the formula. </w:t>
      </w:r>
      <w:r w:rsidR="00BE31B9" w:rsidRPr="00BE31B9">
        <w:rPr>
          <w:rFonts w:ascii="Times New Roman" w:hAnsi="Times New Roman" w:cs="Times New Roman"/>
        </w:rPr>
        <w:t>A higher</w:t>
      </w:r>
      <w:r w:rsidR="00E24A37">
        <w:rPr>
          <w:rFonts w:ascii="Times New Roman" w:hAnsi="Times New Roman" w:cs="Times New Roman" w:hint="eastAsia"/>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00BE31B9" w:rsidRPr="00BE31B9">
        <w:rPr>
          <w:rFonts w:ascii="Times New Roman" w:hAnsi="Times New Roman" w:cs="Times New Roman"/>
        </w:rPr>
        <w:t xml:space="preserve"> indicates that the existing infrastructure was occupied more frequently during the observation period. The recognised demand for that area was therefore increased accordingly. This approach distinguishes between “</w:t>
      </w:r>
      <w:r w:rsidR="00BE31B9" w:rsidRPr="00BE31B9">
        <w:rPr>
          <w:rFonts w:ascii="Times New Roman" w:hAnsi="Times New Roman" w:cs="Times New Roman" w:hint="eastAsia"/>
        </w:rPr>
        <w:t>EVSE</w:t>
      </w:r>
      <w:r w:rsidR="00BE31B9" w:rsidRPr="00BE31B9">
        <w:rPr>
          <w:rFonts w:ascii="Times New Roman" w:hAnsi="Times New Roman" w:cs="Times New Roman"/>
        </w:rPr>
        <w:t xml:space="preserve"> that exist but were not used” and “no </w:t>
      </w:r>
      <w:r w:rsidR="00BE31B9" w:rsidRPr="00BE31B9">
        <w:rPr>
          <w:rFonts w:ascii="Times New Roman" w:hAnsi="Times New Roman" w:cs="Times New Roman" w:hint="eastAsia"/>
        </w:rPr>
        <w:t>EVSE</w:t>
      </w:r>
      <w:r w:rsidR="00BE31B9" w:rsidRPr="00BE31B9">
        <w:rPr>
          <w:rFonts w:ascii="Times New Roman" w:hAnsi="Times New Roman" w:cs="Times New Roman"/>
        </w:rPr>
        <w:t xml:space="preserve"> available for observation”.</w:t>
      </w:r>
    </w:p>
    <w:p w14:paraId="213DC897" w14:textId="77777777" w:rsidR="0059591A" w:rsidRDefault="0059591A" w:rsidP="00B15BC3">
      <w:pPr>
        <w:rPr>
          <w:rFonts w:ascii="Times New Roman" w:hAnsi="Times New Roman" w:cs="Times New Roman" w:hint="eastAsia"/>
          <w:color w:val="000000"/>
          <w:sz w:val="17"/>
          <w:szCs w:val="17"/>
        </w:rPr>
      </w:pPr>
    </w:p>
    <w:p w14:paraId="11C599DE" w14:textId="1CB8CB0D" w:rsidR="003F5FD5" w:rsidRPr="003F5FD5" w:rsidRDefault="003806E8" w:rsidP="003F5FD5">
      <w:pPr>
        <w:jc w:val="both"/>
        <w:rPr>
          <w:rFonts w:ascii="Times New Roman" w:hAnsi="Times New Roman" w:cs="Times New Roman"/>
        </w:rPr>
      </w:pPr>
      <w:r w:rsidRPr="003F5FD5">
        <w:rPr>
          <w:rFonts w:ascii="Times New Roman" w:hAnsi="Times New Roman" w:cs="Times New Roman"/>
        </w:rPr>
        <w:t xml:space="preserve">The preceding components describe potential demand and </w:t>
      </w:r>
      <w:proofErr w:type="gramStart"/>
      <w:r w:rsidRPr="003F5FD5">
        <w:rPr>
          <w:rFonts w:ascii="Times New Roman" w:hAnsi="Times New Roman" w:cs="Times New Roman"/>
        </w:rPr>
        <w:t>observed</w:t>
      </w:r>
      <w:proofErr w:type="gramEnd"/>
      <w:r w:rsidRPr="003F5FD5">
        <w:rPr>
          <w:rFonts w:ascii="Times New Roman" w:hAnsi="Times New Roman" w:cs="Times New Roman"/>
        </w:rPr>
        <w:t xml:space="preserve"> pressure, but do not yet incorporate the equity objective of this study.</w:t>
      </w:r>
      <w:r w:rsidR="003F5FD5" w:rsidRPr="003F5FD5">
        <w:rPr>
          <w:rFonts w:ascii="Times New Roman" w:hAnsi="Times New Roman" w:cs="Times New Roman" w:hint="eastAsia"/>
        </w:rPr>
        <w:t xml:space="preserve"> </w:t>
      </w:r>
      <w:r w:rsidR="003F5FD5" w:rsidRPr="003F5FD5">
        <w:rPr>
          <w:rFonts w:ascii="Times New Roman" w:hAnsi="Times New Roman" w:cs="Times New Roman"/>
        </w:rPr>
        <w:t>The final step included the IoD2025 Income Domain Score in the demand weight. Let  </w:t>
      </w:r>
      <m:oMath>
        <m:r>
          <w:rPr>
            <w:rFonts w:ascii="Cambria Math" w:hAnsi="Cambria Math" w:cs="Times New Roman"/>
          </w:rPr>
          <m:t>IM</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003F5FD5" w:rsidRPr="003F5FD5">
        <w:rPr>
          <w:rFonts w:ascii="Times New Roman" w:hAnsi="Times New Roman" w:cs="Times New Roman"/>
        </w:rPr>
        <w:t xml:space="preserve"> denote the income-</w:t>
      </w:r>
      <w:r w:rsidR="003F5FD5" w:rsidRPr="003F5FD5">
        <w:rPr>
          <w:rFonts w:ascii="Times New Roman" w:hAnsi="Times New Roman" w:cs="Times New Roman"/>
        </w:rPr>
        <w:lastRenderedPageBreak/>
        <w:t>deprivation score of LSOA  </w:t>
      </w:r>
      <m:oMath>
        <m:r>
          <w:rPr>
            <w:rFonts w:ascii="Cambria Math" w:hAnsi="Cambria Math" w:cs="Times New Roman"/>
          </w:rPr>
          <m:t>i</m:t>
        </m:r>
      </m:oMath>
      <w:r w:rsidR="003F5FD5" w:rsidRPr="003F5FD5">
        <w:rPr>
          <w:rFonts w:ascii="Times New Roman" w:hAnsi="Times New Roman" w:cs="Times New Roman"/>
        </w:rPr>
        <w:t xml:space="preserve">, and let </w:t>
      </w:r>
      <m:oMath>
        <m:r>
          <w:rPr>
            <w:rFonts w:ascii="Cambria Math" w:hAnsi="Cambria Math" w:cs="Times New Roman"/>
          </w:rPr>
          <m:t>α</m:t>
        </m:r>
      </m:oMath>
      <w:r w:rsidR="003F5FD5" w:rsidRPr="003F5FD5">
        <w:rPr>
          <w:rFonts w:ascii="Times New Roman" w:hAnsi="Times New Roman" w:cs="Times New Roman"/>
        </w:rPr>
        <w:t> </w:t>
      </w:r>
      <w:r w:rsidR="003F5FD5" w:rsidRPr="003F5FD5">
        <w:rPr>
          <w:rFonts w:ascii="Times New Roman" w:hAnsi="Times New Roman" w:cs="Times New Roman" w:hint="eastAsia"/>
        </w:rPr>
        <w:t xml:space="preserve"> </w:t>
      </w:r>
      <w:r w:rsidR="003F5FD5" w:rsidRPr="003F5FD5">
        <w:rPr>
          <w:rFonts w:ascii="Times New Roman" w:hAnsi="Times New Roman" w:cs="Times New Roman"/>
        </w:rPr>
        <w:t xml:space="preserve">denote the strength of deprivation weighting. Four scenarios were considered: </w:t>
      </w:r>
      <m:oMath>
        <m:r>
          <w:rPr>
            <w:rFonts w:ascii="Cambria Math" w:hAnsi="Cambria Math" w:cs="Times New Roman"/>
          </w:rPr>
          <m:t>α</m:t>
        </m:r>
      </m:oMath>
      <w:r w:rsidR="003F5FD5" w:rsidRPr="003F5FD5">
        <w:rPr>
          <w:rFonts w:ascii="Times New Roman" w:hAnsi="Times New Roman" w:cs="Times New Roman"/>
        </w:rPr>
        <w:t xml:space="preserve"> </w:t>
      </w:r>
      <w:r w:rsidR="003F5FD5" w:rsidRPr="003F5FD5">
        <w:rPr>
          <w:rFonts w:ascii="Times New Roman" w:hAnsi="Times New Roman" w:cs="Times New Roman"/>
        </w:rPr>
        <w:t>=0, 0.1,</w:t>
      </w:r>
      <w:r w:rsidR="003F5FD5" w:rsidRPr="003F5FD5">
        <w:rPr>
          <w:rFonts w:ascii="Times New Roman" w:hAnsi="Times New Roman" w:cs="Times New Roman" w:hint="eastAsia"/>
        </w:rPr>
        <w:t xml:space="preserve"> </w:t>
      </w:r>
      <w:r w:rsidR="003F5FD5" w:rsidRPr="003F5FD5">
        <w:rPr>
          <w:rFonts w:ascii="Times New Roman" w:hAnsi="Times New Roman" w:cs="Times New Roman"/>
        </w:rPr>
        <w:t xml:space="preserve">0.3and 0.5. When </w:t>
      </w:r>
      <m:oMath>
        <m:r>
          <w:rPr>
            <w:rFonts w:ascii="Cambria Math" w:hAnsi="Cambria Math" w:cs="Times New Roman"/>
          </w:rPr>
          <m:t>α</m:t>
        </m:r>
      </m:oMath>
      <w:r w:rsidR="003F5FD5" w:rsidRPr="003F5FD5">
        <w:rPr>
          <w:rFonts w:ascii="Times New Roman" w:hAnsi="Times New Roman" w:cs="Times New Roman"/>
        </w:rPr>
        <w:t xml:space="preserve"> </w:t>
      </w:r>
      <w:r w:rsidR="003F5FD5" w:rsidRPr="003F5FD5">
        <w:rPr>
          <w:rFonts w:ascii="Times New Roman" w:hAnsi="Times New Roman" w:cs="Times New Roman"/>
        </w:rPr>
        <w:t>=</w:t>
      </w:r>
      <w:proofErr w:type="gramStart"/>
      <w:r w:rsidR="003F5FD5" w:rsidRPr="003F5FD5">
        <w:rPr>
          <w:rFonts w:ascii="Times New Roman" w:hAnsi="Times New Roman" w:cs="Times New Roman"/>
        </w:rPr>
        <w:t>0</w:t>
      </w:r>
      <w:r w:rsidR="003F5FD5" w:rsidRPr="003F5FD5">
        <w:rPr>
          <w:rFonts w:ascii="Times New Roman" w:hAnsi="Times New Roman" w:cs="Times New Roman" w:hint="eastAsia"/>
        </w:rPr>
        <w:t xml:space="preserve"> </w:t>
      </w:r>
      <w:r w:rsidR="003F5FD5" w:rsidRPr="003F5FD5">
        <w:rPr>
          <w:rFonts w:ascii="Times New Roman" w:hAnsi="Times New Roman" w:cs="Times New Roman"/>
        </w:rPr>
        <w:t>,</w:t>
      </w:r>
      <w:proofErr w:type="gramEnd"/>
      <w:r w:rsidR="003F5FD5" w:rsidRPr="003F5FD5">
        <w:rPr>
          <w:rFonts w:ascii="Times New Roman" w:hAnsi="Times New Roman" w:cs="Times New Roman"/>
        </w:rPr>
        <w:t xml:space="preserve"> no additional weight is given to income deprivation in the demand </w:t>
      </w:r>
      <w:r w:rsidR="003F5FD5" w:rsidRPr="003F5FD5">
        <w:rPr>
          <w:rFonts w:ascii="Times New Roman" w:hAnsi="Times New Roman" w:cs="Times New Roman" w:hint="eastAsia"/>
        </w:rPr>
        <w:t>estimation</w:t>
      </w:r>
      <w:r w:rsidR="003F5FD5" w:rsidRPr="003F5FD5">
        <w:rPr>
          <w:rFonts w:ascii="Times New Roman" w:hAnsi="Times New Roman" w:cs="Times New Roman"/>
        </w:rPr>
        <w:t xml:space="preserve">, providing an unweighted baseline. As </w:t>
      </w:r>
      <m:oMath>
        <m:r>
          <w:rPr>
            <w:rFonts w:ascii="Cambria Math" w:hAnsi="Cambria Math" w:cs="Times New Roman"/>
          </w:rPr>
          <m:t>α</m:t>
        </m:r>
      </m:oMath>
      <w:r w:rsidR="003F5FD5" w:rsidRPr="003F5FD5">
        <w:rPr>
          <w:rFonts w:ascii="Times New Roman" w:hAnsi="Times New Roman" w:cs="Times New Roman"/>
        </w:rPr>
        <w:t xml:space="preserve"> increases, income-deprived LSOAs receive higher relative weights in the demand </w:t>
      </w:r>
      <w:r w:rsidR="003F5FD5" w:rsidRPr="003F5FD5">
        <w:rPr>
          <w:rFonts w:ascii="Times New Roman" w:hAnsi="Times New Roman" w:cs="Times New Roman" w:hint="eastAsia"/>
        </w:rPr>
        <w:t>estimation</w:t>
      </w:r>
      <w:r w:rsidR="003F5FD5" w:rsidRPr="003F5FD5">
        <w:rPr>
          <w:rFonts w:ascii="Times New Roman" w:hAnsi="Times New Roman" w:cs="Times New Roman"/>
        </w:rPr>
        <w:t>. This adjustment changes the planning priority assigned to these areas in the subsequent spatial optimisation. Therefore,</w:t>
      </w:r>
      <w:r w:rsidR="003F5FD5" w:rsidRPr="003F5FD5">
        <w:rPr>
          <w:rFonts w:ascii="Times New Roman" w:hAnsi="Times New Roman" w:cs="Times New Roman"/>
        </w:rPr>
        <w:t xml:space="preserve"> </w:t>
      </w:r>
      <m:oMath>
        <m:r>
          <w:rPr>
            <w:rFonts w:ascii="Cambria Math" w:hAnsi="Cambria Math" w:cs="Times New Roman"/>
          </w:rPr>
          <m:t>α</m:t>
        </m:r>
      </m:oMath>
      <w:r w:rsidR="003F5FD5" w:rsidRPr="003F5FD5">
        <w:rPr>
          <w:rFonts w:ascii="Times New Roman" w:hAnsi="Times New Roman" w:cs="Times New Roman"/>
        </w:rPr>
        <w:t xml:space="preserve"> provides a controlled scenario parameter for examining how stronger deprivation weighting affects the final allocation of charging provision. After these steps, each Greater London LSOA received an equity-adjusted demand weight</w:t>
      </w:r>
      <m:oMath>
        <m:sSub>
          <m:sSubPr>
            <m:ctrlPr>
              <w:rPr>
                <w:rFonts w:ascii="Cambria Math" w:hAnsi="Cambria Math" w:cs="Times New Roman"/>
              </w:rPr>
            </m:ctrlPr>
          </m:sSubPr>
          <m:e>
            <m:r>
              <m:rPr>
                <m:sty m:val="p"/>
              </m:rPr>
              <w:rPr>
                <w:rFonts w:ascii="Cambria Math" w:hAnsi="Cambria Math" w:cs="Times New Roman"/>
              </w:rPr>
              <m:t xml:space="preserve"> </m:t>
            </m:r>
            <m:r>
              <w:rPr>
                <w:rFonts w:ascii="Cambria Math" w:hAnsi="Cambria Math" w:cs="Times New Roman"/>
              </w:rPr>
              <m:t>D</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α</m:t>
            </m:r>
          </m:e>
        </m:d>
        <m:r>
          <m:rPr>
            <m:sty m:val="p"/>
          </m:rPr>
          <w:rPr>
            <w:rFonts w:ascii="Cambria Math" w:hAnsi="Cambria Math" w:cs="Times New Roman"/>
          </w:rPr>
          <m:t xml:space="preserve"> </m:t>
        </m:r>
      </m:oMath>
      <w:r w:rsidR="003F5FD5" w:rsidRPr="003F5FD5">
        <w:rPr>
          <w:rFonts w:ascii="Times New Roman" w:hAnsi="Times New Roman" w:cs="Times New Roman"/>
        </w:rPr>
        <w:t>under each</w:t>
      </w:r>
      <w:r w:rsidR="003F5FD5" w:rsidRPr="003F5FD5">
        <w:rPr>
          <w:rFonts w:ascii="Times New Roman" w:hAnsi="Times New Roman" w:cs="Times New Roman" w:hint="eastAsia"/>
        </w:rPr>
        <w:t xml:space="preserve"> </w:t>
      </w:r>
      <m:oMath>
        <m:r>
          <w:rPr>
            <w:rFonts w:ascii="Cambria Math" w:hAnsi="Cambria Math" w:cs="Times New Roman"/>
          </w:rPr>
          <m:t>α</m:t>
        </m:r>
      </m:oMath>
      <w:r w:rsidR="003F5FD5" w:rsidRPr="003F5FD5">
        <w:rPr>
          <w:rFonts w:ascii="Times New Roman" w:hAnsi="Times New Roman" w:cs="Times New Roman"/>
        </w:rPr>
        <w:t xml:space="preserve"> scenario.</w:t>
      </w:r>
    </w:p>
    <w:p w14:paraId="75C44366" w14:textId="64DF108F" w:rsidR="00F71F78" w:rsidRPr="00F71F78" w:rsidRDefault="00F71F78" w:rsidP="00B90122">
      <w:pPr>
        <w:pStyle w:val="font-claude-response-body"/>
        <w:rPr>
          <w:rFonts w:ascii="Times New Roman" w:hAnsi="Times New Roman" w:cs="Times New Roman" w:hint="eastAsia"/>
        </w:rPr>
      </w:pPr>
      <w:r w:rsidRPr="00F71F78">
        <w:rPr>
          <w:rFonts w:ascii="Times New Roman" w:hAnsi="Times New Roman" w:cs="Times New Roman" w:hint="eastAsia"/>
        </w:rPr>
        <w:t>Finally</w:t>
      </w:r>
      <w:r w:rsidRPr="00F71F78">
        <w:rPr>
          <w:rFonts w:ascii="Times New Roman" w:hAnsi="Times New Roman" w:cs="Times New Roman" w:hint="eastAsia"/>
        </w:rPr>
        <w:t>，</w:t>
      </w:r>
      <w:r w:rsidRPr="00F71F78">
        <w:rPr>
          <w:rFonts w:ascii="Times New Roman" w:hAnsi="Times New Roman" w:cs="Times New Roman" w:hint="eastAsia"/>
        </w:rPr>
        <w:t xml:space="preserve"> </w:t>
      </w:r>
      <w:r w:rsidRPr="00F71F78">
        <w:rPr>
          <w:rFonts w:ascii="Times New Roman" w:hAnsi="Times New Roman" w:cs="Times New Roman"/>
        </w:rPr>
        <w:t xml:space="preserve">household vehicle-stock demand is compared spatially with the existing </w:t>
      </w:r>
      <w:r w:rsidRPr="00F71F78">
        <w:rPr>
          <w:rFonts w:ascii="Times New Roman" w:hAnsi="Times New Roman" w:cs="Times New Roman" w:hint="eastAsia"/>
        </w:rPr>
        <w:t>provision</w:t>
      </w:r>
      <w:r w:rsidRPr="00F71F78">
        <w:rPr>
          <w:rFonts w:ascii="Times New Roman" w:hAnsi="Times New Roman" w:cs="Times New Roman"/>
        </w:rPr>
        <w:t xml:space="preserve"> from Phase 1, and </w:t>
      </w:r>
      <w:proofErr w:type="spellStart"/>
      <w:r w:rsidRPr="00F71F78">
        <w:rPr>
          <w:rFonts w:ascii="Times New Roman" w:hAnsi="Times New Roman" w:cs="Times New Roman"/>
        </w:rPr>
        <w:t>categorised</w:t>
      </w:r>
      <w:proofErr w:type="spellEnd"/>
      <w:r w:rsidRPr="00F71F78">
        <w:rPr>
          <w:rFonts w:ascii="Times New Roman" w:hAnsi="Times New Roman" w:cs="Times New Roman"/>
        </w:rPr>
        <w:t xml:space="preserve"> into four types:</w:t>
      </w:r>
    </w:p>
    <w:p w14:paraId="1ED58BD8" w14:textId="04F9ACBE" w:rsidR="00A62886" w:rsidRDefault="00000000" w:rsidP="00E23B23">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Category</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nor/>
                      </m:rPr>
                      <w:rPr>
                        <w:rFonts w:ascii="Times New Roman" w:hAnsi="Times New Roman" w:cs="Times New Roman"/>
                      </w:rPr>
                      <m:t>Demand-implied desert</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=0,</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acc>
                  </m:e>
                </m:mr>
                <m:mr>
                  <m:e>
                    <m:r>
                      <m:rPr>
                        <m:nor/>
                      </m:rPr>
                      <w:rPr>
                        <w:rFonts w:ascii="Times New Roman" w:hAnsi="Times New Roman" w:cs="Times New Roman"/>
                      </w:rPr>
                      <m:t>Low-demand, no provision</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=0,</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&lt;</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acc>
                  </m:e>
                </m:mr>
                <m:mr>
                  <m:e>
                    <m:r>
                      <m:rPr>
                        <m:nor/>
                      </m:rPr>
                      <w:rPr>
                        <w:rFonts w:ascii="Times New Roman" w:hAnsi="Times New Roman" w:cs="Times New Roman"/>
                      </w:rPr>
                      <m:t>Saturated / potentially underprovided</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&gt;0,</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e>
                        </m:acc>
                      </m:e>
                      <m:sup>
                        <m:r>
                          <m:rPr>
                            <m:nor/>
                          </m:rPr>
                          <w:rPr>
                            <w:rFonts w:ascii="Times New Roman" w:hAnsi="Times New Roman" w:cs="Times New Roman"/>
                          </w:rPr>
                          <m:t> </m:t>
                        </m:r>
                        <m:d>
                          <m:dPr>
                            <m:ctrlPr>
                              <w:rPr>
                                <w:rFonts w:ascii="Cambria Math" w:hAnsi="Cambria Math" w:cs="Times New Roman"/>
                              </w:rPr>
                            </m:ctrlPr>
                          </m:dPr>
                          <m:e>
                            <m:r>
                              <w:rPr>
                                <w:rFonts w:ascii="Cambria Math" w:hAnsi="Cambria Math" w:cs="Times New Roman"/>
                              </w:rPr>
                              <m:t>e</m:t>
                            </m:r>
                            <m:r>
                              <m:rPr>
                                <m:sty m:val="p"/>
                              </m:rPr>
                              <w:rPr>
                                <w:rFonts w:ascii="Cambria Math" w:hAnsi="Cambria Math" w:cs="Times New Roman"/>
                              </w:rPr>
                              <m:t>&gt;0</m:t>
                            </m:r>
                          </m:e>
                        </m:d>
                      </m:sup>
                    </m:sSup>
                  </m:e>
                </m:mr>
                <m:mr>
                  <m:e>
                    <m:r>
                      <m:rPr>
                        <m:nor/>
                      </m:rPr>
                      <w:rPr>
                        <w:rFonts w:ascii="Times New Roman" w:hAnsi="Times New Roman" w:cs="Times New Roman"/>
                      </w:rPr>
                      <m:t>Apparently adequate</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&gt;0,</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&lt;</m:t>
                    </m:r>
                    <m:r>
                      <m:rPr>
                        <m:sty m:val="p"/>
                      </m:rPr>
                      <w:rPr>
                        <w:rFonts w:ascii="Cambria Math" w:hAnsi="Cambria Math" w:cs="Times New Roman"/>
                      </w:rPr>
                      <m:t>c</m:t>
                    </m:r>
                  </m:e>
                </m:mr>
              </m:m>
            </m:e>
          </m:d>
          <m:r>
            <m:rPr>
              <m:sty m:val="p"/>
            </m:rPr>
            <w:rPr>
              <w:rFonts w:ascii="Cambria Math" w:hAnsi="Cambria Math" w:cs="Times New Roman"/>
              <w:color w:val="000000"/>
              <w:sz w:val="17"/>
              <w:szCs w:val="17"/>
            </w:rPr>
            <w:br/>
          </m:r>
        </m:oMath>
      </m:oMathPara>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acc>
      </m:oMath>
      <w:r w:rsidR="003F5778">
        <w:rPr>
          <w:rFonts w:ascii="Times New Roman" w:hAnsi="Times New Roman" w:cs="Times New Roman" w:hint="eastAsia"/>
        </w:rPr>
        <w:t xml:space="preserve"> is</w:t>
      </w:r>
      <w:r w:rsidR="003F5778">
        <w:rPr>
          <w:rFonts w:ascii="Times New Roman" w:hAnsi="Times New Roman" w:cs="Times New Roman"/>
        </w:rPr>
        <w:t xml:space="preserve"> t</w:t>
      </w:r>
      <w:r w:rsidR="003F5778" w:rsidRPr="003F5778">
        <w:rPr>
          <w:rFonts w:ascii="Times New Roman" w:hAnsi="Times New Roman" w:cs="Times New Roman"/>
        </w:rPr>
        <w:t xml:space="preserve">he London-wide median calculated across all LSOAs, while </w:t>
      </w:r>
      <m:oMath>
        <m:sSup>
          <m:sSupPr>
            <m:ctrlPr>
              <w:rPr>
                <w:rFonts w:ascii="Cambria Math" w:hAnsi="Cambria Math" w:cs="Times New Roman"/>
              </w:rPr>
            </m:ctrlPr>
          </m:sSupPr>
          <m:e>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e>
            </m:acc>
          </m:e>
          <m:sup>
            <m:r>
              <m:rPr>
                <m:nor/>
              </m:rPr>
              <w:rPr>
                <w:rFonts w:ascii="Times New Roman" w:hAnsi="Times New Roman" w:cs="Times New Roman"/>
              </w:rPr>
              <m:t> </m:t>
            </m:r>
            <m:d>
              <m:dPr>
                <m:ctrlPr>
                  <w:rPr>
                    <w:rFonts w:ascii="Cambria Math" w:hAnsi="Cambria Math" w:cs="Times New Roman"/>
                  </w:rPr>
                </m:ctrlPr>
              </m:dPr>
              <m:e>
                <m:r>
                  <w:rPr>
                    <w:rFonts w:ascii="Cambria Math" w:hAnsi="Cambria Math" w:cs="Times New Roman"/>
                  </w:rPr>
                  <m:t>e</m:t>
                </m:r>
                <m:r>
                  <m:rPr>
                    <m:sty m:val="p"/>
                  </m:rPr>
                  <w:rPr>
                    <w:rFonts w:ascii="Cambria Math" w:hAnsi="Cambria Math" w:cs="Times New Roman"/>
                  </w:rPr>
                  <m:t>&gt;0</m:t>
                </m:r>
              </m:e>
            </m:d>
          </m:sup>
        </m:sSup>
      </m:oMath>
      <w:r w:rsidR="003F5778">
        <w:rPr>
          <w:rFonts w:ascii="Times New Roman" w:hAnsi="Times New Roman" w:cs="Times New Roman"/>
        </w:rPr>
        <w:t xml:space="preserve"> is </w:t>
      </w:r>
      <w:r w:rsidR="003F5778" w:rsidRPr="003F5778">
        <w:rPr>
          <w:rFonts w:ascii="Times New Roman" w:hAnsi="Times New Roman" w:cs="Times New Roman"/>
        </w:rPr>
        <w:t xml:space="preserve">the provision-specific median only across LSOAs with existing provision. The classification was based on household vehicle stock rather than equity-adjusted demand, ensuring that the diagnosis remained independent of the subsequent </w:t>
      </w:r>
      <w:r w:rsidR="003F5778" w:rsidRPr="00B90122">
        <w:rPr>
          <w:rFonts w:ascii="Times New Roman" w:hAnsi="Times New Roman" w:cs="Times New Roman"/>
          <w:color w:val="000000"/>
          <w:sz w:val="17"/>
          <w:szCs w:val="17"/>
        </w:rPr>
        <w:t>α</w:t>
      </w:r>
      <w:r w:rsidR="003F5778">
        <w:rPr>
          <w:rFonts w:ascii="Times New Roman" w:hAnsi="Times New Roman" w:cs="Times New Roman"/>
          <w:color w:val="000000"/>
          <w:sz w:val="17"/>
          <w:szCs w:val="17"/>
        </w:rPr>
        <w:t xml:space="preserve"> </w:t>
      </w:r>
      <w:r w:rsidR="003F5778" w:rsidRPr="003F5778">
        <w:rPr>
          <w:rFonts w:ascii="Times New Roman" w:hAnsi="Times New Roman" w:cs="Times New Roman"/>
        </w:rPr>
        <w:t xml:space="preserve">scenarios. These categories were then compared by income deprivation to examine whether different socioeconomic areas showed different forms of demand–provision mismatch. This analysis provided the </w:t>
      </w:r>
      <w:r w:rsidR="005535B6">
        <w:rPr>
          <w:rFonts w:ascii="Times New Roman" w:hAnsi="Times New Roman" w:cs="Times New Roman"/>
        </w:rPr>
        <w:t>background</w:t>
      </w:r>
      <w:r w:rsidR="003F5778" w:rsidRPr="003F5778">
        <w:rPr>
          <w:rFonts w:ascii="Times New Roman" w:hAnsi="Times New Roman" w:cs="Times New Roman"/>
        </w:rPr>
        <w:t xml:space="preserve"> of existing provision </w:t>
      </w:r>
      <w:r w:rsidR="00C904B6">
        <w:rPr>
          <w:rFonts w:ascii="Times New Roman" w:hAnsi="Times New Roman" w:cs="Times New Roman"/>
        </w:rPr>
        <w:t xml:space="preserve">situation </w:t>
      </w:r>
      <w:r w:rsidR="003F5778" w:rsidRPr="003F5778">
        <w:rPr>
          <w:rFonts w:ascii="Times New Roman" w:hAnsi="Times New Roman" w:cs="Times New Roman"/>
        </w:rPr>
        <w:t>for the Phase 3 location–allocation model.</w:t>
      </w:r>
    </w:p>
    <w:p w14:paraId="26C07B3E" w14:textId="77777777" w:rsidR="00CD7DF3" w:rsidRDefault="00CD7DF3" w:rsidP="00CD7DF3">
      <w:pPr>
        <w:rPr>
          <w:rFonts w:ascii="Times New Roman" w:hAnsi="Times New Roman" w:cs="Times New Roman"/>
        </w:rPr>
      </w:pPr>
    </w:p>
    <w:p w14:paraId="0417DA61" w14:textId="77777777" w:rsidR="00CD7DF3" w:rsidRPr="00CD7DF3" w:rsidRDefault="00CD7DF3" w:rsidP="00CD7DF3">
      <w:pPr>
        <w:rPr>
          <w:color w:val="000000"/>
          <w:sz w:val="17"/>
          <w:szCs w:val="17"/>
        </w:rPr>
      </w:pPr>
    </w:p>
    <w:p w14:paraId="2A7AB0D8" w14:textId="09A49D31" w:rsidR="00B15BC3" w:rsidRDefault="00B15BC3" w:rsidP="00A064CD">
      <w:pPr>
        <w:jc w:val="both"/>
        <w:rPr>
          <w:rFonts w:ascii="Times New Roman" w:hAnsi="Times New Roman" w:cs="Times New Roman"/>
        </w:rPr>
      </w:pPr>
      <w:r w:rsidRPr="00CD7DF3">
        <w:rPr>
          <w:rFonts w:ascii="Times New Roman" w:hAnsi="Times New Roman" w:cs="Times New Roman"/>
        </w:rPr>
        <w:t>3.3.3 Phase 3 P-Median Location-Allocation Model</w:t>
      </w:r>
    </w:p>
    <w:p w14:paraId="76AD2066" w14:textId="73CAD6C1" w:rsidR="00E23B23" w:rsidRPr="00E23B23" w:rsidRDefault="00E23B23" w:rsidP="00A064CD">
      <w:pPr>
        <w:jc w:val="both"/>
        <w:rPr>
          <w:rFonts w:ascii="Times New Roman" w:hAnsi="Times New Roman" w:cs="Times New Roman"/>
        </w:rPr>
      </w:pPr>
      <w:r w:rsidRPr="00E23B23">
        <w:rPr>
          <w:rFonts w:ascii="Times New Roman" w:hAnsi="Times New Roman" w:cs="Times New Roman"/>
        </w:rPr>
        <w:t>After measuring existing charging provision and estimating equity-adjusted demand, Phase 3 integrated the</w:t>
      </w:r>
      <w:r>
        <w:rPr>
          <w:rFonts w:ascii="Times New Roman" w:hAnsi="Times New Roman" w:cs="Times New Roman"/>
        </w:rPr>
        <w:t>se</w:t>
      </w:r>
      <w:r w:rsidRPr="00E23B23">
        <w:rPr>
          <w:rFonts w:ascii="Times New Roman" w:hAnsi="Times New Roman" w:cs="Times New Roman"/>
        </w:rPr>
        <w:t xml:space="preserve"> two types of information into a p-median location–allocation model. The aim was to determine the spatial allocation of additional public charging provision across Greater London LSOAs, given a fixed total amount of additional </w:t>
      </w:r>
      <w:r w:rsidRPr="00E23B23">
        <w:rPr>
          <w:rFonts w:ascii="Times New Roman" w:hAnsi="Times New Roman" w:cs="Times New Roman"/>
        </w:rPr>
        <w:lastRenderedPageBreak/>
        <w:t xml:space="preserve">provision. The model was formulated as a Mixed-Integer Linear </w:t>
      </w:r>
      <w:proofErr w:type="spellStart"/>
      <w:r w:rsidRPr="00E23B23">
        <w:rPr>
          <w:rFonts w:ascii="Times New Roman" w:hAnsi="Times New Roman" w:cs="Times New Roman"/>
        </w:rPr>
        <w:t>Programme</w:t>
      </w:r>
      <w:proofErr w:type="spellEnd"/>
      <w:r w:rsidRPr="00E23B23">
        <w:rPr>
          <w:rFonts w:ascii="Times New Roman" w:hAnsi="Times New Roman" w:cs="Times New Roman"/>
        </w:rPr>
        <w:t xml:space="preserve"> (MILP), with allocation decisions made at the LSOA level. By </w:t>
      </w:r>
      <w:proofErr w:type="spellStart"/>
      <w:r w:rsidRPr="00E23B23">
        <w:rPr>
          <w:rFonts w:ascii="Times New Roman" w:hAnsi="Times New Roman" w:cs="Times New Roman"/>
        </w:rPr>
        <w:t>minimising</w:t>
      </w:r>
      <w:proofErr w:type="spellEnd"/>
      <w:r w:rsidRPr="00E23B23">
        <w:rPr>
          <w:rFonts w:ascii="Times New Roman" w:hAnsi="Times New Roman" w:cs="Times New Roman"/>
        </w:rPr>
        <w:t xml:space="preserve"> demand-weighted distance, the model aimed to serve recognised demand using charging provision located as nearby as possible. The equity-adjusted demand constructed in Phase 2 incorporated income deprivation into the objective. When </w:t>
      </w:r>
      <m:oMath>
        <m:r>
          <w:rPr>
            <w:rFonts w:ascii="Cambria Math" w:hAnsi="Cambria Math" w:cs="Times New Roman"/>
          </w:rPr>
          <m:t>α</m:t>
        </m:r>
      </m:oMath>
      <w:r w:rsidRPr="00E23B23">
        <w:rPr>
          <w:rFonts w:ascii="Times New Roman" w:hAnsi="Times New Roman" w:cs="Times New Roman"/>
        </w:rPr>
        <w:t xml:space="preserve"> </w:t>
      </w:r>
      <w:r w:rsidRPr="00E23B23">
        <w:rPr>
          <w:rFonts w:ascii="Times New Roman" w:hAnsi="Times New Roman" w:cs="Times New Roman"/>
        </w:rPr>
        <w:t>&gt;0, income-deprived LSOAs received higher demand weights. Assigning their demand to more distant provision therefore resulted in a higher objective cost. Equity was thus incorporated into the optimisation through demand weighting.</w:t>
      </w:r>
    </w:p>
    <w:p w14:paraId="66D780EC" w14:textId="77777777" w:rsidR="004E1337" w:rsidRDefault="004E1337" w:rsidP="00A064CD">
      <w:pPr>
        <w:pStyle w:val="p1"/>
        <w:jc w:val="both"/>
        <w:rPr>
          <w:sz w:val="17"/>
          <w:szCs w:val="17"/>
        </w:rPr>
      </w:pPr>
    </w:p>
    <w:p w14:paraId="6313EE07" w14:textId="77777777" w:rsidR="004E1337" w:rsidRDefault="004E1337" w:rsidP="00A064CD">
      <w:pPr>
        <w:pStyle w:val="p1"/>
        <w:jc w:val="both"/>
        <w:rPr>
          <w:color w:val="auto"/>
          <w:sz w:val="24"/>
          <w:szCs w:val="24"/>
        </w:rPr>
      </w:pPr>
      <w:r w:rsidRPr="004E1337">
        <w:rPr>
          <w:color w:val="auto"/>
          <w:sz w:val="24"/>
          <w:szCs w:val="24"/>
        </w:rPr>
        <w:t>This model uses the following sets and parameters:</w:t>
      </w:r>
    </w:p>
    <w:p w14:paraId="63FE59E6" w14:textId="01E25643" w:rsidR="007A5D2C" w:rsidRPr="004E1337" w:rsidRDefault="007A5D2C" w:rsidP="00A064CD">
      <w:pPr>
        <w:pStyle w:val="p1"/>
        <w:jc w:val="both"/>
        <w:rPr>
          <w:color w:val="auto"/>
          <w:sz w:val="24"/>
          <w:szCs w:val="24"/>
        </w:rPr>
      </w:pPr>
      <m:oMath>
        <m:r>
          <w:rPr>
            <w:rFonts w:ascii="Cambria Math" w:hAnsi="Cambria Math"/>
            <w:color w:val="auto"/>
            <w:sz w:val="24"/>
            <w:szCs w:val="24"/>
          </w:rPr>
          <m:t>I</m:t>
        </m:r>
      </m:oMath>
      <w:r w:rsidRPr="004E1337">
        <w:rPr>
          <w:color w:val="auto"/>
          <w:sz w:val="24"/>
          <w:szCs w:val="24"/>
        </w:rPr>
        <w:t>: set of LSOA demand nodes, representing where charging demand is generated.</w:t>
      </w:r>
    </w:p>
    <w:p w14:paraId="2FCBADAA" w14:textId="77777777" w:rsidR="007A5D2C" w:rsidRPr="004E1337" w:rsidRDefault="007A5D2C" w:rsidP="00A064CD">
      <w:pPr>
        <w:pStyle w:val="p1"/>
        <w:jc w:val="both"/>
        <w:rPr>
          <w:color w:val="auto"/>
          <w:sz w:val="24"/>
          <w:szCs w:val="24"/>
        </w:rPr>
      </w:pPr>
      <m:oMath>
        <m:r>
          <w:rPr>
            <w:rFonts w:ascii="Cambria Math" w:hAnsi="Cambria Math"/>
            <w:color w:val="auto"/>
            <w:sz w:val="24"/>
            <w:szCs w:val="24"/>
          </w:rPr>
          <m:t>J</m:t>
        </m:r>
      </m:oMath>
      <w:r w:rsidRPr="004E1337">
        <w:rPr>
          <w:color w:val="auto"/>
          <w:sz w:val="24"/>
          <w:szCs w:val="24"/>
        </w:rPr>
        <w:t xml:space="preserve">: set of candidate allocation nodes, representing where additional charging locations can be placed. </w:t>
      </w:r>
      <m:oMath>
        <m:r>
          <w:rPr>
            <w:rFonts w:ascii="Cambria Math" w:hAnsi="Cambria Math"/>
            <w:color w:val="auto"/>
            <w:sz w:val="24"/>
            <w:szCs w:val="24"/>
          </w:rPr>
          <m:t>I</m:t>
        </m:r>
        <m:r>
          <m:rPr>
            <m:sty m:val="p"/>
          </m:rPr>
          <w:rPr>
            <w:rFonts w:ascii="Cambria Math" w:hAnsi="Cambria Math"/>
            <w:color w:val="auto"/>
            <w:sz w:val="24"/>
            <w:szCs w:val="24"/>
          </w:rPr>
          <m:t>=</m:t>
        </m:r>
        <m:r>
          <w:rPr>
            <w:rFonts w:ascii="Cambria Math" w:hAnsi="Cambria Math"/>
            <w:color w:val="auto"/>
            <w:sz w:val="24"/>
            <w:szCs w:val="24"/>
          </w:rPr>
          <m:t>J</m:t>
        </m:r>
      </m:oMath>
      <w:r w:rsidRPr="004E1337">
        <w:rPr>
          <w:color w:val="auto"/>
          <w:sz w:val="24"/>
          <w:szCs w:val="24"/>
        </w:rPr>
        <w:t>: all 4,994 Greater London LSOAs serve as both demand and allocation nodes, so additional provision may in principle be allocated to any LSOA.</w:t>
      </w:r>
    </w:p>
    <w:p w14:paraId="33D22149" w14:textId="61B6D66B" w:rsidR="007A5D2C" w:rsidRPr="004E1337" w:rsidRDefault="00000000" w:rsidP="00A064CD">
      <w:pPr>
        <w:pStyle w:val="p1"/>
        <w:jc w:val="both"/>
        <w:rPr>
          <w:color w:val="auto"/>
          <w:sz w:val="24"/>
          <w:szCs w:val="24"/>
        </w:rPr>
      </w:pPr>
      <m:oMath>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r>
              <w:rPr>
                <w:rFonts w:ascii="Cambria Math" w:hAnsi="Cambria Math"/>
                <w:color w:val="auto"/>
                <w:sz w:val="24"/>
                <w:szCs w:val="24"/>
              </w:rPr>
              <m:t>α</m:t>
            </m:r>
          </m:sup>
        </m:sSubSup>
      </m:oMath>
      <w:r w:rsidR="007A5D2C" w:rsidRPr="004E1337">
        <w:rPr>
          <w:color w:val="auto"/>
          <w:sz w:val="24"/>
          <w:szCs w:val="24"/>
        </w:rPr>
        <w:t xml:space="preserve">: equity-adjusted recognised demand weight for LSOA </w:t>
      </w:r>
      <m:oMath>
        <m:r>
          <w:rPr>
            <w:rFonts w:ascii="Cambria Math" w:hAnsi="Cambria Math"/>
            <w:color w:val="auto"/>
            <w:sz w:val="24"/>
            <w:szCs w:val="24"/>
          </w:rPr>
          <m:t>i</m:t>
        </m:r>
      </m:oMath>
      <w:r w:rsidR="007A5D2C" w:rsidRPr="004E1337">
        <w:rPr>
          <w:color w:val="auto"/>
          <w:sz w:val="24"/>
          <w:szCs w:val="24"/>
        </w:rPr>
        <w:t xml:space="preserve">, calculated in Phase </w:t>
      </w:r>
      <w:r w:rsidR="005015CF" w:rsidRPr="004E1337">
        <w:rPr>
          <w:rFonts w:hint="eastAsia"/>
          <w:color w:val="auto"/>
          <w:sz w:val="24"/>
          <w:szCs w:val="24"/>
        </w:rPr>
        <w:t>2</w:t>
      </w:r>
      <w:r w:rsidR="007A5D2C" w:rsidRPr="004E1337">
        <w:rPr>
          <w:color w:val="auto"/>
          <w:sz w:val="24"/>
          <w:szCs w:val="24"/>
        </w:rPr>
        <w:t xml:space="preserve"> under equity scenario </w:t>
      </w:r>
      <m:oMath>
        <m:r>
          <w:rPr>
            <w:rFonts w:ascii="Cambria Math" w:hAnsi="Cambria Math"/>
            <w:color w:val="auto"/>
            <w:sz w:val="24"/>
            <w:szCs w:val="24"/>
          </w:rPr>
          <m:t>α</m:t>
        </m:r>
      </m:oMath>
      <w:r w:rsidR="007A5D2C" w:rsidRPr="004E1337">
        <w:rPr>
          <w:color w:val="auto"/>
          <w:sz w:val="24"/>
          <w:szCs w:val="24"/>
        </w:rPr>
        <w:t>.</w:t>
      </w:r>
    </w:p>
    <w:p w14:paraId="4C571F9D" w14:textId="77777777" w:rsidR="007A5D2C" w:rsidRPr="004E1337" w:rsidRDefault="00000000" w:rsidP="00A064CD">
      <w:pPr>
        <w:pStyle w:val="p1"/>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ij</m:t>
            </m:r>
          </m:sub>
        </m:sSub>
      </m:oMath>
      <w:r w:rsidR="007A5D2C" w:rsidRPr="004E1337">
        <w:rPr>
          <w:color w:val="auto"/>
          <w:sz w:val="24"/>
          <w:szCs w:val="24"/>
        </w:rPr>
        <w:t xml:space="preserve">: Euclidean distance between the centroids of LSOAs </w:t>
      </w:r>
      <m:oMath>
        <m:r>
          <w:rPr>
            <w:rFonts w:ascii="Cambria Math" w:hAnsi="Cambria Math"/>
            <w:color w:val="auto"/>
            <w:sz w:val="24"/>
            <w:szCs w:val="24"/>
          </w:rPr>
          <m:t>i</m:t>
        </m:r>
      </m:oMath>
      <w:r w:rsidR="007A5D2C" w:rsidRPr="004E1337">
        <w:rPr>
          <w:color w:val="auto"/>
          <w:sz w:val="24"/>
          <w:szCs w:val="24"/>
        </w:rPr>
        <w:t xml:space="preserve"> and </w:t>
      </w:r>
      <m:oMath>
        <m:r>
          <w:rPr>
            <w:rFonts w:ascii="Cambria Math" w:hAnsi="Cambria Math"/>
            <w:color w:val="auto"/>
            <w:sz w:val="24"/>
            <w:szCs w:val="24"/>
          </w:rPr>
          <m:t>j</m:t>
        </m:r>
      </m:oMath>
      <w:r w:rsidR="007A5D2C" w:rsidRPr="004E1337">
        <w:rPr>
          <w:color w:val="auto"/>
          <w:sz w:val="24"/>
          <w:szCs w:val="24"/>
        </w:rPr>
        <w:t>, calculated in EPSG:27700 and used as a proxy for the distance required to reach charging provision.</w:t>
      </w:r>
    </w:p>
    <w:p w14:paraId="40923F42" w14:textId="0E9F6A66" w:rsidR="007A5D2C" w:rsidRDefault="00000000" w:rsidP="00A064CD">
      <w:pPr>
        <w:pStyle w:val="p1"/>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j</m:t>
            </m:r>
          </m:sub>
        </m:sSub>
      </m:oMath>
      <w:r w:rsidR="007A5D2C" w:rsidRPr="004E1337">
        <w:rPr>
          <w:color w:val="auto"/>
          <w:sz w:val="24"/>
          <w:szCs w:val="24"/>
        </w:rPr>
        <w:t xml:space="preserve">: number of existing on-street charging locations in LSOA </w:t>
      </w:r>
      <m:oMath>
        <m:r>
          <w:rPr>
            <w:rFonts w:ascii="Cambria Math" w:hAnsi="Cambria Math"/>
            <w:color w:val="auto"/>
            <w:sz w:val="24"/>
            <w:szCs w:val="24"/>
          </w:rPr>
          <m:t>j</m:t>
        </m:r>
      </m:oMath>
      <w:r w:rsidR="007A5D2C" w:rsidRPr="004E1337">
        <w:rPr>
          <w:color w:val="auto"/>
          <w:sz w:val="24"/>
          <w:szCs w:val="24"/>
        </w:rPr>
        <w:t>, calculated in Phase</w:t>
      </w:r>
      <w:r w:rsidR="007A5D2C" w:rsidRPr="004E1337">
        <w:rPr>
          <w:rFonts w:hint="eastAsia"/>
          <w:color w:val="auto"/>
          <w:sz w:val="24"/>
          <w:szCs w:val="24"/>
        </w:rPr>
        <w:t xml:space="preserve"> 1</w:t>
      </w:r>
    </w:p>
    <w:p w14:paraId="58400D59" w14:textId="3F454BF2" w:rsidR="007A5D2C" w:rsidRPr="004E1337" w:rsidRDefault="007A5D2C" w:rsidP="00A064CD">
      <w:pPr>
        <w:pStyle w:val="p1"/>
        <w:jc w:val="both"/>
        <w:rPr>
          <w:color w:val="auto"/>
          <w:sz w:val="24"/>
          <w:szCs w:val="24"/>
        </w:rPr>
      </w:pPr>
      <w:r w:rsidRPr="004E1337">
        <w:rPr>
          <w:color w:val="auto"/>
          <w:sz w:val="24"/>
          <w:szCs w:val="24"/>
        </w:rPr>
        <w:t>K:</w:t>
      </w:r>
      <w:r w:rsidR="00D069BC" w:rsidRPr="00D069BC">
        <w:rPr>
          <w:rFonts w:ascii="-webkit-standard" w:hAnsi="-webkit-standard" w:cs="宋体"/>
          <w:sz w:val="27"/>
          <w:szCs w:val="27"/>
        </w:rPr>
        <w:t xml:space="preserve"> </w:t>
      </w:r>
      <w:r w:rsidR="00D069BC" w:rsidRPr="00D069BC">
        <w:rPr>
          <w:color w:val="auto"/>
          <w:sz w:val="24"/>
          <w:szCs w:val="24"/>
        </w:rPr>
        <w:t>scaling parameter that converts charging-location provision into supported recognised demand. Its baseline value was calibrated as</w:t>
      </w:r>
      <w:r w:rsidR="00D069BC">
        <w:rPr>
          <w:rFonts w:hint="eastAsia"/>
          <w:color w:val="auto"/>
          <w:sz w:val="24"/>
          <w:szCs w:val="24"/>
        </w:rPr>
        <w:t xml:space="preserve"> </w:t>
      </w:r>
      <m:oMath>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0</m:t>
            </m:r>
          </m:sub>
        </m:sSub>
        <m:r>
          <m:rPr>
            <m:sty m:val="p"/>
          </m:rPr>
          <w:rPr>
            <w:rFonts w:ascii="Cambria Math" w:hAnsi="Cambria Math"/>
            <w:color w:val="auto"/>
            <w:sz w:val="24"/>
            <w:szCs w:val="24"/>
          </w:rPr>
          <m:t>=</m:t>
        </m:r>
        <m:f>
          <m:fPr>
            <m:ctrlPr>
              <w:rPr>
                <w:rFonts w:ascii="Cambria Math" w:hAnsi="Cambria Math"/>
                <w:color w:val="auto"/>
                <w:sz w:val="24"/>
                <w:szCs w:val="24"/>
              </w:rPr>
            </m:ctrlPr>
          </m:fPr>
          <m:num>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i</m:t>
                </m:r>
              </m:sub>
              <m:sup/>
              <m:e>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d>
                      <m:dPr>
                        <m:ctrlPr>
                          <w:rPr>
                            <w:rFonts w:ascii="Cambria Math" w:hAnsi="Cambria Math"/>
                            <w:color w:val="auto"/>
                            <w:sz w:val="24"/>
                            <w:szCs w:val="24"/>
                          </w:rPr>
                        </m:ctrlPr>
                      </m:dPr>
                      <m:e>
                        <m:r>
                          <m:rPr>
                            <m:sty m:val="p"/>
                          </m:rPr>
                          <w:rPr>
                            <w:rFonts w:ascii="Cambria Math" w:hAnsi="Cambria Math"/>
                            <w:color w:val="auto"/>
                            <w:sz w:val="24"/>
                            <w:szCs w:val="24"/>
                          </w:rPr>
                          <m:t>0</m:t>
                        </m:r>
                      </m:e>
                    </m:d>
                  </m:sup>
                </m:sSubSup>
              </m:e>
            </m:nary>
          </m:num>
          <m:den>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j</m:t>
                </m:r>
              </m:sub>
              <m:sup/>
              <m:e>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j</m:t>
                    </m:r>
                  </m:sub>
                </m:sSub>
              </m:e>
            </m:nary>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ref</m:t>
                </m:r>
              </m:sub>
            </m:sSub>
          </m:den>
        </m:f>
        <m:r>
          <m:rPr>
            <m:sty m:val="p"/>
          </m:rPr>
          <w:rPr>
            <w:rFonts w:ascii="Cambria Math" w:hAnsi="Cambria Math"/>
            <w:color w:val="auto"/>
            <w:sz w:val="24"/>
            <w:szCs w:val="24"/>
          </w:rPr>
          <m:t>≈13.17</m:t>
        </m:r>
        <m:r>
          <m:rPr>
            <m:sty m:val="p"/>
          </m:rPr>
          <w:rPr>
            <w:rFonts w:ascii="Cambria Math" w:hAnsi="Cambria Math"/>
            <w:color w:val="auto"/>
            <w:sz w:val="24"/>
            <w:szCs w:val="24"/>
          </w:rPr>
          <m:t xml:space="preserve"> </m:t>
        </m:r>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ref</m:t>
            </m:r>
          </m:sub>
        </m:sSub>
        <m:r>
          <m:rPr>
            <m:sty m:val="p"/>
          </m:rPr>
          <w:rPr>
            <w:rFonts w:ascii="Cambria Math" w:hAnsi="Cambria Math"/>
            <w:color w:val="auto"/>
            <w:sz w:val="24"/>
            <w:szCs w:val="24"/>
          </w:rPr>
          <m:t>=5,000</m:t>
        </m:r>
      </m:oMath>
    </w:p>
    <w:p w14:paraId="535FE179" w14:textId="17BE2BA1" w:rsidR="006A24C9" w:rsidRPr="004E1337" w:rsidRDefault="007A5D2C" w:rsidP="00A064CD">
      <w:pPr>
        <w:pStyle w:val="p1"/>
        <w:jc w:val="both"/>
        <w:rPr>
          <w:color w:val="auto"/>
          <w:sz w:val="24"/>
          <w:szCs w:val="24"/>
        </w:rPr>
      </w:pPr>
      <m:oMath>
        <m:r>
          <w:rPr>
            <w:rFonts w:ascii="Cambria Math" w:hAnsi="Cambria Math"/>
            <w:color w:val="auto"/>
            <w:sz w:val="24"/>
            <w:szCs w:val="24"/>
          </w:rPr>
          <m:t>λ</m:t>
        </m:r>
      </m:oMath>
      <w:r w:rsidRPr="004E1337">
        <w:rPr>
          <w:color w:val="auto"/>
          <w:sz w:val="24"/>
          <w:szCs w:val="24"/>
        </w:rPr>
        <w:t xml:space="preserve">: </w:t>
      </w:r>
      <w:r w:rsidR="003B7535" w:rsidRPr="003B7535">
        <w:rPr>
          <w:color w:val="auto"/>
          <w:sz w:val="24"/>
          <w:szCs w:val="24"/>
        </w:rPr>
        <w:t>penalty weight for unserved-demand slack, set to</w:t>
      </w:r>
      <w:r w:rsidR="003B7535">
        <w:rPr>
          <w:rFonts w:hint="eastAsia"/>
          <w:color w:val="auto"/>
          <w:sz w:val="24"/>
          <w:szCs w:val="24"/>
        </w:rPr>
        <w:t xml:space="preserve"> </w:t>
      </w:r>
      <w:r w:rsidR="006A24C9" w:rsidRPr="004E1337">
        <w:rPr>
          <w:color w:val="auto"/>
          <w:sz w:val="24"/>
          <w:szCs w:val="24"/>
        </w:rPr>
        <w:t>λ=1.05×</w:t>
      </w:r>
      <w:proofErr w:type="gramStart"/>
      <w:r w:rsidR="006A24C9" w:rsidRPr="004E1337">
        <w:rPr>
          <w:color w:val="auto"/>
          <w:sz w:val="24"/>
          <w:szCs w:val="24"/>
        </w:rPr>
        <w:t>max(</w:t>
      </w:r>
      <w:proofErr w:type="gramEnd"/>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ij</m:t>
            </m:r>
          </m:sub>
        </m:sSub>
      </m:oMath>
      <w:r w:rsidR="006A24C9" w:rsidRPr="004E1337">
        <w:rPr>
          <w:color w:val="auto"/>
          <w:sz w:val="24"/>
          <w:szCs w:val="24"/>
        </w:rPr>
        <w:t xml:space="preserve">) </w:t>
      </w:r>
      <m:oMath>
        <m:r>
          <m:rPr>
            <m:sty m:val="p"/>
          </m:rPr>
          <w:rPr>
            <w:rFonts w:ascii="Cambria Math" w:hAnsi="Cambria Math"/>
            <w:color w:val="auto"/>
            <w:sz w:val="24"/>
            <w:szCs w:val="24"/>
          </w:rPr>
          <m:t>≈7,899</m:t>
        </m:r>
      </m:oMath>
      <w:r w:rsidR="006A24C9" w:rsidRPr="004E1337">
        <w:rPr>
          <w:color w:val="auto"/>
          <w:sz w:val="24"/>
          <w:szCs w:val="24"/>
        </w:rPr>
        <w:t>m</w:t>
      </w:r>
    </w:p>
    <w:p w14:paraId="3969CE1E" w14:textId="2CB75535" w:rsidR="00A4531A" w:rsidRDefault="00037B1A" w:rsidP="00A064CD">
      <w:pPr>
        <w:pStyle w:val="p1"/>
        <w:jc w:val="both"/>
        <w:rPr>
          <w:color w:val="auto"/>
          <w:sz w:val="24"/>
          <w:szCs w:val="24"/>
        </w:rPr>
      </w:pPr>
      <m:oMath>
        <m:r>
          <w:rPr>
            <w:rFonts w:ascii="Cambria Math" w:hAnsi="Cambria Math"/>
            <w:color w:val="auto"/>
            <w:sz w:val="24"/>
            <w:szCs w:val="24"/>
          </w:rPr>
          <m:t>p</m:t>
        </m:r>
      </m:oMath>
      <w:r w:rsidR="007A5D2C" w:rsidRPr="004E1337">
        <w:rPr>
          <w:color w:val="auto"/>
          <w:sz w:val="24"/>
          <w:szCs w:val="24"/>
        </w:rPr>
        <w:t xml:space="preserve">: </w:t>
      </w:r>
      <w:r w:rsidR="00A4531A" w:rsidRPr="00A4531A">
        <w:rPr>
          <w:color w:val="auto"/>
          <w:sz w:val="24"/>
          <w:szCs w:val="24"/>
        </w:rPr>
        <w:t>total number of additional charging locations available for allocation in each model scenario.</w:t>
      </w:r>
    </w:p>
    <w:p w14:paraId="663167CF" w14:textId="21A5306C" w:rsidR="00A0291B" w:rsidRPr="004E1337" w:rsidRDefault="00000000" w:rsidP="00A064CD">
      <w:pPr>
        <w:pStyle w:val="p1"/>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U</m:t>
            </m:r>
          </m:e>
          <m:sub>
            <m:r>
              <w:rPr>
                <w:rFonts w:ascii="Cambria Math" w:hAnsi="Cambria Math"/>
                <w:color w:val="auto"/>
                <w:sz w:val="24"/>
                <w:szCs w:val="24"/>
              </w:rPr>
              <m:t>j</m:t>
            </m:r>
          </m:sub>
        </m:sSub>
      </m:oMath>
      <w:r w:rsidR="00673E64" w:rsidRPr="004E1337">
        <w:rPr>
          <w:color w:val="auto"/>
          <w:sz w:val="24"/>
          <w:szCs w:val="24"/>
        </w:rPr>
        <w:t>:</w:t>
      </w:r>
      <w:r w:rsidR="00673E64" w:rsidRPr="004E1337">
        <w:rPr>
          <w:rFonts w:hint="eastAsia"/>
          <w:color w:val="auto"/>
          <w:sz w:val="24"/>
          <w:szCs w:val="24"/>
        </w:rPr>
        <w:t xml:space="preserve"> </w:t>
      </w:r>
      <w:r w:rsidR="00A4531A" w:rsidRPr="00A4531A">
        <w:rPr>
          <w:color w:val="auto"/>
          <w:sz w:val="24"/>
          <w:szCs w:val="24"/>
        </w:rPr>
        <w:t>maximum amount of additional charging provision that can be allocated to LSOA</w:t>
      </w:r>
      <w:r w:rsidR="00A4531A">
        <w:rPr>
          <w:color w:val="auto"/>
          <w:sz w:val="24"/>
          <w:szCs w:val="24"/>
        </w:rPr>
        <w:t xml:space="preserve"> </w:t>
      </w:r>
      <m:oMath>
        <m:r>
          <w:rPr>
            <w:rFonts w:ascii="Cambria Math" w:hAnsi="Cambria Math"/>
            <w:color w:val="auto"/>
            <w:sz w:val="24"/>
            <w:szCs w:val="24"/>
          </w:rPr>
          <m:t>j</m:t>
        </m:r>
      </m:oMath>
      <w:r w:rsidR="00A4531A" w:rsidRPr="00A4531A">
        <w:rPr>
          <w:color w:val="auto"/>
          <w:sz w:val="24"/>
          <w:szCs w:val="24"/>
        </w:rPr>
        <w:t>. This parameter acts as a safeguard against excessive spatial concentration and was subject to sensitivity testing.</w:t>
      </w:r>
    </w:p>
    <w:p w14:paraId="5964A24B" w14:textId="77777777" w:rsidR="004E1337" w:rsidRDefault="004E1337" w:rsidP="00A064CD">
      <w:pPr>
        <w:pStyle w:val="p1"/>
        <w:jc w:val="both"/>
        <w:rPr>
          <w:iCs/>
        </w:rPr>
      </w:pPr>
    </w:p>
    <w:p w14:paraId="5ABF76AE" w14:textId="77777777" w:rsidR="00651625" w:rsidRPr="00A35464" w:rsidRDefault="00651625" w:rsidP="00A064CD">
      <w:pPr>
        <w:pStyle w:val="p1"/>
        <w:jc w:val="both"/>
        <w:rPr>
          <w:color w:val="auto"/>
          <w:sz w:val="24"/>
          <w:szCs w:val="24"/>
        </w:rPr>
      </w:pPr>
      <w:r w:rsidRPr="00A35464">
        <w:rPr>
          <w:color w:val="auto"/>
          <w:sz w:val="24"/>
          <w:szCs w:val="24"/>
        </w:rPr>
        <w:t xml:space="preserve">To control the computational size of the Greater London-wide model, only the (k) nearest candidate allocation nodes were retained for each demand node. Here, (k) is a </w:t>
      </w:r>
      <w:r w:rsidRPr="00A35464">
        <w:rPr>
          <w:color w:val="auto"/>
          <w:sz w:val="24"/>
          <w:szCs w:val="24"/>
        </w:rPr>
        <w:lastRenderedPageBreak/>
        <w:t xml:space="preserve">computational </w:t>
      </w:r>
      <w:proofErr w:type="spellStart"/>
      <w:r w:rsidRPr="00A35464">
        <w:rPr>
          <w:color w:val="auto"/>
          <w:sz w:val="24"/>
          <w:szCs w:val="24"/>
        </w:rPr>
        <w:t>sparsification</w:t>
      </w:r>
      <w:proofErr w:type="spellEnd"/>
      <w:r w:rsidRPr="00A35464">
        <w:rPr>
          <w:color w:val="auto"/>
          <w:sz w:val="24"/>
          <w:szCs w:val="24"/>
        </w:rPr>
        <w:t xml:space="preserve"> parameter rather than a service radius based on planning policy. Its value was examined through sensitivity testing and was set to (k=40).</w:t>
      </w:r>
    </w:p>
    <w:p w14:paraId="5FB52C37" w14:textId="77777777" w:rsidR="004E1337" w:rsidRPr="00A35464" w:rsidRDefault="004E1337" w:rsidP="00A064CD">
      <w:pPr>
        <w:pStyle w:val="p1"/>
        <w:jc w:val="both"/>
        <w:rPr>
          <w:color w:val="auto"/>
          <w:sz w:val="24"/>
          <w:szCs w:val="24"/>
        </w:rPr>
      </w:pPr>
    </w:p>
    <w:p w14:paraId="61B7461F" w14:textId="15D92C33" w:rsidR="005015CF" w:rsidRPr="00A35464" w:rsidRDefault="00651625" w:rsidP="00A064CD">
      <w:pPr>
        <w:pStyle w:val="p1"/>
        <w:jc w:val="both"/>
        <w:rPr>
          <w:color w:val="auto"/>
          <w:sz w:val="24"/>
          <w:szCs w:val="24"/>
        </w:rPr>
      </w:pPr>
      <w:r w:rsidRPr="00A35464">
        <w:rPr>
          <w:color w:val="auto"/>
          <w:sz w:val="24"/>
          <w:szCs w:val="24"/>
        </w:rPr>
        <w:t>The model includes</w:t>
      </w:r>
      <w:r w:rsidR="005015CF" w:rsidRPr="00A35464">
        <w:rPr>
          <w:color w:val="auto"/>
          <w:sz w:val="24"/>
          <w:szCs w:val="24"/>
        </w:rPr>
        <w:t xml:space="preserve"> decision variables</w:t>
      </w:r>
      <w:r w:rsidRPr="00A35464">
        <w:rPr>
          <w:color w:val="auto"/>
          <w:sz w:val="24"/>
          <w:szCs w:val="24"/>
        </w:rPr>
        <w:t xml:space="preserve"> as follows</w:t>
      </w:r>
      <w:r w:rsidR="005015CF" w:rsidRPr="00A35464">
        <w:rPr>
          <w:color w:val="auto"/>
          <w:sz w:val="24"/>
          <w:szCs w:val="24"/>
        </w:rPr>
        <w:t>：</w:t>
      </w:r>
    </w:p>
    <w:p w14:paraId="6B0A939E" w14:textId="77777777" w:rsidR="005015CF" w:rsidRPr="00A35464" w:rsidRDefault="00000000" w:rsidP="00A064CD">
      <w:pPr>
        <w:pStyle w:val="p1"/>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j</m:t>
            </m:r>
          </m:sub>
        </m:sSub>
      </m:oMath>
      <w:r w:rsidR="005015CF" w:rsidRPr="00A35464">
        <w:rPr>
          <w:color w:val="auto"/>
          <w:sz w:val="24"/>
          <w:szCs w:val="24"/>
        </w:rPr>
        <w:t xml:space="preserve">: number of additional charging locations allocated to LSOA </w:t>
      </w:r>
      <m:oMath>
        <m:r>
          <w:rPr>
            <w:rFonts w:ascii="Cambria Math" w:hAnsi="Cambria Math"/>
            <w:color w:val="auto"/>
            <w:sz w:val="24"/>
            <w:szCs w:val="24"/>
          </w:rPr>
          <m:t>j</m:t>
        </m:r>
      </m:oMath>
      <w:r w:rsidR="005015CF" w:rsidRPr="00A35464">
        <w:rPr>
          <w:color w:val="auto"/>
          <w:sz w:val="24"/>
          <w:szCs w:val="24"/>
        </w:rPr>
        <w:t>; must be a non-negative integer because provision is delivered in discrete units.</w:t>
      </w:r>
    </w:p>
    <w:p w14:paraId="23774741" w14:textId="49DE5972" w:rsidR="005015CF" w:rsidRPr="00A35464" w:rsidRDefault="00000000" w:rsidP="00A064CD">
      <w:pPr>
        <w:pStyle w:val="p1"/>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ij</m:t>
            </m:r>
          </m:sub>
        </m:sSub>
      </m:oMath>
      <w:r w:rsidR="005015CF" w:rsidRPr="00A35464">
        <w:rPr>
          <w:color w:val="auto"/>
          <w:sz w:val="24"/>
          <w:szCs w:val="24"/>
        </w:rPr>
        <w:t xml:space="preserve">: assignment variable linking the demand of LSOA </w:t>
      </w:r>
      <m:oMath>
        <m:r>
          <w:rPr>
            <w:rFonts w:ascii="Cambria Math" w:hAnsi="Cambria Math"/>
            <w:color w:val="auto"/>
            <w:sz w:val="24"/>
            <w:szCs w:val="24"/>
          </w:rPr>
          <m:t>i</m:t>
        </m:r>
      </m:oMath>
      <w:r w:rsidR="005015CF" w:rsidRPr="00A35464">
        <w:rPr>
          <w:color w:val="auto"/>
          <w:sz w:val="24"/>
          <w:szCs w:val="24"/>
        </w:rPr>
        <w:t xml:space="preserve"> to capacity located in LSOA </w:t>
      </w:r>
      <m:oMath>
        <m:r>
          <w:rPr>
            <w:rFonts w:ascii="Cambria Math" w:hAnsi="Cambria Math"/>
            <w:color w:val="auto"/>
            <w:sz w:val="24"/>
            <w:szCs w:val="24"/>
          </w:rPr>
          <m:t>j</m:t>
        </m:r>
      </m:oMath>
      <w:r w:rsidR="005015CF" w:rsidRPr="00A35464">
        <w:rPr>
          <w:color w:val="auto"/>
          <w:sz w:val="24"/>
          <w:szCs w:val="24"/>
        </w:rPr>
        <w:t xml:space="preserve">; </w:t>
      </w:r>
      <m:oMath>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ij</m:t>
            </m:r>
          </m:sub>
        </m:sSub>
        <m:r>
          <m:rPr>
            <m:sty m:val="p"/>
          </m:rPr>
          <w:rPr>
            <w:rFonts w:ascii="Cambria Math" w:hAnsi="Cambria Math"/>
            <w:color w:val="auto"/>
            <w:sz w:val="24"/>
            <w:szCs w:val="24"/>
          </w:rPr>
          <m:t>∈</m:t>
        </m:r>
        <m:d>
          <m:dPr>
            <m:begChr m:val="["/>
            <m:endChr m:val="]"/>
            <m:ctrlPr>
              <w:rPr>
                <w:rFonts w:ascii="Cambria Math" w:hAnsi="Cambria Math"/>
                <w:color w:val="auto"/>
                <w:sz w:val="24"/>
                <w:szCs w:val="24"/>
              </w:rPr>
            </m:ctrlPr>
          </m:dPr>
          <m:e>
            <m:r>
              <m:rPr>
                <m:sty m:val="p"/>
              </m:rPr>
              <w:rPr>
                <w:rFonts w:ascii="Cambria Math" w:hAnsi="Cambria Math"/>
                <w:color w:val="auto"/>
                <w:sz w:val="24"/>
                <w:szCs w:val="24"/>
              </w:rPr>
              <m:t>0,1</m:t>
            </m:r>
          </m:e>
        </m:d>
      </m:oMath>
      <w:r w:rsidR="005015CF" w:rsidRPr="00A35464">
        <w:rPr>
          <w:color w:val="auto"/>
          <w:sz w:val="24"/>
          <w:szCs w:val="24"/>
        </w:rPr>
        <w:t xml:space="preserve"> allows this to represent the proportion of LSOA </w:t>
      </w:r>
      <m:oMath>
        <m:r>
          <w:rPr>
            <w:rFonts w:ascii="Cambria Math" w:hAnsi="Cambria Math"/>
            <w:color w:val="auto"/>
            <w:sz w:val="24"/>
            <w:szCs w:val="24"/>
          </w:rPr>
          <m:t>i</m:t>
        </m:r>
      </m:oMath>
      <w:r w:rsidR="005015CF" w:rsidRPr="00A35464">
        <w:rPr>
          <w:color w:val="auto"/>
          <w:sz w:val="24"/>
          <w:szCs w:val="24"/>
        </w:rPr>
        <w:t xml:space="preserve">'s demand served by allocation node </w:t>
      </w:r>
      <m:oMath>
        <m:r>
          <w:rPr>
            <w:rFonts w:ascii="Cambria Math" w:hAnsi="Cambria Math"/>
            <w:color w:val="auto"/>
            <w:sz w:val="24"/>
            <w:szCs w:val="24"/>
          </w:rPr>
          <m:t>j</m:t>
        </m:r>
      </m:oMath>
      <w:r w:rsidR="005015CF" w:rsidRPr="00A35464">
        <w:rPr>
          <w:color w:val="auto"/>
          <w:sz w:val="24"/>
          <w:szCs w:val="24"/>
        </w:rPr>
        <w:t>.</w:t>
      </w:r>
    </w:p>
    <w:p w14:paraId="0FCE06BE" w14:textId="19AADD26" w:rsidR="005015CF" w:rsidRPr="00A35464" w:rsidRDefault="00000000" w:rsidP="00A064CD">
      <w:pPr>
        <w:pStyle w:val="p1"/>
        <w:jc w:val="both"/>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s</m:t>
            </m:r>
          </m:e>
          <m:sub>
            <m:r>
              <w:rPr>
                <w:rFonts w:ascii="Cambria Math" w:hAnsi="Cambria Math"/>
                <w:color w:val="auto"/>
                <w:sz w:val="24"/>
                <w:szCs w:val="24"/>
              </w:rPr>
              <m:t>j</m:t>
            </m:r>
          </m:sub>
        </m:sSub>
      </m:oMath>
      <w:r w:rsidR="005015CF" w:rsidRPr="00A35464">
        <w:rPr>
          <w:color w:val="auto"/>
          <w:sz w:val="24"/>
          <w:szCs w:val="24"/>
        </w:rPr>
        <w:t xml:space="preserve">: </w:t>
      </w:r>
      <w:r w:rsidR="006122BC" w:rsidRPr="00A35464">
        <w:rPr>
          <w:color w:val="auto"/>
          <w:sz w:val="24"/>
          <w:szCs w:val="24"/>
        </w:rPr>
        <w:t xml:space="preserve">unserved-demand slack associated with allocation node </w:t>
      </w:r>
      <m:oMath>
        <m:r>
          <w:rPr>
            <w:rFonts w:ascii="Cambria Math" w:hAnsi="Cambria Math"/>
            <w:color w:val="auto"/>
            <w:sz w:val="24"/>
            <w:szCs w:val="24"/>
          </w:rPr>
          <m:t>j</m:t>
        </m:r>
      </m:oMath>
      <w:r w:rsidR="006122BC" w:rsidRPr="00A35464">
        <w:rPr>
          <w:color w:val="auto"/>
          <w:sz w:val="24"/>
          <w:szCs w:val="24"/>
        </w:rPr>
        <w:t>, representing the recognised demand assigned to that node that cannot be supported by its existing and additional provision.</w:t>
      </w:r>
    </w:p>
    <w:p w14:paraId="6EEB70B2" w14:textId="77777777" w:rsidR="005015CF" w:rsidRPr="00A35464" w:rsidRDefault="005015CF" w:rsidP="00A064CD">
      <w:pPr>
        <w:pStyle w:val="p1"/>
        <w:jc w:val="both"/>
        <w:rPr>
          <w:color w:val="auto"/>
          <w:sz w:val="24"/>
          <w:szCs w:val="24"/>
        </w:rPr>
      </w:pPr>
    </w:p>
    <w:p w14:paraId="30B0C106" w14:textId="77777777" w:rsidR="00D21802" w:rsidRPr="00A35464" w:rsidRDefault="00D21802" w:rsidP="00A064CD">
      <w:pPr>
        <w:pStyle w:val="p1"/>
        <w:jc w:val="both"/>
        <w:rPr>
          <w:color w:val="auto"/>
          <w:sz w:val="24"/>
          <w:szCs w:val="24"/>
        </w:rPr>
      </w:pPr>
      <w:r w:rsidRPr="00A35464">
        <w:rPr>
          <w:color w:val="auto"/>
          <w:sz w:val="24"/>
          <w:szCs w:val="24"/>
        </w:rPr>
        <w:t>The model’s objective function and constraints are as follows</w:t>
      </w:r>
    </w:p>
    <w:p w14:paraId="00319E8F" w14:textId="4F09F917" w:rsidR="00A402E8" w:rsidRPr="00E10393" w:rsidRDefault="00A402E8" w:rsidP="00A064CD">
      <w:pPr>
        <w:pStyle w:val="p1"/>
        <w:jc w:val="both"/>
        <w:rPr>
          <w:color w:val="auto"/>
          <w:sz w:val="24"/>
          <w:szCs w:val="24"/>
        </w:rPr>
      </w:pPr>
      <w:r w:rsidRPr="00E10393">
        <w:rPr>
          <w:color w:val="auto"/>
          <w:sz w:val="24"/>
          <w:szCs w:val="24"/>
        </w:rPr>
        <w:t>Objective Function</w:t>
      </w:r>
    </w:p>
    <w:p w14:paraId="0A9C86E7" w14:textId="77777777" w:rsidR="00A402E8" w:rsidRPr="00E10393" w:rsidRDefault="00000000" w:rsidP="00A064CD">
      <w:pPr>
        <w:pStyle w:val="p1"/>
        <w:jc w:val="both"/>
        <w:rPr>
          <w:color w:val="auto"/>
          <w:sz w:val="24"/>
          <w:szCs w:val="24"/>
        </w:rPr>
      </w:pPr>
      <m:oMathPara>
        <m:oMath>
          <m:func>
            <m:funcPr>
              <m:ctrlPr>
                <w:rPr>
                  <w:rFonts w:ascii="Cambria Math" w:hAnsi="Cambria Math"/>
                  <w:color w:val="auto"/>
                  <w:sz w:val="24"/>
                  <w:szCs w:val="24"/>
                </w:rPr>
              </m:ctrlPr>
            </m:funcPr>
            <m:fName>
              <m:r>
                <m:rPr>
                  <m:sty m:val="p"/>
                </m:rPr>
                <w:rPr>
                  <w:rFonts w:ascii="Cambria Math" w:hAnsi="Cambria Math"/>
                  <w:color w:val="auto"/>
                  <w:sz w:val="24"/>
                  <w:szCs w:val="24"/>
                </w:rPr>
                <m:t>min</m:t>
              </m:r>
            </m:fName>
            <m:e>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i</m:t>
                  </m:r>
                  <m:r>
                    <m:rPr>
                      <m:sty m:val="p"/>
                    </m:rPr>
                    <w:rPr>
                      <w:rFonts w:ascii="Cambria Math" w:hAnsi="Cambria Math"/>
                      <w:color w:val="auto"/>
                      <w:sz w:val="24"/>
                      <w:szCs w:val="24"/>
                    </w:rPr>
                    <m:t>∈</m:t>
                  </m:r>
                  <m:r>
                    <w:rPr>
                      <w:rFonts w:ascii="Cambria Math" w:hAnsi="Cambria Math"/>
                      <w:color w:val="auto"/>
                      <w:sz w:val="24"/>
                      <w:szCs w:val="24"/>
                    </w:rPr>
                    <m:t>I</m:t>
                  </m:r>
                </m:sub>
                <m:sup/>
                <m:e>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j</m:t>
                      </m:r>
                      <m:r>
                        <m:rPr>
                          <m:sty m:val="p"/>
                        </m:rPr>
                        <w:rPr>
                          <w:rFonts w:ascii="Cambria Math" w:hAnsi="Cambria Math"/>
                          <w:color w:val="auto"/>
                          <w:sz w:val="24"/>
                          <w:szCs w:val="24"/>
                        </w:rPr>
                        <m:t>∈</m:t>
                      </m:r>
                      <m:r>
                        <w:rPr>
                          <w:rFonts w:ascii="Cambria Math" w:hAnsi="Cambria Math"/>
                          <w:color w:val="auto"/>
                          <w:sz w:val="24"/>
                          <w:szCs w:val="24"/>
                        </w:rPr>
                        <m:t>J</m:t>
                      </m:r>
                    </m:sub>
                    <m:sup/>
                    <m:e>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m:t>
                          </m:r>
                        </m:sub>
                      </m:sSub>
                    </m:e>
                  </m:nary>
                </m:e>
              </m:nary>
              <m:d>
                <m:dPr>
                  <m:ctrlPr>
                    <w:rPr>
                      <w:rFonts w:ascii="Cambria Math" w:hAnsi="Cambria Math"/>
                      <w:color w:val="auto"/>
                      <w:sz w:val="24"/>
                      <w:szCs w:val="24"/>
                    </w:rPr>
                  </m:ctrlPr>
                </m:dPr>
                <m:e>
                  <m:r>
                    <w:rPr>
                      <w:rFonts w:ascii="Cambria Math" w:hAnsi="Cambria Math"/>
                      <w:color w:val="auto"/>
                      <w:sz w:val="24"/>
                      <w:szCs w:val="24"/>
                    </w:rPr>
                    <m:t>α</m:t>
                  </m:r>
                </m:e>
              </m:d>
            </m:e>
          </m:func>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ij</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ij</m:t>
              </m:r>
            </m:sub>
          </m:sSub>
          <m:r>
            <m:rPr>
              <m:sty m:val="p"/>
            </m:rPr>
            <w:rPr>
              <w:rFonts w:ascii="Cambria Math" w:hAnsi="Cambria Math"/>
              <w:color w:val="auto"/>
              <w:sz w:val="24"/>
              <w:szCs w:val="24"/>
            </w:rPr>
            <m:t>+</m:t>
          </m:r>
          <m:r>
            <w:rPr>
              <w:rFonts w:ascii="Cambria Math" w:hAnsi="Cambria Math"/>
              <w:color w:val="auto"/>
              <w:sz w:val="24"/>
              <w:szCs w:val="24"/>
            </w:rPr>
            <m:t>λ</m:t>
          </m:r>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j</m:t>
              </m:r>
            </m:sub>
            <m:sup/>
            <m:e>
              <m:sSub>
                <m:sSubPr>
                  <m:ctrlPr>
                    <w:rPr>
                      <w:rFonts w:ascii="Cambria Math" w:hAnsi="Cambria Math"/>
                      <w:color w:val="auto"/>
                      <w:sz w:val="24"/>
                      <w:szCs w:val="24"/>
                    </w:rPr>
                  </m:ctrlPr>
                </m:sSubPr>
                <m:e>
                  <m:r>
                    <w:rPr>
                      <w:rFonts w:ascii="Cambria Math" w:hAnsi="Cambria Math"/>
                      <w:color w:val="auto"/>
                      <w:sz w:val="24"/>
                      <w:szCs w:val="24"/>
                    </w:rPr>
                    <m:t>s</m:t>
                  </m:r>
                </m:e>
                <m:sub>
                  <m:r>
                    <w:rPr>
                      <w:rFonts w:ascii="Cambria Math" w:hAnsi="Cambria Math"/>
                      <w:color w:val="auto"/>
                      <w:sz w:val="24"/>
                      <w:szCs w:val="24"/>
                    </w:rPr>
                    <m:t>j</m:t>
                  </m:r>
                </m:sub>
              </m:sSub>
            </m:e>
          </m:nary>
        </m:oMath>
      </m:oMathPara>
    </w:p>
    <w:p w14:paraId="5A60CEB7" w14:textId="77777777" w:rsidR="0017304D" w:rsidRPr="00E10393" w:rsidRDefault="0017304D" w:rsidP="00A064CD">
      <w:pPr>
        <w:jc w:val="both"/>
        <w:rPr>
          <w:rFonts w:ascii="Times New Roman" w:hAnsi="Times New Roman" w:cs="Times New Roman"/>
        </w:rPr>
      </w:pPr>
    </w:p>
    <w:p w14:paraId="1F8E6E1F" w14:textId="22171732" w:rsidR="00A402E8" w:rsidRPr="00E10393" w:rsidRDefault="00A402E8" w:rsidP="00A064CD">
      <w:pPr>
        <w:pStyle w:val="p1"/>
        <w:jc w:val="both"/>
        <w:rPr>
          <w:color w:val="auto"/>
          <w:sz w:val="24"/>
          <w:szCs w:val="24"/>
        </w:rPr>
      </w:pPr>
      <w:r w:rsidRPr="00E10393">
        <w:rPr>
          <w:color w:val="auto"/>
          <w:sz w:val="24"/>
          <w:szCs w:val="24"/>
        </w:rPr>
        <w:t>S</w:t>
      </w:r>
      <w:r w:rsidRPr="00E10393">
        <w:rPr>
          <w:rFonts w:hint="eastAsia"/>
          <w:color w:val="auto"/>
          <w:sz w:val="24"/>
          <w:szCs w:val="24"/>
        </w:rPr>
        <w:t>ubject to</w:t>
      </w:r>
    </w:p>
    <w:p w14:paraId="36236D16" w14:textId="77777777" w:rsidR="00A402E8" w:rsidRPr="00E10393" w:rsidRDefault="00A402E8" w:rsidP="00A064CD">
      <w:pPr>
        <w:pStyle w:val="p1"/>
        <w:jc w:val="both"/>
        <w:rPr>
          <w:color w:val="auto"/>
          <w:sz w:val="24"/>
          <w:szCs w:val="24"/>
        </w:rPr>
      </w:pPr>
      <w:r w:rsidRPr="00E10393">
        <w:rPr>
          <w:color w:val="auto"/>
          <w:sz w:val="24"/>
          <w:szCs w:val="24"/>
        </w:rPr>
        <w:t>C1 </w:t>
      </w:r>
      <w:r w:rsidRPr="00E10393">
        <w:rPr>
          <w:color w:val="auto"/>
          <w:sz w:val="24"/>
          <w:szCs w:val="24"/>
        </w:rPr>
        <w:br/>
      </w:r>
      <m:oMathPara>
        <m:oMath>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i</m:t>
              </m:r>
            </m:sub>
            <m:sup/>
            <m:e>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r>
                    <w:rPr>
                      <w:rFonts w:ascii="Cambria Math" w:hAnsi="Cambria Math"/>
                      <w:color w:val="auto"/>
                      <w:sz w:val="24"/>
                      <w:szCs w:val="24"/>
                    </w:rPr>
                    <m:t>α</m:t>
                  </m:r>
                </m:sup>
              </m:sSubSup>
            </m:e>
          </m:nary>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ij</m:t>
              </m:r>
            </m:sub>
          </m:sSub>
          <m:r>
            <m:rPr>
              <m:sty m:val="p"/>
            </m:rPr>
            <w:rPr>
              <w:rFonts w:ascii="Cambria Math" w:hAnsi="Cambria Math"/>
              <w:color w:val="auto"/>
              <w:sz w:val="24"/>
              <w:szCs w:val="24"/>
            </w:rPr>
            <m:t>≤</m:t>
          </m:r>
          <m:r>
            <w:rPr>
              <w:rFonts w:ascii="Cambria Math" w:hAnsi="Cambria Math"/>
              <w:color w:val="auto"/>
              <w:sz w:val="24"/>
              <w:szCs w:val="24"/>
            </w:rPr>
            <m:t>K</m:t>
          </m:r>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j</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j</m:t>
                  </m:r>
                </m:sub>
              </m:sSub>
            </m:e>
          </m:d>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s</m:t>
              </m:r>
            </m:e>
            <m:sub>
              <m:r>
                <w:rPr>
                  <w:rFonts w:ascii="Cambria Math" w:hAnsi="Cambria Math"/>
                  <w:color w:val="auto"/>
                  <w:sz w:val="24"/>
                  <w:szCs w:val="24"/>
                </w:rPr>
                <m:t>j</m:t>
              </m:r>
            </m:sub>
          </m:sSub>
          <m:r>
            <m:rPr>
              <m:sty m:val="p"/>
            </m:rPr>
            <w:rPr>
              <w:rFonts w:ascii="Cambria Math" w:hAnsi="Cambria Math"/>
              <w:color w:val="auto"/>
              <w:sz w:val="24"/>
              <w:szCs w:val="24"/>
            </w:rPr>
            <m:t> </m:t>
          </m:r>
          <m:r>
            <m:rPr>
              <m:sty m:val="p"/>
            </m:rPr>
            <w:rPr>
              <w:rFonts w:ascii="Cambria Math" w:hAnsi="Cambria Math"/>
              <w:color w:val="auto"/>
              <w:sz w:val="24"/>
              <w:szCs w:val="24"/>
            </w:rPr>
            <m:t>∀</m:t>
          </m:r>
          <m:r>
            <w:rPr>
              <w:rFonts w:ascii="Cambria Math" w:hAnsi="Cambria Math"/>
              <w:color w:val="auto"/>
              <w:sz w:val="24"/>
              <w:szCs w:val="24"/>
            </w:rPr>
            <m:t>j</m:t>
          </m:r>
          <m:r>
            <m:rPr>
              <m:sty m:val="p"/>
            </m:rPr>
            <w:rPr>
              <w:rFonts w:ascii="Cambria Math" w:hAnsi="Cambria Math"/>
              <w:color w:val="auto"/>
              <w:sz w:val="24"/>
              <w:szCs w:val="24"/>
            </w:rPr>
            <m:t>,  </m:t>
          </m:r>
          <m:sSub>
            <m:sSubPr>
              <m:ctrlPr>
                <w:rPr>
                  <w:rFonts w:ascii="Cambria Math" w:hAnsi="Cambria Math"/>
                  <w:color w:val="auto"/>
                  <w:sz w:val="24"/>
                  <w:szCs w:val="24"/>
                </w:rPr>
              </m:ctrlPr>
            </m:sSubPr>
            <m:e>
              <m:r>
                <w:rPr>
                  <w:rFonts w:ascii="Cambria Math" w:hAnsi="Cambria Math"/>
                  <w:color w:val="auto"/>
                  <w:sz w:val="24"/>
                  <w:szCs w:val="24"/>
                </w:rPr>
                <m:t>s</m:t>
              </m:r>
            </m:e>
            <m:sub>
              <m:r>
                <w:rPr>
                  <w:rFonts w:ascii="Cambria Math" w:hAnsi="Cambria Math"/>
                  <w:color w:val="auto"/>
                  <w:sz w:val="24"/>
                  <w:szCs w:val="24"/>
                </w:rPr>
                <m:t>j</m:t>
              </m:r>
            </m:sub>
          </m:sSub>
          <m:r>
            <m:rPr>
              <m:sty m:val="p"/>
            </m:rPr>
            <w:rPr>
              <w:rFonts w:ascii="Cambria Math" w:hAnsi="Cambria Math"/>
              <w:color w:val="auto"/>
              <w:sz w:val="24"/>
              <w:szCs w:val="24"/>
            </w:rPr>
            <m:t>≥0</m:t>
          </m:r>
        </m:oMath>
      </m:oMathPara>
    </w:p>
    <w:p w14:paraId="081CA5F5" w14:textId="77777777" w:rsidR="00A402E8" w:rsidRPr="00E10393" w:rsidRDefault="00A402E8" w:rsidP="00A064CD">
      <w:pPr>
        <w:pStyle w:val="p1"/>
        <w:jc w:val="both"/>
        <w:rPr>
          <w:color w:val="auto"/>
          <w:sz w:val="24"/>
          <w:szCs w:val="24"/>
        </w:rPr>
      </w:pPr>
      <w:r w:rsidRPr="00E10393">
        <w:rPr>
          <w:color w:val="auto"/>
          <w:sz w:val="24"/>
          <w:szCs w:val="24"/>
        </w:rPr>
        <w:t>C2 </w:t>
      </w:r>
      <w:r w:rsidRPr="00E10393">
        <w:rPr>
          <w:color w:val="auto"/>
          <w:sz w:val="24"/>
          <w:szCs w:val="24"/>
        </w:rPr>
        <w:br/>
      </w:r>
      <m:oMathPara>
        <m:oMath>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j</m:t>
              </m:r>
            </m:sub>
            <m:sup/>
            <m:e>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ij</m:t>
                  </m:r>
                </m:sub>
              </m:sSub>
            </m:e>
          </m:nary>
          <m:r>
            <m:rPr>
              <m:sty m:val="p"/>
            </m:rPr>
            <w:rPr>
              <w:rFonts w:ascii="Cambria Math" w:hAnsi="Cambria Math"/>
              <w:color w:val="auto"/>
              <w:sz w:val="24"/>
              <w:szCs w:val="24"/>
            </w:rPr>
            <m:t>=1</m:t>
          </m:r>
          <m:r>
            <m:rPr>
              <m:sty m:val="p"/>
            </m:rPr>
            <w:rPr>
              <w:rFonts w:ascii="Cambria Math" w:hAnsi="Cambria Math"/>
              <w:color w:val="auto"/>
              <w:sz w:val="24"/>
              <w:szCs w:val="24"/>
            </w:rPr>
            <m:t> </m:t>
          </m:r>
          <m:r>
            <m:rPr>
              <m:sty m:val="p"/>
            </m:rPr>
            <w:rPr>
              <w:rFonts w:ascii="Cambria Math" w:hAnsi="Cambria Math"/>
              <w:color w:val="auto"/>
              <w:sz w:val="24"/>
              <w:szCs w:val="24"/>
            </w:rPr>
            <m:t>∀</m:t>
          </m:r>
          <m:r>
            <w:rPr>
              <w:rFonts w:ascii="Cambria Math" w:hAnsi="Cambria Math"/>
              <w:color w:val="auto"/>
              <w:sz w:val="24"/>
              <w:szCs w:val="24"/>
            </w:rPr>
            <m:t>i</m:t>
          </m:r>
        </m:oMath>
      </m:oMathPara>
    </w:p>
    <w:p w14:paraId="4E176DFD" w14:textId="77777777" w:rsidR="00A402E8" w:rsidRPr="00E10393" w:rsidRDefault="00A402E8" w:rsidP="00A064CD">
      <w:pPr>
        <w:pStyle w:val="p1"/>
        <w:jc w:val="both"/>
        <w:rPr>
          <w:color w:val="auto"/>
          <w:sz w:val="24"/>
          <w:szCs w:val="24"/>
        </w:rPr>
      </w:pPr>
      <w:r w:rsidRPr="00E10393">
        <w:rPr>
          <w:color w:val="auto"/>
          <w:sz w:val="24"/>
          <w:szCs w:val="24"/>
        </w:rPr>
        <w:t>C3 </w:t>
      </w:r>
      <w:r w:rsidRPr="00E10393">
        <w:rPr>
          <w:color w:val="auto"/>
          <w:sz w:val="24"/>
          <w:szCs w:val="24"/>
        </w:rPr>
        <w:br/>
      </w:r>
      <m:oMathPara>
        <m:oMath>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j</m:t>
              </m:r>
            </m:sub>
            <m:sup/>
            <m:e>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j</m:t>
                  </m:r>
                </m:sub>
              </m:sSub>
            </m:e>
          </m:nary>
          <m:r>
            <m:rPr>
              <m:sty m:val="p"/>
            </m:rPr>
            <w:rPr>
              <w:rFonts w:ascii="Cambria Math" w:hAnsi="Cambria Math"/>
              <w:color w:val="auto"/>
              <w:sz w:val="24"/>
              <w:szCs w:val="24"/>
            </w:rPr>
            <m:t>=</m:t>
          </m:r>
          <m:r>
            <w:rPr>
              <w:rFonts w:ascii="Cambria Math" w:hAnsi="Cambria Math"/>
              <w:color w:val="auto"/>
              <w:sz w:val="24"/>
              <w:szCs w:val="24"/>
            </w:rPr>
            <m:t>p</m:t>
          </m:r>
        </m:oMath>
      </m:oMathPara>
    </w:p>
    <w:p w14:paraId="73E34F69" w14:textId="77777777" w:rsidR="00A402E8" w:rsidRPr="00E10393" w:rsidRDefault="00A402E8" w:rsidP="00A064CD">
      <w:pPr>
        <w:pStyle w:val="p1"/>
        <w:jc w:val="both"/>
        <w:rPr>
          <w:color w:val="auto"/>
          <w:sz w:val="24"/>
          <w:szCs w:val="24"/>
        </w:rPr>
      </w:pPr>
      <w:r w:rsidRPr="00E10393">
        <w:rPr>
          <w:color w:val="auto"/>
          <w:sz w:val="24"/>
          <w:szCs w:val="24"/>
        </w:rPr>
        <w:t>C4 </w:t>
      </w:r>
      <w:r w:rsidRPr="00E10393">
        <w:rPr>
          <w:color w:val="auto"/>
          <w:sz w:val="24"/>
          <w:szCs w:val="24"/>
        </w:rPr>
        <w:br/>
      </w:r>
      <m:oMathPara>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j</m:t>
              </m:r>
            </m:sub>
          </m:sSub>
          <m:r>
            <m:rPr>
              <m:scr m:val="double-struck"/>
              <m:sty m:val="p"/>
            </m:rPr>
            <w:rPr>
              <w:rFonts w:ascii="Cambria Math" w:hAnsi="Cambria Math"/>
              <w:color w:val="auto"/>
              <w:sz w:val="24"/>
              <w:szCs w:val="24"/>
            </w:rPr>
            <m:t>∈Z</m:t>
          </m:r>
          <m:r>
            <m:rPr>
              <m:sty m:val="p"/>
            </m:rPr>
            <w:rPr>
              <w:rFonts w:ascii="Cambria Math" w:hAnsi="Cambria Math"/>
              <w:color w:val="auto"/>
              <w:sz w:val="24"/>
              <w:szCs w:val="24"/>
            </w:rPr>
            <m:t>≥0,  0≤</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j</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U</m:t>
              </m:r>
            </m:e>
            <m:sub>
              <m:r>
                <w:rPr>
                  <w:rFonts w:ascii="Cambria Math" w:hAnsi="Cambria Math"/>
                  <w:color w:val="auto"/>
                  <w:sz w:val="24"/>
                  <w:szCs w:val="24"/>
                </w:rPr>
                <m:t>j</m:t>
              </m:r>
            </m:sub>
          </m:sSub>
          <m:r>
            <m:rPr>
              <m:sty m:val="p"/>
            </m:rPr>
            <w:rPr>
              <w:rFonts w:ascii="Cambria Math" w:hAnsi="Cambria Math"/>
              <w:color w:val="auto"/>
              <w:sz w:val="24"/>
              <w:szCs w:val="24"/>
            </w:rPr>
            <m:t>,  </m:t>
          </m:r>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hint="eastAsia"/>
                  <w:color w:val="auto"/>
                  <w:sz w:val="24"/>
                  <w:szCs w:val="24"/>
                </w:rPr>
                <m:t>ij</m:t>
              </m:r>
            </m:sub>
          </m:sSub>
          <m:r>
            <m:rPr>
              <m:sty m:val="p"/>
            </m:rPr>
            <w:rPr>
              <w:rFonts w:ascii="Cambria Math" w:hAnsi="Cambria Math"/>
              <w:color w:val="auto"/>
              <w:sz w:val="24"/>
              <w:szCs w:val="24"/>
            </w:rPr>
            <m:t>∈</m:t>
          </m:r>
          <m:d>
            <m:dPr>
              <m:begChr m:val="["/>
              <m:endChr m:val="]"/>
              <m:ctrlPr>
                <w:rPr>
                  <w:rFonts w:ascii="Cambria Math" w:hAnsi="Cambria Math"/>
                  <w:color w:val="auto"/>
                  <w:sz w:val="24"/>
                  <w:szCs w:val="24"/>
                </w:rPr>
              </m:ctrlPr>
            </m:dPr>
            <m:e>
              <m:r>
                <m:rPr>
                  <m:sty m:val="p"/>
                </m:rPr>
                <w:rPr>
                  <w:rFonts w:ascii="Cambria Math" w:hAnsi="Cambria Math"/>
                  <w:color w:val="auto"/>
                  <w:sz w:val="24"/>
                  <w:szCs w:val="24"/>
                </w:rPr>
                <m:t>0,1</m:t>
              </m:r>
            </m:e>
          </m:d>
        </m:oMath>
      </m:oMathPara>
    </w:p>
    <w:p w14:paraId="3A479B32" w14:textId="77777777" w:rsidR="0017304D" w:rsidRPr="00E10393" w:rsidRDefault="0017304D" w:rsidP="00A064CD">
      <w:pPr>
        <w:jc w:val="both"/>
        <w:rPr>
          <w:rFonts w:ascii="Times New Roman" w:hAnsi="Times New Roman" w:cs="Times New Roman"/>
        </w:rPr>
      </w:pPr>
    </w:p>
    <w:p w14:paraId="2A54570B" w14:textId="319A4E3D" w:rsidR="00F02513" w:rsidRPr="004E1337" w:rsidRDefault="000D7852" w:rsidP="00A064CD">
      <w:pPr>
        <w:pStyle w:val="p1"/>
        <w:jc w:val="both"/>
        <w:rPr>
          <w:color w:val="auto"/>
          <w:sz w:val="24"/>
          <w:szCs w:val="24"/>
        </w:rPr>
      </w:pPr>
      <w:r w:rsidRPr="00E10393">
        <w:rPr>
          <w:color w:val="auto"/>
          <w:sz w:val="24"/>
          <w:szCs w:val="24"/>
        </w:rPr>
        <w:t xml:space="preserve">The </w:t>
      </w:r>
      <w:r w:rsidRPr="00E10393">
        <w:rPr>
          <w:rFonts w:hint="eastAsia"/>
          <w:color w:val="auto"/>
          <w:sz w:val="24"/>
          <w:szCs w:val="24"/>
        </w:rPr>
        <w:t>former</w:t>
      </w:r>
      <w:r w:rsidRPr="00E10393">
        <w:rPr>
          <w:color w:val="auto"/>
          <w:sz w:val="24"/>
          <w:szCs w:val="24"/>
        </w:rPr>
        <w:t xml:space="preserve"> part of the objective function </w:t>
      </w:r>
      <w:proofErr w:type="spellStart"/>
      <w:r w:rsidRPr="00E10393">
        <w:rPr>
          <w:color w:val="auto"/>
          <w:sz w:val="24"/>
          <w:szCs w:val="24"/>
        </w:rPr>
        <w:t>minimises</w:t>
      </w:r>
      <w:proofErr w:type="spellEnd"/>
      <w:r w:rsidRPr="00E10393">
        <w:rPr>
          <w:color w:val="auto"/>
          <w:sz w:val="24"/>
          <w:szCs w:val="24"/>
        </w:rPr>
        <w:t xml:space="preserve"> the distance cost between the recognised demand and its corresponding charging provision.</w:t>
      </w:r>
      <w:r w:rsidRPr="00E10393">
        <w:rPr>
          <w:rFonts w:hint="eastAsia"/>
          <w:color w:val="auto"/>
          <w:sz w:val="24"/>
          <w:szCs w:val="24"/>
        </w:rPr>
        <w:t xml:space="preserve"> </w:t>
      </w:r>
      <w:r w:rsidRPr="00E10393">
        <w:rPr>
          <w:color w:val="auto"/>
          <w:sz w:val="24"/>
          <w:szCs w:val="24"/>
        </w:rPr>
        <w:t xml:space="preserve">For the same distance, </w:t>
      </w:r>
      <w:r w:rsidRPr="00E10393">
        <w:rPr>
          <w:color w:val="auto"/>
          <w:sz w:val="24"/>
          <w:szCs w:val="24"/>
        </w:rPr>
        <w:lastRenderedPageBreak/>
        <w:t xml:space="preserve">an LSOA with a higher </w:t>
      </w:r>
      <m:oMath>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r>
              <w:rPr>
                <w:rFonts w:ascii="Cambria Math" w:hAnsi="Cambria Math"/>
                <w:color w:val="auto"/>
                <w:sz w:val="24"/>
                <w:szCs w:val="24"/>
              </w:rPr>
              <m:t>α</m:t>
            </m:r>
          </m:sup>
        </m:sSubSup>
      </m:oMath>
      <w:r w:rsidRPr="00E10393">
        <w:rPr>
          <w:color w:val="auto"/>
          <w:sz w:val="24"/>
          <w:szCs w:val="24"/>
        </w:rPr>
        <w:t xml:space="preserve"> will have a greater impact on the objective function.</w:t>
      </w:r>
      <w:r w:rsidRPr="00E10393">
        <w:rPr>
          <w:rFonts w:hint="eastAsia"/>
          <w:color w:val="auto"/>
          <w:sz w:val="24"/>
          <w:szCs w:val="24"/>
        </w:rPr>
        <w:t xml:space="preserve"> The latter part penalise</w:t>
      </w:r>
      <w:r w:rsidR="004246F4" w:rsidRPr="00E10393">
        <w:rPr>
          <w:color w:val="auto"/>
          <w:sz w:val="24"/>
          <w:szCs w:val="24"/>
        </w:rPr>
        <w:t xml:space="preserve"> unserved-demand slack </w:t>
      </w:r>
      <w:r w:rsidRPr="00E10393">
        <w:rPr>
          <w:rFonts w:hint="eastAsia"/>
          <w:color w:val="auto"/>
          <w:sz w:val="24"/>
          <w:szCs w:val="24"/>
        </w:rPr>
        <w:t>via</w:t>
      </w:r>
      <w:r w:rsidRPr="00E10393">
        <w:rPr>
          <w:color w:val="auto"/>
          <w:sz w:val="24"/>
          <w:szCs w:val="24"/>
        </w:rPr>
        <w:t xml:space="preserve"> </w:t>
      </w:r>
      <m:oMath>
        <m:r>
          <w:rPr>
            <w:rFonts w:ascii="Cambria Math" w:hAnsi="Cambria Math"/>
            <w:color w:val="auto"/>
            <w:sz w:val="24"/>
            <w:szCs w:val="24"/>
          </w:rPr>
          <m:t>λ</m:t>
        </m:r>
      </m:oMath>
      <w:r w:rsidR="004246F4" w:rsidRPr="00E10393">
        <w:rPr>
          <w:color w:val="auto"/>
          <w:sz w:val="24"/>
          <w:szCs w:val="24"/>
        </w:rPr>
        <w:t>。</w:t>
      </w:r>
      <w:r w:rsidR="00F3782C" w:rsidRPr="00E10393">
        <w:rPr>
          <w:color w:val="auto"/>
          <w:sz w:val="24"/>
          <w:szCs w:val="24"/>
        </w:rPr>
        <w:t>Without this penalty, the model could reduce spatial allocation costs by leaving demand unserved rather than assigning it to available capacity. </w:t>
      </w:r>
      <w:r w:rsidR="00F3782C" w:rsidRPr="00E10393">
        <w:rPr>
          <w:color w:val="auto"/>
          <w:sz w:val="24"/>
          <w:szCs w:val="24"/>
        </w:rPr>
        <w:t>T</w:t>
      </w:r>
      <w:r w:rsidR="00F3782C" w:rsidRPr="00E10393">
        <w:rPr>
          <w:color w:val="auto"/>
          <w:sz w:val="24"/>
          <w:szCs w:val="24"/>
        </w:rPr>
        <w:t>o avoid this,</w:t>
      </w:r>
      <w:r w:rsidR="00F3782C" w:rsidRPr="00E10393">
        <w:rPr>
          <w:color w:val="auto"/>
          <w:sz w:val="24"/>
          <w:szCs w:val="24"/>
        </w:rPr>
        <w:t xml:space="preserve"> </w:t>
      </w:r>
      <m:oMath>
        <m:r>
          <w:rPr>
            <w:rFonts w:ascii="Cambria Math" w:hAnsi="Cambria Math"/>
            <w:color w:val="auto"/>
            <w:sz w:val="24"/>
            <w:szCs w:val="24"/>
          </w:rPr>
          <m:t>λ</m:t>
        </m:r>
      </m:oMath>
      <w:r w:rsidR="00F3782C" w:rsidRPr="00E10393">
        <w:rPr>
          <w:color w:val="auto"/>
          <w:sz w:val="24"/>
          <w:szCs w:val="24"/>
        </w:rPr>
        <w:t xml:space="preserve"> </w:t>
      </w:r>
      <w:r w:rsidR="00F3782C" w:rsidRPr="00E10393">
        <w:rPr>
          <w:color w:val="auto"/>
          <w:sz w:val="24"/>
          <w:szCs w:val="24"/>
        </w:rPr>
        <w:t>was set slightly above the maximum</w:t>
      </w:r>
      <w:r w:rsidR="004246F4" w:rsidRPr="00E10393">
        <w:rPr>
          <w:color w:val="auto"/>
          <w:sz w:val="24"/>
          <w:szCs w:val="24"/>
        </w:rPr>
        <w:t xml:space="preserve"> </w:t>
      </w: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ij</m:t>
            </m:r>
          </m:sub>
        </m:sSub>
      </m:oMath>
      <w:r w:rsidR="00F3782C">
        <w:rPr>
          <w:color w:val="auto"/>
          <w:sz w:val="24"/>
          <w:szCs w:val="24"/>
        </w:rPr>
        <w:t xml:space="preserve"> in</w:t>
      </w:r>
      <w:r w:rsidR="00F3782C">
        <w:rPr>
          <w:rFonts w:hint="eastAsia"/>
          <w:color w:val="auto"/>
          <w:sz w:val="24"/>
          <w:szCs w:val="24"/>
        </w:rPr>
        <w:t xml:space="preserve"> the</w:t>
      </w:r>
      <w:r w:rsidR="00F3782C">
        <w:rPr>
          <w:color w:val="auto"/>
          <w:sz w:val="24"/>
          <w:szCs w:val="24"/>
        </w:rPr>
        <w:t xml:space="preserve"> </w:t>
      </w:r>
      <w:r w:rsidR="004246F4" w:rsidRPr="00E10393">
        <w:rPr>
          <w:color w:val="auto"/>
          <w:sz w:val="24"/>
          <w:szCs w:val="24"/>
        </w:rPr>
        <w:t>permitted assignment network</w:t>
      </w:r>
      <w:r w:rsidR="00F3782C" w:rsidRPr="00E10393">
        <w:rPr>
          <w:color w:val="auto"/>
          <w:sz w:val="24"/>
          <w:szCs w:val="24"/>
        </w:rPr>
        <w:t>.</w:t>
      </w:r>
      <w:r w:rsidR="00F02513">
        <w:rPr>
          <w:rFonts w:hint="eastAsia"/>
          <w:color w:val="auto"/>
          <w:sz w:val="24"/>
          <w:szCs w:val="24"/>
        </w:rPr>
        <w:t xml:space="preserve"> </w:t>
      </w:r>
      <w:r w:rsidR="00F02513" w:rsidRPr="004E1337">
        <w:rPr>
          <w:color w:val="auto"/>
          <w:sz w:val="24"/>
          <w:szCs w:val="24"/>
        </w:rPr>
        <w:t>λ=1.05×</w:t>
      </w:r>
      <w:proofErr w:type="gramStart"/>
      <w:r w:rsidR="00F02513" w:rsidRPr="004E1337">
        <w:rPr>
          <w:color w:val="auto"/>
          <w:sz w:val="24"/>
          <w:szCs w:val="24"/>
        </w:rPr>
        <w:t>max(</w:t>
      </w:r>
      <w:proofErr w:type="gramEnd"/>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ij</m:t>
            </m:r>
          </m:sub>
        </m:sSub>
      </m:oMath>
      <w:r w:rsidR="00F02513" w:rsidRPr="004E1337">
        <w:rPr>
          <w:color w:val="auto"/>
          <w:sz w:val="24"/>
          <w:szCs w:val="24"/>
        </w:rPr>
        <w:t xml:space="preserve">) </w:t>
      </w:r>
      <m:oMath>
        <m:r>
          <m:rPr>
            <m:sty m:val="p"/>
          </m:rPr>
          <w:rPr>
            <w:rFonts w:ascii="Cambria Math" w:hAnsi="Cambria Math"/>
            <w:color w:val="auto"/>
            <w:sz w:val="24"/>
            <w:szCs w:val="24"/>
          </w:rPr>
          <m:t>≈7,899</m:t>
        </m:r>
      </m:oMath>
      <w:r w:rsidR="00F02513" w:rsidRPr="004E1337">
        <w:rPr>
          <w:color w:val="auto"/>
          <w:sz w:val="24"/>
          <w:szCs w:val="24"/>
        </w:rPr>
        <w:t>m</w:t>
      </w:r>
    </w:p>
    <w:p w14:paraId="53118B07" w14:textId="47F181AA" w:rsidR="004246F4" w:rsidRPr="00E10393" w:rsidRDefault="00F3782C" w:rsidP="00A064CD">
      <w:pPr>
        <w:jc w:val="both"/>
        <w:rPr>
          <w:rFonts w:ascii="Times New Roman" w:hAnsi="Times New Roman" w:cs="Times New Roman"/>
        </w:rPr>
      </w:pPr>
      <w:proofErr w:type="spellStart"/>
      <w:r w:rsidRPr="00E10393">
        <w:rPr>
          <w:rFonts w:ascii="Times New Roman" w:hAnsi="Times New Roman" w:cs="Times New Roman"/>
        </w:rPr>
        <w:t>herefore</w:t>
      </w:r>
      <w:proofErr w:type="spellEnd"/>
      <w:r w:rsidRPr="00E10393">
        <w:rPr>
          <w:rFonts w:ascii="Times New Roman" w:hAnsi="Times New Roman" w:cs="Times New Roman"/>
        </w:rPr>
        <w:t xml:space="preserve">, whenever </w:t>
      </w:r>
      <w:r w:rsidRPr="00E10393">
        <w:rPr>
          <w:rFonts w:ascii="Times New Roman" w:hAnsi="Times New Roman" w:cs="Times New Roman"/>
        </w:rPr>
        <w:t>investment</w:t>
      </w:r>
      <w:r w:rsidRPr="00E10393">
        <w:rPr>
          <w:rFonts w:ascii="Times New Roman" w:hAnsi="Times New Roman" w:cs="Times New Roman"/>
        </w:rPr>
        <w:t xml:space="preserve"> capacity is available, the model </w:t>
      </w:r>
      <w:proofErr w:type="spellStart"/>
      <w:r w:rsidRPr="00E10393">
        <w:rPr>
          <w:rFonts w:ascii="Times New Roman" w:hAnsi="Times New Roman" w:cs="Times New Roman"/>
        </w:rPr>
        <w:t>prioritises</w:t>
      </w:r>
      <w:proofErr w:type="spellEnd"/>
      <w:r w:rsidRPr="00E10393">
        <w:rPr>
          <w:rFonts w:ascii="Times New Roman" w:hAnsi="Times New Roman" w:cs="Times New Roman"/>
        </w:rPr>
        <w:t xml:space="preserve"> assigning demand to that capacity rather than using slack.</w:t>
      </w:r>
    </w:p>
    <w:p w14:paraId="609B95F2" w14:textId="77777777" w:rsidR="00F3782C" w:rsidRPr="00E10393" w:rsidRDefault="00F3782C" w:rsidP="00A064CD">
      <w:pPr>
        <w:jc w:val="both"/>
        <w:rPr>
          <w:rFonts w:ascii="Times New Roman" w:hAnsi="Times New Roman" w:cs="Times New Roman"/>
        </w:rPr>
      </w:pPr>
    </w:p>
    <w:p w14:paraId="2914858A" w14:textId="77777777" w:rsidR="000D4D51" w:rsidRPr="004E1337" w:rsidRDefault="000D4D51" w:rsidP="00A064CD">
      <w:pPr>
        <w:pStyle w:val="p1"/>
        <w:jc w:val="both"/>
        <w:rPr>
          <w:color w:val="auto"/>
          <w:sz w:val="24"/>
          <w:szCs w:val="24"/>
        </w:rPr>
      </w:pPr>
      <w:r w:rsidRPr="00E10393">
        <w:rPr>
          <w:color w:val="auto"/>
          <w:sz w:val="24"/>
          <w:szCs w:val="24"/>
        </w:rPr>
        <w:t xml:space="preserve">Constraint C1 links assigned demand to the available provision at each allocation node. The </w:t>
      </w:r>
      <w:r w:rsidRPr="00E10393">
        <w:rPr>
          <w:color w:val="auto"/>
          <w:sz w:val="24"/>
          <w:szCs w:val="24"/>
        </w:rPr>
        <w:t xml:space="preserve">estimated </w:t>
      </w:r>
      <w:r w:rsidRPr="00E10393">
        <w:rPr>
          <w:color w:val="auto"/>
          <w:sz w:val="24"/>
          <w:szCs w:val="24"/>
        </w:rPr>
        <w:t xml:space="preserve">demand that LSOA </w:t>
      </w:r>
      <m:oMath>
        <m:r>
          <w:rPr>
            <w:rFonts w:ascii="Cambria Math" w:hAnsi="Cambria Math"/>
            <w:color w:val="auto"/>
            <w:sz w:val="24"/>
            <w:szCs w:val="24"/>
          </w:rPr>
          <m:t>j</m:t>
        </m:r>
      </m:oMath>
      <w:r w:rsidRPr="00E10393">
        <w:rPr>
          <w:color w:val="auto"/>
          <w:sz w:val="24"/>
          <w:szCs w:val="24"/>
        </w:rPr>
        <w:t xml:space="preserve"> can support is determined by its existing provision </w:t>
      </w:r>
      <m:oMath>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j</m:t>
            </m:r>
          </m:sub>
        </m:sSub>
      </m:oMath>
      <w:r w:rsidRPr="00E10393">
        <w:rPr>
          <w:color w:val="auto"/>
          <w:sz w:val="24"/>
          <w:szCs w:val="24"/>
        </w:rPr>
        <w:t xml:space="preserve"> and additional provision </w:t>
      </w:r>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j</m:t>
            </m:r>
          </m:sub>
        </m:sSub>
      </m:oMath>
      <w:r w:rsidRPr="00E10393">
        <w:rPr>
          <w:color w:val="auto"/>
          <w:sz w:val="24"/>
          <w:szCs w:val="24"/>
        </w:rPr>
        <w:t xml:space="preserve">. The scaling parameter </w:t>
      </w:r>
      <m:oMath>
        <m:r>
          <m:rPr>
            <m:sty m:val="p"/>
          </m:rPr>
          <w:rPr>
            <w:rFonts w:ascii="Cambria Math" w:hAnsi="Cambria Math"/>
            <w:color w:val="auto"/>
            <w:sz w:val="24"/>
            <w:szCs w:val="24"/>
          </w:rPr>
          <m:t xml:space="preserve">K </m:t>
        </m:r>
      </m:oMath>
      <w:r w:rsidRPr="00E10393">
        <w:rPr>
          <w:color w:val="auto"/>
          <w:sz w:val="24"/>
          <w:szCs w:val="24"/>
        </w:rPr>
        <w:t xml:space="preserve">converts this provision into the same model scale as </w:t>
      </w:r>
      <m:oMath>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r>
              <w:rPr>
                <w:rFonts w:ascii="Cambria Math" w:hAnsi="Cambria Math"/>
                <w:color w:val="auto"/>
                <w:sz w:val="24"/>
                <w:szCs w:val="24"/>
              </w:rPr>
              <m:t>α</m:t>
            </m:r>
          </m:sup>
        </m:sSubSup>
      </m:oMath>
      <w:r w:rsidRPr="00E10393">
        <w:rPr>
          <w:color w:val="auto"/>
          <w:sz w:val="24"/>
          <w:szCs w:val="24"/>
        </w:rPr>
        <w:t xml:space="preserve">. When the available provision cannot support all demand assigned to the node, the difference is represented by </w:t>
      </w:r>
      <m:oMath>
        <m:sSub>
          <m:sSubPr>
            <m:ctrlPr>
              <w:rPr>
                <w:rFonts w:ascii="Cambria Math" w:hAnsi="Cambria Math"/>
                <w:color w:val="auto"/>
                <w:sz w:val="24"/>
                <w:szCs w:val="24"/>
              </w:rPr>
            </m:ctrlPr>
          </m:sSubPr>
          <m:e>
            <m:r>
              <w:rPr>
                <w:rFonts w:ascii="Cambria Math" w:hAnsi="Cambria Math"/>
                <w:color w:val="auto"/>
                <w:sz w:val="24"/>
                <w:szCs w:val="24"/>
              </w:rPr>
              <m:t>s</m:t>
            </m:r>
          </m:e>
          <m:sub>
            <m:r>
              <w:rPr>
                <w:rFonts w:ascii="Cambria Math" w:hAnsi="Cambria Math"/>
                <w:color w:val="auto"/>
                <w:sz w:val="24"/>
                <w:szCs w:val="24"/>
              </w:rPr>
              <m:t>j</m:t>
            </m:r>
          </m:sub>
        </m:sSub>
      </m:oMath>
      <w:r w:rsidRPr="00E10393">
        <w:rPr>
          <w:color w:val="auto"/>
          <w:sz w:val="24"/>
          <w:szCs w:val="24"/>
        </w:rPr>
        <w:t xml:space="preserve">. As </w:t>
      </w:r>
      <m:oMath>
        <m:r>
          <m:rPr>
            <m:sty m:val="p"/>
          </m:rPr>
          <w:rPr>
            <w:rFonts w:ascii="Cambria Math" w:hAnsi="Cambria Math"/>
            <w:color w:val="auto"/>
            <w:sz w:val="24"/>
            <w:szCs w:val="24"/>
          </w:rPr>
          <m:t>K</m:t>
        </m:r>
      </m:oMath>
      <w:r w:rsidRPr="00E10393">
        <w:rPr>
          <w:color w:val="auto"/>
          <w:sz w:val="24"/>
          <w:szCs w:val="24"/>
        </w:rPr>
        <w:t xml:space="preserve"> is a model-scale calibration rather than an estimate of actual charging throughput, its effect was examined through sensitivity testing.</w:t>
      </w:r>
      <w:r w:rsidRPr="00E10393">
        <w:rPr>
          <w:color w:val="auto"/>
          <w:sz w:val="24"/>
          <w:szCs w:val="24"/>
        </w:rPr>
        <w:t xml:space="preserve"> </w:t>
      </w:r>
      <w:r w:rsidRPr="00D069BC">
        <w:rPr>
          <w:color w:val="auto"/>
          <w:sz w:val="24"/>
          <w:szCs w:val="24"/>
        </w:rPr>
        <w:t>Its baseline value was calibrated as</w:t>
      </w:r>
      <w:r>
        <w:rPr>
          <w:rFonts w:hint="eastAsia"/>
          <w:color w:val="auto"/>
          <w:sz w:val="24"/>
          <w:szCs w:val="24"/>
        </w:rPr>
        <w:t xml:space="preserve"> </w:t>
      </w:r>
      <m:oMath>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0</m:t>
            </m:r>
          </m:sub>
        </m:sSub>
        <m:r>
          <m:rPr>
            <m:sty m:val="p"/>
          </m:rPr>
          <w:rPr>
            <w:rFonts w:ascii="Cambria Math" w:hAnsi="Cambria Math"/>
            <w:color w:val="auto"/>
            <w:sz w:val="24"/>
            <w:szCs w:val="24"/>
          </w:rPr>
          <m:t>=</m:t>
        </m:r>
        <m:f>
          <m:fPr>
            <m:ctrlPr>
              <w:rPr>
                <w:rFonts w:ascii="Cambria Math" w:hAnsi="Cambria Math"/>
                <w:color w:val="auto"/>
                <w:sz w:val="24"/>
                <w:szCs w:val="24"/>
              </w:rPr>
            </m:ctrlPr>
          </m:fPr>
          <m:num>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i</m:t>
                </m:r>
              </m:sub>
              <m:sup/>
              <m:e>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d>
                      <m:dPr>
                        <m:ctrlPr>
                          <w:rPr>
                            <w:rFonts w:ascii="Cambria Math" w:hAnsi="Cambria Math"/>
                            <w:color w:val="auto"/>
                            <w:sz w:val="24"/>
                            <w:szCs w:val="24"/>
                          </w:rPr>
                        </m:ctrlPr>
                      </m:dPr>
                      <m:e>
                        <m:r>
                          <m:rPr>
                            <m:sty m:val="p"/>
                          </m:rPr>
                          <w:rPr>
                            <w:rFonts w:ascii="Cambria Math" w:hAnsi="Cambria Math"/>
                            <w:color w:val="auto"/>
                            <w:sz w:val="24"/>
                            <w:szCs w:val="24"/>
                          </w:rPr>
                          <m:t>0</m:t>
                        </m:r>
                      </m:e>
                    </m:d>
                  </m:sup>
                </m:sSubSup>
              </m:e>
            </m:nary>
          </m:num>
          <m:den>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j</m:t>
                </m:r>
              </m:sub>
              <m:sup/>
              <m:e>
                <m:sSub>
                  <m:sSubPr>
                    <m:ctrlPr>
                      <w:rPr>
                        <w:rFonts w:ascii="Cambria Math" w:hAnsi="Cambria Math"/>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j</m:t>
                    </m:r>
                  </m:sub>
                </m:sSub>
              </m:e>
            </m:nary>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ref</m:t>
                </m:r>
              </m:sub>
            </m:sSub>
          </m:den>
        </m:f>
        <m:r>
          <m:rPr>
            <m:sty m:val="p"/>
          </m:rPr>
          <w:rPr>
            <w:rFonts w:ascii="Cambria Math" w:hAnsi="Cambria Math"/>
            <w:color w:val="auto"/>
            <w:sz w:val="24"/>
            <w:szCs w:val="24"/>
          </w:rPr>
          <m:t>≈13.17</m:t>
        </m:r>
        <m:r>
          <m:rPr>
            <m:sty m:val="p"/>
          </m:rPr>
          <w:rPr>
            <w:rFonts w:ascii="Cambria Math" w:hAnsi="Cambria Math"/>
            <w:color w:val="auto"/>
            <w:sz w:val="24"/>
            <w:szCs w:val="24"/>
          </w:rPr>
          <m:t xml:space="preserve"> </m:t>
        </m:r>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ref</m:t>
            </m:r>
          </m:sub>
        </m:sSub>
        <m:r>
          <m:rPr>
            <m:sty m:val="p"/>
          </m:rPr>
          <w:rPr>
            <w:rFonts w:ascii="Cambria Math" w:hAnsi="Cambria Math"/>
            <w:color w:val="auto"/>
            <w:sz w:val="24"/>
            <w:szCs w:val="24"/>
          </w:rPr>
          <m:t>=5,000</m:t>
        </m:r>
      </m:oMath>
    </w:p>
    <w:p w14:paraId="62C5039B" w14:textId="77777777" w:rsidR="004246F4" w:rsidRPr="00E10393" w:rsidRDefault="004246F4" w:rsidP="00A064CD">
      <w:pPr>
        <w:jc w:val="both"/>
        <w:rPr>
          <w:rFonts w:ascii="Times New Roman" w:hAnsi="Times New Roman" w:cs="Times New Roman"/>
        </w:rPr>
      </w:pPr>
    </w:p>
    <w:p w14:paraId="1679B1F5" w14:textId="349A785C" w:rsidR="00E10393" w:rsidRPr="00E10393" w:rsidRDefault="00E10393" w:rsidP="00A064CD">
      <w:pPr>
        <w:jc w:val="both"/>
        <w:rPr>
          <w:rFonts w:ascii="Times New Roman" w:hAnsi="Times New Roman" w:cs="Times New Roman"/>
        </w:rPr>
      </w:pPr>
      <w:r w:rsidRPr="00E10393">
        <w:rPr>
          <w:rFonts w:ascii="Times New Roman" w:hAnsi="Times New Roman" w:cs="Times New Roman"/>
        </w:rPr>
        <w:t xml:space="preserve">Constraint C2 requires the recognised demand of each demand LSOA to be fully included in the assignment. As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E10393">
        <w:rPr>
          <w:rFonts w:ascii="Times New Roman" w:hAnsi="Times New Roman" w:cs="Times New Roman"/>
        </w:rPr>
        <w:t xml:space="preserve"> is continuous, the aggregate demand of one LSOA can be shared across multiple permitted allocation nodes. This is consistent with the aggregated nature of LSOA-level demand, as users within the same LSOA do not necessarily use the same charging location. Continuous assignment also avoids the high computational burden of imposing binary restrictions on the full set of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E10393">
        <w:rPr>
          <w:rFonts w:ascii="Times New Roman" w:hAnsi="Times New Roman" w:cs="Times New Roman"/>
        </w:rPr>
        <w:t xml:space="preserve"> variables.</w:t>
      </w:r>
    </w:p>
    <w:p w14:paraId="55ACC3D8" w14:textId="77777777" w:rsidR="00E10393" w:rsidRPr="00E10393" w:rsidRDefault="00E10393" w:rsidP="00A064CD">
      <w:pPr>
        <w:jc w:val="both"/>
        <w:rPr>
          <w:rFonts w:ascii="Times New Roman" w:hAnsi="Times New Roman" w:cs="Times New Roman"/>
        </w:rPr>
      </w:pPr>
    </w:p>
    <w:p w14:paraId="5FE20604" w14:textId="2C852BBA" w:rsidR="00E10393" w:rsidRPr="00E10393" w:rsidRDefault="00E10393" w:rsidP="00A064CD">
      <w:pPr>
        <w:jc w:val="both"/>
        <w:rPr>
          <w:rFonts w:ascii="Times New Roman" w:hAnsi="Times New Roman" w:cs="Times New Roman"/>
        </w:rPr>
      </w:pPr>
      <w:r w:rsidRPr="00E10393">
        <w:rPr>
          <w:rFonts w:ascii="Times New Roman" w:hAnsi="Times New Roman" w:cs="Times New Roman"/>
        </w:rPr>
        <w:t xml:space="preserve">Constraint C3 fixes the total amount of additional charging provision allocated across Greater London at </w:t>
      </w:r>
      <m:oMath>
        <m:r>
          <w:rPr>
            <w:rFonts w:ascii="Cambria Math" w:hAnsi="Cambria Math" w:cs="Times New Roman"/>
          </w:rPr>
          <m:t>p</m:t>
        </m:r>
      </m:oMath>
      <w:r w:rsidRPr="00E10393">
        <w:rPr>
          <w:rFonts w:ascii="Times New Roman" w:hAnsi="Times New Roman" w:cs="Times New Roman"/>
        </w:rPr>
        <w:t>. Therefore, different model runs compare how provision should be spatially allocated at a given investment level</w:t>
      </w:r>
      <w:r w:rsidR="00037B1A">
        <w:rPr>
          <w:rFonts w:ascii="Times New Roman" w:hAnsi="Times New Roman" w:cs="Times New Roman"/>
        </w:rPr>
        <w:t>.</w:t>
      </w:r>
    </w:p>
    <w:p w14:paraId="7D0DAB67" w14:textId="77777777" w:rsidR="00E10393" w:rsidRPr="00E10393" w:rsidRDefault="00E10393" w:rsidP="00A064CD">
      <w:pPr>
        <w:jc w:val="both"/>
        <w:rPr>
          <w:rFonts w:ascii="Times New Roman" w:hAnsi="Times New Roman" w:cs="Times New Roman"/>
        </w:rPr>
      </w:pPr>
    </w:p>
    <w:p w14:paraId="55F35183" w14:textId="109F0D8C" w:rsidR="00E10393" w:rsidRPr="00E10393" w:rsidRDefault="00E10393" w:rsidP="00A064CD">
      <w:pPr>
        <w:jc w:val="both"/>
        <w:rPr>
          <w:rFonts w:ascii="Times New Roman" w:hAnsi="Times New Roman" w:cs="Times New Roman"/>
        </w:rPr>
      </w:pPr>
      <w:r w:rsidRPr="00E10393">
        <w:rPr>
          <w:rFonts w:ascii="Times New Roman" w:hAnsi="Times New Roman" w:cs="Times New Roman"/>
        </w:rPr>
        <w:t xml:space="preserve">Constraint C4 requires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E10393">
        <w:rPr>
          <w:rFonts w:ascii="Times New Roman" w:hAnsi="Times New Roman" w:cs="Times New Roman"/>
        </w:rPr>
        <w:t xml:space="preserve"> to be a non-negative integer and limits it to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E10393">
        <w:rPr>
          <w:rFonts w:ascii="Times New Roman" w:hAnsi="Times New Roman" w:cs="Times New Roman"/>
        </w:rPr>
        <w:t xml:space="preserve">. The integer requirement reflects that additional provision is allocated in discrete units, while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E10393">
        <w:rPr>
          <w:rFonts w:ascii="Times New Roman" w:hAnsi="Times New Roman" w:cs="Times New Roman"/>
        </w:rPr>
        <w:t xml:space="preserve">prevents additional provision from becoming excessively concentrated in a single </w:t>
      </w:r>
      <w:r w:rsidRPr="00E10393">
        <w:rPr>
          <w:rFonts w:ascii="Times New Roman" w:hAnsi="Times New Roman" w:cs="Times New Roman"/>
        </w:rPr>
        <w:lastRenderedPageBreak/>
        <w:t>LSOA. Sensitivity testing of this upper bound was used to determine whether it had a substantial effect on the final allocation.</w:t>
      </w:r>
    </w:p>
    <w:p w14:paraId="7DD559AF" w14:textId="77777777" w:rsidR="00037B1A" w:rsidRDefault="00037B1A" w:rsidP="00A064CD">
      <w:pPr>
        <w:jc w:val="both"/>
        <w:rPr>
          <w:rFonts w:ascii="Times New Roman" w:hAnsi="Times New Roman" w:cs="Times New Roman"/>
          <w:color w:val="000000"/>
          <w:sz w:val="17"/>
          <w:szCs w:val="17"/>
        </w:rPr>
      </w:pPr>
    </w:p>
    <w:p w14:paraId="02107E34" w14:textId="3E37CD8C" w:rsidR="00037B1A" w:rsidRPr="005A3889" w:rsidRDefault="00037B1A" w:rsidP="00A064CD">
      <w:pPr>
        <w:jc w:val="both"/>
        <w:rPr>
          <w:rFonts w:ascii="Times New Roman" w:hAnsi="Times New Roman" w:cs="Times New Roman"/>
        </w:rPr>
      </w:pPr>
      <w:r w:rsidRPr="005A3889">
        <w:rPr>
          <w:rFonts w:ascii="Times New Roman" w:hAnsi="Times New Roman" w:cs="Times New Roman"/>
        </w:rPr>
        <w:t xml:space="preserve">The model was implemented in Python using </w:t>
      </w:r>
      <w:proofErr w:type="spellStart"/>
      <w:r w:rsidRPr="005A3889">
        <w:rPr>
          <w:rFonts w:ascii="Times New Roman" w:hAnsi="Times New Roman" w:cs="Times New Roman"/>
        </w:rPr>
        <w:t>PuLP</w:t>
      </w:r>
      <w:proofErr w:type="spellEnd"/>
      <w:r w:rsidRPr="005A3889">
        <w:rPr>
          <w:rFonts w:ascii="Times New Roman" w:hAnsi="Times New Roman" w:cs="Times New Roman"/>
        </w:rPr>
        <w:t xml:space="preserve"> and solved with the CBC solver. The solver status was recorded for each scenario. Phase 4 varied the deprivation weighting and investment level while keeping the model structure </w:t>
      </w:r>
      <w:proofErr w:type="gramStart"/>
      <w:r w:rsidRPr="005A3889">
        <w:rPr>
          <w:rFonts w:ascii="Times New Roman" w:hAnsi="Times New Roman" w:cs="Times New Roman"/>
        </w:rPr>
        <w:t>unchanged, and</w:t>
      </w:r>
      <w:proofErr w:type="gramEnd"/>
      <w:r w:rsidRPr="005A3889">
        <w:rPr>
          <w:rFonts w:ascii="Times New Roman" w:hAnsi="Times New Roman" w:cs="Times New Roman"/>
        </w:rPr>
        <w:t xml:space="preserve"> compared the resulting spatial allocations and efficiency–equity outcomes.</w:t>
      </w:r>
    </w:p>
    <w:p w14:paraId="385C21BD" w14:textId="77777777" w:rsidR="009E48C9" w:rsidRPr="00037B1A" w:rsidRDefault="009E48C9" w:rsidP="00B15BC3">
      <w:pPr>
        <w:rPr>
          <w:rFonts w:ascii="Times New Roman" w:hAnsi="Times New Roman" w:cs="Times New Roman"/>
          <w:color w:val="000000"/>
          <w:sz w:val="17"/>
          <w:szCs w:val="17"/>
        </w:rPr>
      </w:pPr>
    </w:p>
    <w:p w14:paraId="3FDF06AA" w14:textId="77777777" w:rsidR="00B15BC3" w:rsidRPr="0017487A" w:rsidRDefault="00B15BC3" w:rsidP="0017487A">
      <w:pPr>
        <w:jc w:val="both"/>
        <w:rPr>
          <w:rFonts w:ascii="Times New Roman" w:hAnsi="Times New Roman" w:cs="Times New Roman"/>
        </w:rPr>
      </w:pPr>
      <w:r w:rsidRPr="0017487A">
        <w:rPr>
          <w:rFonts w:ascii="Times New Roman" w:hAnsi="Times New Roman" w:cs="Times New Roman"/>
        </w:rPr>
        <w:t>3.3.4 Phase 4 Scenario Analysis and Evaluation</w:t>
      </w:r>
    </w:p>
    <w:p w14:paraId="115D7D51" w14:textId="6A7E4B9A" w:rsidR="001111D3" w:rsidRPr="0017487A" w:rsidRDefault="00A40E37" w:rsidP="0017487A">
      <w:pPr>
        <w:jc w:val="both"/>
        <w:rPr>
          <w:rFonts w:ascii="Times New Roman" w:hAnsi="Times New Roman" w:cs="Times New Roman"/>
        </w:rPr>
      </w:pPr>
      <w:r w:rsidRPr="0017487A">
        <w:rPr>
          <w:rFonts w:ascii="Times New Roman" w:hAnsi="Times New Roman" w:cs="Times New Roman"/>
        </w:rPr>
        <w:t>Phase 4 compared different spatial allocation scenarios by varying deprivation weighting and investment level. The core analysis used four deprivation-weighting levels:</w:t>
      </w:r>
      <w:r w:rsidRPr="0017487A">
        <w:rPr>
          <w:rFonts w:ascii="Times New Roman" w:hAnsi="Times New Roman" w:cs="Times New Roman" w:hint="eastAsia"/>
        </w:rPr>
        <w:t xml:space="preserve"> </w:t>
      </w:r>
      <m:oMath>
        <m:r>
          <w:rPr>
            <w:rFonts w:ascii="Cambria Math" w:hAnsi="Cambria Math" w:cs="Times New Roman"/>
          </w:rPr>
          <m:t>α</m:t>
        </m:r>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0,</m:t>
            </m:r>
            <m:r>
              <m:rPr>
                <m:sty m:val="p"/>
              </m:rPr>
              <w:rPr>
                <w:rFonts w:ascii="Cambria Math" w:hAnsi="Cambria Math" w:cs="Times New Roman"/>
              </w:rPr>
              <m:t xml:space="preserve"> </m:t>
            </m:r>
            <m:r>
              <m:rPr>
                <m:sty m:val="p"/>
              </m:rPr>
              <w:rPr>
                <w:rFonts w:ascii="Cambria Math" w:hAnsi="Cambria Math" w:cs="Times New Roman"/>
              </w:rPr>
              <m:t>0.1,</m:t>
            </m:r>
            <m:r>
              <m:rPr>
                <m:sty m:val="p"/>
              </m:rPr>
              <w:rPr>
                <w:rFonts w:ascii="Cambria Math" w:hAnsi="Cambria Math" w:cs="Times New Roman"/>
              </w:rPr>
              <m:t xml:space="preserve"> </m:t>
            </m:r>
            <m:r>
              <m:rPr>
                <m:sty m:val="p"/>
              </m:rPr>
              <w:rPr>
                <w:rFonts w:ascii="Cambria Math" w:hAnsi="Cambria Math" w:cs="Times New Roman"/>
              </w:rPr>
              <m:t>0.3,</m:t>
            </m:r>
            <m:r>
              <m:rPr>
                <m:sty m:val="p"/>
              </m:rPr>
              <w:rPr>
                <w:rFonts w:ascii="Cambria Math" w:hAnsi="Cambria Math" w:cs="Times New Roman"/>
              </w:rPr>
              <m:t xml:space="preserve"> </m:t>
            </m:r>
            <m:r>
              <m:rPr>
                <m:sty m:val="p"/>
              </m:rPr>
              <w:rPr>
                <w:rFonts w:ascii="Cambria Math" w:hAnsi="Cambria Math" w:cs="Times New Roman"/>
              </w:rPr>
              <m:t>0.5</m:t>
            </m:r>
          </m:e>
        </m:d>
      </m:oMath>
      <w:r w:rsidR="001111D3">
        <w:rPr>
          <w:rFonts w:ascii="Times New Roman" w:hAnsi="Times New Roman" w:cs="Times New Roman"/>
        </w:rPr>
        <w:t>.</w:t>
      </w:r>
      <w:r w:rsidR="0017487A">
        <w:rPr>
          <w:rFonts w:ascii="Times New Roman" w:hAnsi="Times New Roman" w:cs="Times New Roman" w:hint="eastAsia"/>
        </w:rPr>
        <w:t xml:space="preserve"> </w:t>
      </w:r>
      <m:oMath>
        <m:r>
          <w:rPr>
            <w:rFonts w:ascii="Cambria Math" w:hAnsi="Cambria Math" w:cs="Times New Roman"/>
          </w:rPr>
          <m:t>α</m:t>
        </m:r>
      </m:oMath>
      <w:r w:rsidR="00B45590" w:rsidRPr="0017487A">
        <w:rPr>
          <w:rFonts w:ascii="Times New Roman" w:hAnsi="Times New Roman" w:cs="Times New Roman"/>
        </w:rPr>
        <w:t xml:space="preserve"> </w:t>
      </w:r>
      <w:r w:rsidR="0076272B" w:rsidRPr="0017487A">
        <w:rPr>
          <w:rFonts w:ascii="Times New Roman" w:hAnsi="Times New Roman" w:cs="Times New Roman"/>
        </w:rPr>
        <w:t>=0</w:t>
      </w:r>
      <w:r w:rsidR="001111D3" w:rsidRPr="0017487A">
        <w:rPr>
          <w:rFonts w:ascii="Times New Roman" w:hAnsi="Times New Roman" w:cs="Times New Roman"/>
        </w:rPr>
        <w:t xml:space="preserve"> r</w:t>
      </w:r>
      <w:r w:rsidR="001111D3" w:rsidRPr="0017487A">
        <w:rPr>
          <w:rFonts w:ascii="Times New Roman" w:hAnsi="Times New Roman" w:cs="Times New Roman"/>
        </w:rPr>
        <w:t>epresents the baseline scenario without income-deprivation weighting. </w:t>
      </w:r>
      <w:r w:rsidR="001111D3" w:rsidRPr="0017487A">
        <w:rPr>
          <w:rFonts w:ascii="Times New Roman" w:hAnsi="Times New Roman" w:cs="Times New Roman" w:hint="eastAsia"/>
        </w:rPr>
        <w:t>As</w:t>
      </w:r>
      <w:r w:rsidR="0076272B" w:rsidRPr="0017487A">
        <w:rPr>
          <w:rFonts w:ascii="Times New Roman" w:hAnsi="Times New Roman" w:cs="Times New Roman"/>
        </w:rPr>
        <w:t xml:space="preserve"> </w:t>
      </w:r>
      <m:oMath>
        <m:r>
          <w:rPr>
            <w:rFonts w:ascii="Cambria Math" w:hAnsi="Cambria Math" w:cs="Times New Roman"/>
          </w:rPr>
          <m:t>α</m:t>
        </m:r>
        <m:r>
          <m:rPr>
            <m:sty m:val="p"/>
          </m:rPr>
          <w:rPr>
            <w:rFonts w:ascii="Cambria Math" w:hAnsi="Cambria Math" w:cs="Times New Roman"/>
          </w:rPr>
          <m:t xml:space="preserve"> </m:t>
        </m:r>
      </m:oMath>
      <w:r w:rsidR="001111D3" w:rsidRPr="0017487A">
        <w:rPr>
          <w:rFonts w:ascii="Times New Roman" w:hAnsi="Times New Roman" w:cs="Times New Roman"/>
        </w:rPr>
        <w:t>increases</w:t>
      </w:r>
      <w:r w:rsidR="0076272B" w:rsidRPr="0017487A">
        <w:rPr>
          <w:rFonts w:ascii="Times New Roman" w:hAnsi="Times New Roman" w:cs="Times New Roman"/>
        </w:rPr>
        <w:t>，</w:t>
      </w:r>
      <w:r w:rsidR="001111D3" w:rsidRPr="0017487A">
        <w:rPr>
          <w:rFonts w:ascii="Times New Roman" w:hAnsi="Times New Roman" w:cs="Times New Roman"/>
        </w:rPr>
        <w:t>LSOAs with higher levels of income deprivation receive greater planning weights in the demand measure. The study also considered three levels of additional provision:</w:t>
      </w: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2000, 5000, 8000</m:t>
            </m:r>
          </m:e>
        </m:d>
      </m:oMath>
      <w:r w:rsidR="00386057" w:rsidRPr="0017487A">
        <w:rPr>
          <w:rFonts w:ascii="Times New Roman" w:hAnsi="Times New Roman" w:cs="Times New Roman" w:hint="eastAsia"/>
        </w:rPr>
        <w:t xml:space="preserve"> </w:t>
      </w:r>
      <w:r w:rsidR="001111D3" w:rsidRPr="0017487A">
        <w:rPr>
          <w:rFonts w:ascii="Times New Roman" w:hAnsi="Times New Roman" w:cs="Times New Roman"/>
        </w:rPr>
        <w:t xml:space="preserve">. </w:t>
      </w:r>
      <w:r w:rsidR="001111D3" w:rsidRPr="0017487A">
        <w:rPr>
          <w:rFonts w:ascii="Times New Roman" w:hAnsi="Times New Roman" w:cs="Times New Roman"/>
        </w:rPr>
        <w:t>These levels setting refers to the estimated future shortfall in public charging infrastructure across Greater London. TfL and GLA (2025) estimated that London would face a shortfall of approximately 17,500 to 25,500 public charge points by 2030.</w:t>
      </w:r>
      <w:r w:rsidR="001111D3" w:rsidRPr="0017487A">
        <w:rPr>
          <w:rFonts w:ascii="Times New Roman" w:hAnsi="Times New Roman" w:cs="Times New Roman" w:hint="eastAsia"/>
        </w:rPr>
        <w:t xml:space="preserve"> </w:t>
      </w:r>
      <w:r w:rsidR="001111D3" w:rsidRPr="0017487A">
        <w:rPr>
          <w:rFonts w:ascii="Times New Roman" w:hAnsi="Times New Roman" w:cs="Times New Roman"/>
        </w:rPr>
        <w:t xml:space="preserve">Using the lower estimate of approximately 17,500 as a reference, this study selected three integer investment levels: </w:t>
      </w:r>
      <w:r w:rsidR="001111D3" w:rsidRPr="0017487A">
        <w:rPr>
          <w:rFonts w:ascii="Times New Roman" w:hAnsi="Times New Roman" w:cs="Times New Roman" w:hint="eastAsia"/>
        </w:rPr>
        <w:t>2000</w:t>
      </w:r>
      <w:r w:rsidR="001111D3" w:rsidRPr="0017487A">
        <w:rPr>
          <w:rFonts w:ascii="Times New Roman" w:hAnsi="Times New Roman" w:cs="Times New Roman"/>
        </w:rPr>
        <w:t xml:space="preserve">, </w:t>
      </w:r>
      <w:r w:rsidR="001111D3" w:rsidRPr="0017487A">
        <w:rPr>
          <w:rFonts w:ascii="Times New Roman" w:hAnsi="Times New Roman" w:cs="Times New Roman" w:hint="eastAsia"/>
        </w:rPr>
        <w:t>5000</w:t>
      </w:r>
      <w:r w:rsidR="001111D3" w:rsidRPr="0017487A">
        <w:rPr>
          <w:rFonts w:ascii="Times New Roman" w:hAnsi="Times New Roman" w:cs="Times New Roman"/>
        </w:rPr>
        <w:t xml:space="preserve">, and </w:t>
      </w:r>
      <w:r w:rsidR="001111D3" w:rsidRPr="0017487A">
        <w:rPr>
          <w:rFonts w:ascii="Times New Roman" w:hAnsi="Times New Roman" w:cs="Times New Roman" w:hint="eastAsia"/>
        </w:rPr>
        <w:t>8000</w:t>
      </w:r>
      <w:r w:rsidR="001111D3" w:rsidRPr="0017487A">
        <w:rPr>
          <w:rFonts w:ascii="Times New Roman" w:hAnsi="Times New Roman" w:cs="Times New Roman"/>
        </w:rPr>
        <w:t xml:space="preserve">. These represent approximately 11%, 29%, and 46% of the estimated shortfall, respectively, covering a range from a pilot-scale investment to almost half of the shortfall. Among these, </w:t>
      </w:r>
      <m:oMath>
        <m:r>
          <w:rPr>
            <w:rFonts w:ascii="Cambria Math" w:hAnsi="Cambria Math" w:cs="Times New Roman"/>
          </w:rPr>
          <m:t>p</m:t>
        </m:r>
      </m:oMath>
      <w:r w:rsidR="001111D3" w:rsidRPr="0017487A">
        <w:rPr>
          <w:rFonts w:ascii="Times New Roman" w:hAnsi="Times New Roman" w:cs="Times New Roman"/>
        </w:rPr>
        <w:t xml:space="preserve"> </w:t>
      </w:r>
      <w:r w:rsidR="001111D3" w:rsidRPr="0017487A">
        <w:rPr>
          <w:rFonts w:ascii="Times New Roman" w:hAnsi="Times New Roman" w:cs="Times New Roman"/>
        </w:rPr>
        <w:t>=5000</w:t>
      </w:r>
      <w:r w:rsidR="001111D3" w:rsidRPr="0017487A">
        <w:rPr>
          <w:rFonts w:ascii="Times New Roman" w:hAnsi="Times New Roman" w:cs="Times New Roman" w:hint="eastAsia"/>
        </w:rPr>
        <w:t xml:space="preserve"> </w:t>
      </w:r>
      <w:r w:rsidR="001111D3" w:rsidRPr="0017487A">
        <w:rPr>
          <w:rFonts w:ascii="Times New Roman" w:hAnsi="Times New Roman" w:cs="Times New Roman"/>
        </w:rPr>
        <w:t>was also used as the reference investment level for sensitivity testing.</w:t>
      </w:r>
      <w:r w:rsidR="00F978FF" w:rsidRPr="0017487A">
        <w:rPr>
          <w:rFonts w:ascii="Times New Roman" w:hAnsi="Times New Roman" w:cs="Times New Roman" w:hint="eastAsia"/>
        </w:rPr>
        <w:t xml:space="preserve"> </w:t>
      </w:r>
      <w:r w:rsidR="001111D3" w:rsidRPr="0017487A">
        <w:rPr>
          <w:rFonts w:ascii="Times New Roman" w:hAnsi="Times New Roman" w:cs="Times New Roman"/>
        </w:rPr>
        <w:t xml:space="preserve">Combining the four </w:t>
      </w:r>
      <m:oMath>
        <m:r>
          <w:rPr>
            <w:rFonts w:ascii="Cambria Math" w:hAnsi="Cambria Math" w:cs="Times New Roman"/>
          </w:rPr>
          <m:t>α</m:t>
        </m:r>
      </m:oMath>
      <w:r w:rsidR="001111D3" w:rsidRPr="0017487A">
        <w:rPr>
          <w:rFonts w:ascii="Times New Roman" w:hAnsi="Times New Roman" w:cs="Times New Roman"/>
        </w:rPr>
        <w:t xml:space="preserve"> scenarios with the three </w:t>
      </w:r>
      <m:oMath>
        <m:r>
          <w:rPr>
            <w:rFonts w:ascii="Cambria Math" w:hAnsi="Cambria Math" w:cs="Times New Roman"/>
          </w:rPr>
          <m:t>p</m:t>
        </m:r>
      </m:oMath>
      <w:r w:rsidR="00F978FF" w:rsidRPr="0017487A">
        <w:rPr>
          <w:rFonts w:ascii="Times New Roman" w:hAnsi="Times New Roman" w:cs="Times New Roman"/>
        </w:rPr>
        <w:t xml:space="preserve"> </w:t>
      </w:r>
      <w:r w:rsidR="001111D3" w:rsidRPr="0017487A">
        <w:rPr>
          <w:rFonts w:ascii="Times New Roman" w:hAnsi="Times New Roman" w:cs="Times New Roman"/>
        </w:rPr>
        <w:t>scenarios produced 12 core model configurations. All other model parameters were held constant across these configurations to allow the effects of deprivation weighting and investment level on the final allocation to be compared.</w:t>
      </w:r>
    </w:p>
    <w:p w14:paraId="26CCD67B" w14:textId="77777777" w:rsidR="00A064CD" w:rsidRDefault="00A064CD" w:rsidP="0076272B">
      <w:pPr>
        <w:widowControl w:val="0"/>
        <w:jc w:val="both"/>
        <w:rPr>
          <w:rFonts w:ascii="Times New Roman" w:hAnsi="Times New Roman" w:cs="Times New Roman"/>
          <w:color w:val="000000"/>
          <w:sz w:val="17"/>
          <w:szCs w:val="17"/>
        </w:rPr>
      </w:pPr>
    </w:p>
    <w:p w14:paraId="42761038" w14:textId="77777777" w:rsidR="00287E66" w:rsidRDefault="00287E66" w:rsidP="00287E66">
      <w:pPr>
        <w:widowControl w:val="0"/>
        <w:jc w:val="both"/>
        <w:rPr>
          <w:rFonts w:ascii="Times New Roman" w:hAnsi="Times New Roman" w:cs="Times New Roman"/>
        </w:rPr>
      </w:pPr>
      <w:r w:rsidRPr="00287E66">
        <w:rPr>
          <w:rFonts w:ascii="Times New Roman" w:hAnsi="Times New Roman" w:cs="Times New Roman"/>
        </w:rPr>
        <w:t xml:space="preserve">The spatial performance of different scenarios was evaluated using a gravity-based accessibility measure. </w:t>
      </w:r>
      <w:r w:rsidRPr="00287E66">
        <w:rPr>
          <w:rFonts w:ascii="Times New Roman" w:hAnsi="Times New Roman" w:cs="Times New Roman" w:hint="eastAsia"/>
        </w:rPr>
        <w:t>T</w:t>
      </w:r>
      <w:r w:rsidRPr="00287E66">
        <w:rPr>
          <w:rFonts w:ascii="Times New Roman" w:hAnsi="Times New Roman" w:cs="Times New Roman"/>
        </w:rPr>
        <w:t xml:space="preserve">his approach </w:t>
      </w:r>
      <w:r w:rsidRPr="00287E66">
        <w:rPr>
          <w:rFonts w:ascii="Times New Roman" w:hAnsi="Times New Roman" w:cs="Times New Roman" w:hint="eastAsia"/>
        </w:rPr>
        <w:t>was</w:t>
      </w:r>
      <w:r w:rsidRPr="00287E66">
        <w:rPr>
          <w:rFonts w:ascii="Times New Roman" w:hAnsi="Times New Roman" w:cs="Times New Roman"/>
        </w:rPr>
        <w:t xml:space="preserve"> first proposed by </w:t>
      </w:r>
      <w:r w:rsidRPr="00287E66">
        <w:rPr>
          <w:rFonts w:ascii="Times New Roman" w:hAnsi="Times New Roman" w:cs="Times New Roman"/>
        </w:rPr>
        <w:t>Hansen (1959), measur</w:t>
      </w:r>
      <w:r w:rsidRPr="00287E66">
        <w:rPr>
          <w:rFonts w:ascii="Times New Roman" w:hAnsi="Times New Roman" w:cs="Times New Roman"/>
        </w:rPr>
        <w:t>ing</w:t>
      </w:r>
      <w:r w:rsidRPr="00287E66">
        <w:rPr>
          <w:rFonts w:ascii="Times New Roman" w:hAnsi="Times New Roman" w:cs="Times New Roman"/>
        </w:rPr>
        <w:t xml:space="preserve"> </w:t>
      </w:r>
      <w:r w:rsidRPr="00287E66">
        <w:rPr>
          <w:rFonts w:ascii="Times New Roman" w:hAnsi="Times New Roman" w:cs="Times New Roman" w:hint="eastAsia"/>
        </w:rPr>
        <w:t>a</w:t>
      </w:r>
      <w:r w:rsidRPr="00287E66">
        <w:rPr>
          <w:rFonts w:ascii="Times New Roman" w:hAnsi="Times New Roman" w:cs="Times New Roman"/>
        </w:rPr>
        <w:t xml:space="preserve">ccessibility through continuous distance decay. Existing EV charging location studies commonly use a fixed service radius (e.g. Liu, 2012; He et al., 2022). However, such measures are sensitive to the choice of threshold and cannot reflect relative differences in accessibility among LSOAs within the service area. As this study examines </w:t>
      </w:r>
      <w:r w:rsidRPr="00287E66">
        <w:rPr>
          <w:rFonts w:ascii="Times New Roman" w:hAnsi="Times New Roman" w:cs="Times New Roman"/>
        </w:rPr>
        <w:lastRenderedPageBreak/>
        <w:t>continuous changes in accessibility across areas with different levels of deprivation, a commonly used inverse-distance decay form was adopted:</w:t>
      </w:r>
    </w:p>
    <w:p w14:paraId="75ADCDE6" w14:textId="2C3D3063" w:rsidR="00192883" w:rsidRPr="00287E66" w:rsidRDefault="00192883" w:rsidP="00287E66">
      <w:pPr>
        <w:widowControl w:val="0"/>
        <w:jc w:val="both"/>
        <w:rPr>
          <w:rFonts w:ascii="Times New Roman" w:hAnsi="Times New Roman" w:cs="Times New Roman"/>
        </w:rPr>
      </w:pPr>
      <w:r w:rsidRPr="00287E66">
        <w:rPr>
          <w:rFonts w:ascii="Times New Roman" w:hAnsi="Times New Roman" w:cs="Times New Roman"/>
        </w:rPr>
        <w:br/>
      </w: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α</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 </m:t>
              </m:r>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d>
                    <m:dPr>
                      <m:ctrlPr>
                        <w:rPr>
                          <w:rFonts w:ascii="Cambria Math" w:hAnsi="Cambria Math" w:cs="Times New Roman"/>
                        </w:rPr>
                      </m:ctrlPr>
                    </m:dPr>
                    <m:e>
                      <m:r>
                        <w:rPr>
                          <w:rFonts w:ascii="Cambria Math" w:hAnsi="Cambria Math" w:cs="Times New Roman"/>
                        </w:rPr>
                        <m:t>α</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 </m:t>
                      </m:r>
                    </m:e>
                  </m:d>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c</m:t>
                  </m:r>
                </m:den>
              </m:f>
            </m:e>
          </m:nary>
        </m:oMath>
      </m:oMathPara>
    </w:p>
    <w:p w14:paraId="5DCE666D" w14:textId="33EB21B9" w:rsidR="00287E66" w:rsidRPr="00287E66" w:rsidRDefault="00287E66" w:rsidP="00287E66">
      <w:pPr>
        <w:widowControl w:val="0"/>
        <w:jc w:val="both"/>
        <w:rPr>
          <w:rFonts w:ascii="Times New Roman" w:hAnsi="Times New Roman" w:cs="Times New Roman"/>
        </w:rPr>
      </w:pPr>
      <w:r w:rsidRPr="00287E66">
        <w:rPr>
          <w:rFonts w:ascii="Times New Roman" w:hAnsi="Times New Roman" w:cs="Times New Roman"/>
        </w:rPr>
        <w:t>For LSOA</w:t>
      </w:r>
      <w:r w:rsidRPr="00287E66">
        <w:rPr>
          <w:rFonts w:ascii="Cambria Math" w:hAnsi="Cambria Math" w:cs="Times New Roman"/>
          <w:i/>
          <w:color w:val="000000"/>
          <w:sz w:val="17"/>
          <w:szCs w:val="17"/>
        </w:rPr>
        <w:t xml:space="preserve"> </w:t>
      </w:r>
      <m:oMath>
        <m:r>
          <w:rPr>
            <w:rFonts w:ascii="Cambria Math" w:hAnsi="Cambria Math" w:cs="Times New Roman"/>
            <w:color w:val="000000"/>
            <w:sz w:val="17"/>
            <w:szCs w:val="17"/>
          </w:rPr>
          <m:t>i</m:t>
        </m:r>
      </m:oMath>
      <w:r w:rsidRPr="00287E66">
        <w:rPr>
          <w:rFonts w:ascii="Times New Roman" w:hAnsi="Times New Roman" w:cs="Times New Roman"/>
        </w:rPr>
        <w:t xml:space="preserve">, accessibility </w:t>
      </w:r>
      <w:r w:rsidRPr="00192883">
        <w:rPr>
          <w:rFonts w:ascii="Times New Roman" w:hAnsi="Times New Roman" w:cs="Times New Roman"/>
          <w:color w:val="000000"/>
          <w:sz w:val="17"/>
          <w:szCs w:val="17"/>
        </w:rPr>
        <w:t> </w:t>
      </w:r>
      <m:oMath>
        <m:sSub>
          <m:sSubPr>
            <m:ctrlPr>
              <w:rPr>
                <w:rFonts w:ascii="Cambria Math" w:hAnsi="Cambria Math" w:cs="Times New Roman"/>
                <w:color w:val="000000"/>
                <w:sz w:val="17"/>
                <w:szCs w:val="17"/>
              </w:rPr>
            </m:ctrlPr>
          </m:sSubPr>
          <m:e>
            <m:r>
              <w:rPr>
                <w:rFonts w:ascii="Cambria Math" w:hAnsi="Cambria Math" w:cs="Times New Roman"/>
                <w:color w:val="000000"/>
                <w:sz w:val="17"/>
                <w:szCs w:val="17"/>
              </w:rPr>
              <m:t>A</m:t>
            </m:r>
          </m:e>
          <m:sub>
            <m:r>
              <w:rPr>
                <w:rFonts w:ascii="Cambria Math" w:hAnsi="Cambria Math" w:cs="Times New Roman"/>
                <w:color w:val="000000"/>
                <w:sz w:val="17"/>
                <w:szCs w:val="17"/>
              </w:rPr>
              <m:t>i</m:t>
            </m:r>
          </m:sub>
        </m:sSub>
      </m:oMath>
      <w:r w:rsidRPr="00287E66">
        <w:rPr>
          <w:rFonts w:ascii="Times New Roman" w:hAnsi="Times New Roman" w:cs="Times New Roman"/>
        </w:rPr>
        <w:t xml:space="preserve"> represents the existing and additional charging provision accessible under each scenario, with its contribution decreasing as spatial distance increases. Provision located closer to LSOA </w:t>
      </w:r>
      <m:oMath>
        <m:r>
          <w:rPr>
            <w:rFonts w:ascii="Cambria Math" w:hAnsi="Cambria Math" w:cs="Times New Roman"/>
            <w:color w:val="000000"/>
            <w:sz w:val="17"/>
            <w:szCs w:val="17"/>
          </w:rPr>
          <m:t>i</m:t>
        </m:r>
      </m:oMath>
      <w:r w:rsidRPr="00287E66">
        <w:rPr>
          <w:rFonts w:ascii="Times New Roman" w:hAnsi="Times New Roman" w:cs="Times New Roman"/>
        </w:rPr>
        <w:t xml:space="preserve"> </w:t>
      </w:r>
      <w:r w:rsidRPr="00287E66">
        <w:rPr>
          <w:rFonts w:ascii="Times New Roman" w:hAnsi="Times New Roman" w:cs="Times New Roman"/>
        </w:rPr>
        <w:t>therefore makes a greater contribution to its accessibility.</w:t>
      </w:r>
      <w:r>
        <w:rPr>
          <w:rFonts w:ascii="Times New Roman" w:hAnsi="Times New Roman" w:cs="Times New Roman"/>
        </w:rPr>
        <w:t xml:space="preserve"> </w:t>
      </w:r>
      <m:oMath>
        <m:r>
          <w:rPr>
            <w:rFonts w:ascii="Cambria Math" w:hAnsi="Cambria Math"/>
          </w:rPr>
          <m:t>c</m:t>
        </m:r>
      </m:oMath>
      <w:r w:rsidRPr="00287E66">
        <w:rPr>
          <w:rFonts w:ascii="Times New Roman" w:hAnsi="Times New Roman" w:cs="Times New Roman"/>
        </w:rPr>
        <w:t xml:space="preserve"> </w:t>
      </w:r>
      <w:r>
        <w:rPr>
          <w:rFonts w:ascii="Times New Roman" w:hAnsi="Times New Roman" w:cs="Times New Roman" w:hint="eastAsia"/>
        </w:rPr>
        <w:t>is</w:t>
      </w:r>
      <w:r>
        <w:rPr>
          <w:rFonts w:ascii="Times New Roman" w:hAnsi="Times New Roman" w:cs="Times New Roman"/>
        </w:rPr>
        <w:t xml:space="preserve"> </w:t>
      </w:r>
      <w:r w:rsidRPr="00287E66">
        <w:rPr>
          <w:rFonts w:ascii="Times New Roman" w:hAnsi="Times New Roman" w:cs="Times New Roman"/>
        </w:rPr>
        <w:t xml:space="preserve">a small positive constant in the denominator that prevents division by zero when </w:t>
      </w:r>
      <m:oMath>
        <m:r>
          <w:rPr>
            <w:rFonts w:ascii="Cambria Math" w:hAnsi="Cambria Math"/>
          </w:rPr>
          <m:t>j=i</m:t>
        </m:r>
      </m:oMath>
      <w:r w:rsidRPr="00287E66">
        <w:rPr>
          <w:rFonts w:ascii="Times New Roman" w:hAnsi="Times New Roman" w:cs="Times New Roman"/>
        </w:rPr>
        <w:t>, where (</w:t>
      </w:r>
      <m:oMath>
        <m:sSub>
          <m:sSubPr>
            <m:ctrlPr>
              <w:rPr>
                <w:rFonts w:ascii="Cambria Math" w:hAnsi="Cambria Math"/>
              </w:rPr>
            </m:ctrlPr>
          </m:sSubPr>
          <m:e>
            <m:r>
              <w:rPr>
                <w:rFonts w:ascii="Cambria Math" w:hAnsi="Cambria Math"/>
              </w:rPr>
              <m:t>d</m:t>
            </m:r>
          </m:e>
          <m:sub>
            <m:r>
              <w:rPr>
                <w:rFonts w:ascii="Cambria Math" w:hAnsi="Cambria Math"/>
              </w:rPr>
              <m:t>ii</m:t>
            </m:r>
          </m:sub>
        </m:sSub>
        <m:r>
          <w:rPr>
            <w:rFonts w:ascii="Cambria Math" w:hAnsi="Cambria Math"/>
          </w:rPr>
          <m:t>=0</m:t>
        </m:r>
      </m:oMath>
      <w:r w:rsidRPr="00287E66">
        <w:rPr>
          <w:rFonts w:ascii="Times New Roman" w:hAnsi="Times New Roman" w:cs="Times New Roman"/>
        </w:rPr>
        <w:t>). It was set to 100 metres.</w:t>
      </w:r>
    </w:p>
    <w:p w14:paraId="00D6EED8" w14:textId="12C4930E" w:rsidR="00FD2E03" w:rsidRPr="007809FE" w:rsidRDefault="00000000" w:rsidP="007809FE">
      <w:pPr>
        <w:pStyle w:val="p1"/>
        <w:jc w:val="both"/>
        <w:rPr>
          <w:color w:val="auto"/>
          <w:sz w:val="24"/>
          <w:szCs w:val="24"/>
        </w:rPr>
      </w:pPr>
      <m:oMathPara>
        <m:oMath>
          <m:acc>
            <m:accPr>
              <m:chr m:val="̅"/>
              <m:ctrlPr>
                <w:rPr>
                  <w:rFonts w:ascii="Cambria Math" w:hAnsi="Cambria Math"/>
                  <w:color w:val="auto"/>
                  <w:sz w:val="24"/>
                  <w:szCs w:val="24"/>
                </w:rPr>
              </m:ctrlPr>
            </m:accPr>
            <m:e>
              <m:r>
                <w:rPr>
                  <w:rFonts w:ascii="Cambria Math" w:hAnsi="Cambria Math"/>
                  <w:color w:val="auto"/>
                  <w:sz w:val="24"/>
                  <w:szCs w:val="24"/>
                </w:rPr>
                <m:t>A</m:t>
              </m:r>
            </m:e>
          </m:acc>
          <m:d>
            <m:dPr>
              <m:ctrlPr>
                <w:rPr>
                  <w:rFonts w:ascii="Cambria Math" w:hAnsi="Cambria Math"/>
                  <w:color w:val="auto"/>
                  <w:sz w:val="24"/>
                  <w:szCs w:val="24"/>
                </w:rPr>
              </m:ctrlPr>
            </m:dPr>
            <m:e>
              <m:r>
                <w:rPr>
                  <w:rFonts w:ascii="Cambria Math" w:hAnsi="Cambria Math"/>
                  <w:color w:val="auto"/>
                  <w:sz w:val="24"/>
                  <w:szCs w:val="24"/>
                </w:rPr>
                <m:t>α</m:t>
              </m:r>
              <m:r>
                <m:rPr>
                  <m:sty m:val="p"/>
                </m:rPr>
                <w:rPr>
                  <w:rFonts w:ascii="Cambria Math" w:hAnsi="Cambria Math"/>
                  <w:color w:val="auto"/>
                  <w:sz w:val="24"/>
                  <w:szCs w:val="24"/>
                </w:rPr>
                <m:t>,</m:t>
              </m:r>
              <m:r>
                <w:rPr>
                  <w:rFonts w:ascii="Cambria Math" w:hAnsi="Cambria Math"/>
                  <w:color w:val="auto"/>
                  <w:sz w:val="24"/>
                  <w:szCs w:val="24"/>
                </w:rPr>
                <m:t>p</m:t>
              </m:r>
              <m:r>
                <m:rPr>
                  <m:sty m:val="p"/>
                </m:rPr>
                <w:rPr>
                  <w:rFonts w:ascii="Cambria Math" w:hAnsi="Cambria Math"/>
                  <w:color w:val="auto"/>
                  <w:sz w:val="24"/>
                  <w:szCs w:val="24"/>
                </w:rPr>
                <m:t> </m:t>
              </m:r>
            </m:e>
          </m:d>
          <m:r>
            <m:rPr>
              <m:sty m:val="p"/>
            </m:rPr>
            <w:rPr>
              <w:rFonts w:ascii="Cambria Math" w:hAnsi="Cambria Math"/>
              <w:color w:val="auto"/>
              <w:sz w:val="24"/>
              <w:szCs w:val="24"/>
            </w:rPr>
            <m:t>=</m:t>
          </m:r>
          <m:f>
            <m:fPr>
              <m:ctrlPr>
                <w:rPr>
                  <w:rFonts w:ascii="Cambria Math" w:hAnsi="Cambria Math"/>
                  <w:color w:val="auto"/>
                  <w:sz w:val="24"/>
                  <w:szCs w:val="24"/>
                </w:rPr>
              </m:ctrlPr>
            </m:fPr>
            <m:num>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i</m:t>
                  </m:r>
                </m:sub>
                <m:sup/>
                <m:e>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d>
                        <m:dPr>
                          <m:ctrlPr>
                            <w:rPr>
                              <w:rFonts w:ascii="Cambria Math" w:hAnsi="Cambria Math"/>
                              <w:color w:val="auto"/>
                              <w:sz w:val="24"/>
                              <w:szCs w:val="24"/>
                            </w:rPr>
                          </m:ctrlPr>
                        </m:dPr>
                        <m:e>
                          <m:r>
                            <m:rPr>
                              <m:sty m:val="p"/>
                            </m:rPr>
                            <w:rPr>
                              <w:rFonts w:ascii="Cambria Math" w:hAnsi="Cambria Math"/>
                              <w:color w:val="auto"/>
                              <w:sz w:val="24"/>
                              <w:szCs w:val="24"/>
                            </w:rPr>
                            <m:t>0</m:t>
                          </m:r>
                        </m:e>
                      </m:d>
                    </m:sup>
                  </m:sSubSup>
                </m:e>
              </m:nary>
              <m:sSub>
                <m:sSubPr>
                  <m:ctrlPr>
                    <w:rPr>
                      <w:rFonts w:ascii="Cambria Math" w:hAnsi="Cambria Math"/>
                      <w:color w:val="auto"/>
                      <w:sz w:val="24"/>
                      <w:szCs w:val="24"/>
                    </w:rPr>
                  </m:ctrlPr>
                </m:sSubPr>
                <m:e>
                  <m:r>
                    <w:rPr>
                      <w:rFonts w:ascii="Cambria Math" w:hAnsi="Cambria Math"/>
                      <w:color w:val="auto"/>
                      <w:sz w:val="24"/>
                      <w:szCs w:val="24"/>
                    </w:rPr>
                    <m:t>A</m:t>
                  </m:r>
                </m:e>
                <m:sub>
                  <m:r>
                    <w:rPr>
                      <w:rFonts w:ascii="Cambria Math" w:hAnsi="Cambria Math"/>
                      <w:color w:val="auto"/>
                      <w:sz w:val="24"/>
                      <w:szCs w:val="24"/>
                    </w:rPr>
                    <m:t>i</m:t>
                  </m:r>
                </m:sub>
              </m:sSub>
              <m:d>
                <m:dPr>
                  <m:ctrlPr>
                    <w:rPr>
                      <w:rFonts w:ascii="Cambria Math" w:hAnsi="Cambria Math"/>
                      <w:color w:val="auto"/>
                      <w:sz w:val="24"/>
                      <w:szCs w:val="24"/>
                    </w:rPr>
                  </m:ctrlPr>
                </m:dPr>
                <m:e>
                  <m:r>
                    <w:rPr>
                      <w:rFonts w:ascii="Cambria Math" w:hAnsi="Cambria Math"/>
                      <w:color w:val="auto"/>
                      <w:sz w:val="24"/>
                      <w:szCs w:val="24"/>
                    </w:rPr>
                    <m:t>α</m:t>
                  </m:r>
                  <m:r>
                    <m:rPr>
                      <m:sty m:val="p"/>
                    </m:rPr>
                    <w:rPr>
                      <w:rFonts w:ascii="Cambria Math" w:hAnsi="Cambria Math"/>
                      <w:color w:val="auto"/>
                      <w:sz w:val="24"/>
                      <w:szCs w:val="24"/>
                    </w:rPr>
                    <m:t>,</m:t>
                  </m:r>
                  <m:r>
                    <w:rPr>
                      <w:rFonts w:ascii="Cambria Math" w:hAnsi="Cambria Math"/>
                      <w:color w:val="auto"/>
                      <w:sz w:val="24"/>
                      <w:szCs w:val="24"/>
                    </w:rPr>
                    <m:t>p</m:t>
                  </m:r>
                  <m:r>
                    <m:rPr>
                      <m:sty m:val="p"/>
                    </m:rPr>
                    <w:rPr>
                      <w:rFonts w:ascii="Cambria Math" w:hAnsi="Cambria Math"/>
                      <w:color w:val="auto"/>
                      <w:sz w:val="24"/>
                      <w:szCs w:val="24"/>
                    </w:rPr>
                    <m:t> </m:t>
                  </m:r>
                </m:e>
              </m:d>
            </m:num>
            <m:den>
              <m:nary>
                <m:naryPr>
                  <m:chr m:val="∑"/>
                  <m:limLoc m:val="undOvr"/>
                  <m:supHide m:val="1"/>
                  <m:ctrlPr>
                    <w:rPr>
                      <w:rFonts w:ascii="Cambria Math" w:hAnsi="Cambria Math"/>
                      <w:color w:val="auto"/>
                      <w:sz w:val="24"/>
                      <w:szCs w:val="24"/>
                    </w:rPr>
                  </m:ctrlPr>
                </m:naryPr>
                <m:sub>
                  <m:r>
                    <w:rPr>
                      <w:rFonts w:ascii="Cambria Math" w:hAnsi="Cambria Math"/>
                      <w:color w:val="auto"/>
                      <w:sz w:val="24"/>
                      <w:szCs w:val="24"/>
                    </w:rPr>
                    <m:t>i</m:t>
                  </m:r>
                </m:sub>
                <m:sup/>
                <m:e>
                  <m:sSubSup>
                    <m:sSubSupPr>
                      <m:ctrlPr>
                        <w:rPr>
                          <w:rFonts w:ascii="Cambria Math" w:hAnsi="Cambria Math"/>
                          <w:color w:val="auto"/>
                          <w:sz w:val="24"/>
                          <w:szCs w:val="24"/>
                        </w:rPr>
                      </m:ctrlPr>
                    </m:sSubSupPr>
                    <m:e>
                      <m:r>
                        <w:rPr>
                          <w:rFonts w:ascii="Cambria Math" w:hAnsi="Cambria Math"/>
                          <w:color w:val="auto"/>
                          <w:sz w:val="24"/>
                          <w:szCs w:val="24"/>
                        </w:rPr>
                        <m:t>D</m:t>
                      </m:r>
                    </m:e>
                    <m:sub>
                      <m:r>
                        <w:rPr>
                          <w:rFonts w:ascii="Cambria Math" w:hAnsi="Cambria Math"/>
                          <w:color w:val="auto"/>
                          <w:sz w:val="24"/>
                          <w:szCs w:val="24"/>
                        </w:rPr>
                        <m:t>i</m:t>
                      </m:r>
                    </m:sub>
                    <m:sup>
                      <m:d>
                        <m:dPr>
                          <m:ctrlPr>
                            <w:rPr>
                              <w:rFonts w:ascii="Cambria Math" w:hAnsi="Cambria Math"/>
                              <w:color w:val="auto"/>
                              <w:sz w:val="24"/>
                              <w:szCs w:val="24"/>
                            </w:rPr>
                          </m:ctrlPr>
                        </m:dPr>
                        <m:e>
                          <m:r>
                            <m:rPr>
                              <m:sty m:val="p"/>
                            </m:rPr>
                            <w:rPr>
                              <w:rFonts w:ascii="Cambria Math" w:hAnsi="Cambria Math"/>
                              <w:color w:val="auto"/>
                              <w:sz w:val="24"/>
                              <w:szCs w:val="24"/>
                            </w:rPr>
                            <m:t>0</m:t>
                          </m:r>
                        </m:e>
                      </m:d>
                    </m:sup>
                  </m:sSubSup>
                </m:e>
              </m:nary>
            </m:den>
          </m:f>
        </m:oMath>
      </m:oMathPara>
    </w:p>
    <w:p w14:paraId="252226BB" w14:textId="60667AF4" w:rsidR="00287E66" w:rsidRPr="007809FE" w:rsidRDefault="00287E66" w:rsidP="007809FE">
      <w:pPr>
        <w:pStyle w:val="p1"/>
        <w:jc w:val="both"/>
        <w:rPr>
          <w:color w:val="auto"/>
          <w:sz w:val="24"/>
          <w:szCs w:val="24"/>
        </w:rPr>
      </w:pPr>
      <w:r w:rsidRPr="007809FE">
        <w:rPr>
          <w:color w:val="auto"/>
          <w:sz w:val="24"/>
          <w:szCs w:val="24"/>
        </w:rPr>
        <w:t xml:space="preserve">The overall spatial performance of Greater London was evaluated using mean accessibility. For each investment level </w:t>
      </w:r>
      <m:oMath>
        <m:r>
          <w:rPr>
            <w:rFonts w:ascii="Cambria Math" w:hAnsi="Cambria Math"/>
            <w:color w:val="auto"/>
            <w:sz w:val="24"/>
            <w:szCs w:val="24"/>
          </w:rPr>
          <m:t>p</m:t>
        </m:r>
      </m:oMath>
      <w:r w:rsidRPr="007809FE">
        <w:rPr>
          <w:color w:val="auto"/>
          <w:sz w:val="24"/>
          <w:szCs w:val="24"/>
        </w:rPr>
        <w:t xml:space="preserve">, the different </w:t>
      </w:r>
      <m:oMath>
        <m:r>
          <w:rPr>
            <w:rFonts w:ascii="Cambria Math" w:hAnsi="Cambria Math"/>
            <w:color w:val="auto"/>
            <w:sz w:val="24"/>
            <w:szCs w:val="24"/>
          </w:rPr>
          <m:t>α</m:t>
        </m:r>
      </m:oMath>
      <w:r w:rsidRPr="007809FE">
        <w:rPr>
          <w:color w:val="auto"/>
          <w:sz w:val="24"/>
          <w:szCs w:val="24"/>
        </w:rPr>
        <w:t xml:space="preserve"> =0 scenarios were compared with the baseline allocation at </w:t>
      </w:r>
      <m:oMath>
        <m:r>
          <w:rPr>
            <w:rFonts w:ascii="Cambria Math" w:hAnsi="Cambria Math"/>
            <w:color w:val="auto"/>
            <w:sz w:val="24"/>
            <w:szCs w:val="24"/>
          </w:rPr>
          <m:t>α</m:t>
        </m:r>
      </m:oMath>
      <w:r w:rsidRPr="007809FE">
        <w:rPr>
          <w:color w:val="auto"/>
          <w:sz w:val="24"/>
          <w:szCs w:val="24"/>
        </w:rPr>
        <w:t xml:space="preserve"> </w:t>
      </w:r>
      <w:r w:rsidRPr="007809FE">
        <w:rPr>
          <w:color w:val="auto"/>
          <w:sz w:val="24"/>
          <w:szCs w:val="24"/>
        </w:rPr>
        <w:t>=0</w:t>
      </w:r>
      <w:r w:rsidRPr="007809FE">
        <w:rPr>
          <w:color w:val="auto"/>
          <w:sz w:val="24"/>
          <w:szCs w:val="24"/>
        </w:rPr>
        <w:t xml:space="preserve"> </w:t>
      </w:r>
      <w:r w:rsidRPr="007809FE">
        <w:rPr>
          <w:color w:val="auto"/>
          <w:sz w:val="24"/>
          <w:szCs w:val="24"/>
        </w:rPr>
        <w:t xml:space="preserve">under the same value of </w:t>
      </w:r>
      <m:oMath>
        <m:r>
          <w:rPr>
            <w:rFonts w:ascii="Cambria Math" w:hAnsi="Cambria Math"/>
            <w:color w:val="auto"/>
            <w:sz w:val="24"/>
            <w:szCs w:val="24"/>
          </w:rPr>
          <m:t>p</m:t>
        </m:r>
      </m:oMath>
      <w:r w:rsidRPr="007809FE">
        <w:rPr>
          <w:color w:val="auto"/>
          <w:sz w:val="24"/>
          <w:szCs w:val="24"/>
        </w:rPr>
        <w:t>.</w:t>
      </w:r>
    </w:p>
    <w:p w14:paraId="1F66E065" w14:textId="77777777" w:rsidR="00287E66" w:rsidRPr="007809FE" w:rsidRDefault="00287E66" w:rsidP="007809FE">
      <w:pPr>
        <w:jc w:val="both"/>
        <w:rPr>
          <w:rFonts w:ascii="Times New Roman" w:hAnsi="Times New Roman" w:cs="Times New Roman"/>
        </w:rPr>
      </w:pPr>
    </w:p>
    <w:p w14:paraId="03F9C1C9" w14:textId="7B44084F" w:rsidR="00FD2E03" w:rsidRPr="007809FE" w:rsidRDefault="00FD2E03" w:rsidP="007809FE">
      <w:pPr>
        <w:pStyle w:val="p1"/>
        <w:jc w:val="both"/>
        <w:rPr>
          <w:color w:val="auto"/>
          <w:sz w:val="24"/>
          <w:szCs w:val="24"/>
        </w:rPr>
      </w:pPr>
      <m:oMathPara>
        <m:oMath>
          <m:r>
            <m:rPr>
              <m:sty m:val="p"/>
            </m:rP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A</m:t>
              </m:r>
            </m:e>
            <m:sub>
              <m:r>
                <w:rPr>
                  <w:rFonts w:ascii="Cambria Math" w:hAnsi="Cambria Math"/>
                  <w:color w:val="auto"/>
                  <w:sz w:val="24"/>
                  <w:szCs w:val="24"/>
                </w:rPr>
                <m:t>i</m:t>
              </m:r>
            </m:sub>
          </m:sSub>
          <m:d>
            <m:dPr>
              <m:ctrlPr>
                <w:rPr>
                  <w:rFonts w:ascii="Cambria Math" w:hAnsi="Cambria Math"/>
                  <w:color w:val="auto"/>
                  <w:sz w:val="24"/>
                  <w:szCs w:val="24"/>
                </w:rPr>
              </m:ctrlPr>
            </m:dPr>
            <m:e>
              <m:r>
                <w:rPr>
                  <w:rFonts w:ascii="Cambria Math" w:hAnsi="Cambria Math"/>
                  <w:color w:val="auto"/>
                  <w:sz w:val="24"/>
                  <w:szCs w:val="24"/>
                </w:rPr>
                <m:t>α</m:t>
              </m:r>
              <m:r>
                <m:rPr>
                  <m:sty m:val="p"/>
                </m:rPr>
                <w:rPr>
                  <w:rFonts w:ascii="Cambria Math" w:hAnsi="Cambria Math"/>
                  <w:color w:val="auto"/>
                  <w:sz w:val="24"/>
                  <w:szCs w:val="24"/>
                </w:rPr>
                <m:t>,</m:t>
              </m:r>
              <m:r>
                <w:rPr>
                  <w:rFonts w:ascii="Cambria Math" w:hAnsi="Cambria Math"/>
                  <w:color w:val="auto"/>
                  <w:sz w:val="24"/>
                  <w:szCs w:val="24"/>
                </w:rPr>
                <m:t>p</m:t>
              </m:r>
              <m:r>
                <m:rPr>
                  <m:sty m:val="p"/>
                </m:rPr>
                <w:rPr>
                  <w:rFonts w:ascii="Cambria Math" w:hAnsi="Cambria Math"/>
                  <w:color w:val="auto"/>
                  <w:sz w:val="24"/>
                  <w:szCs w:val="24"/>
                </w:rPr>
                <m:t> </m:t>
              </m:r>
            </m:e>
          </m:d>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A</m:t>
              </m:r>
            </m:e>
            <m:sub>
              <m:r>
                <w:rPr>
                  <w:rFonts w:ascii="Cambria Math" w:hAnsi="Cambria Math"/>
                  <w:color w:val="auto"/>
                  <w:sz w:val="24"/>
                  <w:szCs w:val="24"/>
                </w:rPr>
                <m:t>i</m:t>
              </m:r>
            </m:sub>
          </m:sSub>
          <m:d>
            <m:dPr>
              <m:ctrlPr>
                <w:rPr>
                  <w:rFonts w:ascii="Cambria Math" w:hAnsi="Cambria Math"/>
                  <w:color w:val="auto"/>
                  <w:sz w:val="24"/>
                  <w:szCs w:val="24"/>
                </w:rPr>
              </m:ctrlPr>
            </m:dPr>
            <m:e>
              <m:r>
                <w:rPr>
                  <w:rFonts w:ascii="Cambria Math" w:hAnsi="Cambria Math"/>
                  <w:color w:val="auto"/>
                  <w:sz w:val="24"/>
                  <w:szCs w:val="24"/>
                </w:rPr>
                <m:t>α</m:t>
              </m:r>
              <m:r>
                <m:rPr>
                  <m:sty m:val="p"/>
                </m:rPr>
                <w:rPr>
                  <w:rFonts w:ascii="Cambria Math" w:hAnsi="Cambria Math"/>
                  <w:color w:val="auto"/>
                  <w:sz w:val="24"/>
                  <w:szCs w:val="24"/>
                </w:rPr>
                <m:t>,</m:t>
              </m:r>
              <m:r>
                <w:rPr>
                  <w:rFonts w:ascii="Cambria Math" w:hAnsi="Cambria Math"/>
                  <w:color w:val="auto"/>
                  <w:sz w:val="24"/>
                  <w:szCs w:val="24"/>
                </w:rPr>
                <m:t>p</m:t>
              </m:r>
              <m:r>
                <m:rPr>
                  <m:sty m:val="p"/>
                </m:rPr>
                <w:rPr>
                  <w:rFonts w:ascii="Cambria Math" w:hAnsi="Cambria Math"/>
                  <w:color w:val="auto"/>
                  <w:sz w:val="24"/>
                  <w:szCs w:val="24"/>
                </w:rPr>
                <m:t> </m:t>
              </m:r>
            </m:e>
          </m:d>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A</m:t>
              </m:r>
            </m:e>
            <m:sub>
              <m:r>
                <w:rPr>
                  <w:rFonts w:ascii="Cambria Math" w:hAnsi="Cambria Math"/>
                  <w:color w:val="auto"/>
                  <w:sz w:val="24"/>
                  <w:szCs w:val="24"/>
                </w:rPr>
                <m:t>i</m:t>
              </m:r>
            </m:sub>
          </m:sSub>
          <m:d>
            <m:dPr>
              <m:ctrlPr>
                <w:rPr>
                  <w:rFonts w:ascii="Cambria Math" w:hAnsi="Cambria Math"/>
                  <w:color w:val="auto"/>
                  <w:sz w:val="24"/>
                  <w:szCs w:val="24"/>
                </w:rPr>
              </m:ctrlPr>
            </m:dPr>
            <m:e>
              <m:r>
                <m:rPr>
                  <m:sty m:val="p"/>
                </m:rPr>
                <w:rPr>
                  <w:rFonts w:ascii="Cambria Math" w:hAnsi="Cambria Math"/>
                  <w:color w:val="auto"/>
                  <w:sz w:val="24"/>
                  <w:szCs w:val="24"/>
                </w:rPr>
                <m:t>0,</m:t>
              </m:r>
              <m:r>
                <w:rPr>
                  <w:rFonts w:ascii="Cambria Math" w:hAnsi="Cambria Math"/>
                  <w:color w:val="auto"/>
                  <w:sz w:val="24"/>
                  <w:szCs w:val="24"/>
                </w:rPr>
                <m:t>p</m:t>
              </m:r>
              <m:r>
                <m:rPr>
                  <m:sty m:val="p"/>
                </m:rPr>
                <w:rPr>
                  <w:rFonts w:ascii="Cambria Math" w:hAnsi="Cambria Math"/>
                  <w:color w:val="auto"/>
                  <w:sz w:val="24"/>
                  <w:szCs w:val="24"/>
                </w:rPr>
                <m:t> </m:t>
              </m:r>
            </m:e>
          </m:d>
        </m:oMath>
      </m:oMathPara>
    </w:p>
    <w:p w14:paraId="209D3354" w14:textId="187EDC89" w:rsidR="00287E66" w:rsidRPr="007809FE" w:rsidRDefault="00287E66" w:rsidP="007809FE">
      <w:pPr>
        <w:pStyle w:val="p1"/>
        <w:jc w:val="both"/>
        <w:rPr>
          <w:color w:val="auto"/>
          <w:sz w:val="24"/>
          <w:szCs w:val="24"/>
        </w:rPr>
      </w:pPr>
      <w:r w:rsidRPr="007809FE">
        <w:rPr>
          <w:color w:val="auto"/>
          <w:sz w:val="24"/>
          <w:szCs w:val="24"/>
        </w:rPr>
        <w:t xml:space="preserve">Distributional equity was evaluated through changes in accessibility across different income-deprivation groups. First, the change in accessibility for each LSOA was calculated relative to the </w:t>
      </w:r>
      <m:oMath>
        <m:r>
          <w:rPr>
            <w:rFonts w:ascii="Cambria Math" w:hAnsi="Cambria Math"/>
            <w:color w:val="auto"/>
            <w:sz w:val="24"/>
            <w:szCs w:val="24"/>
          </w:rPr>
          <m:t>α</m:t>
        </m:r>
      </m:oMath>
      <w:r w:rsidRPr="007809FE">
        <w:rPr>
          <w:color w:val="auto"/>
          <w:sz w:val="24"/>
          <w:szCs w:val="24"/>
        </w:rPr>
        <w:t xml:space="preserve"> =0 scenario at the same investment level </w:t>
      </w:r>
      <m:oMath>
        <m:r>
          <w:rPr>
            <w:rFonts w:ascii="Cambria Math" w:hAnsi="Cambria Math"/>
            <w:color w:val="auto"/>
            <w:sz w:val="24"/>
            <w:szCs w:val="24"/>
          </w:rPr>
          <m:t>p</m:t>
        </m:r>
      </m:oMath>
      <w:r w:rsidRPr="007809FE">
        <w:rPr>
          <w:color w:val="auto"/>
          <w:sz w:val="24"/>
          <w:szCs w:val="24"/>
        </w:rPr>
        <w:t>. These changes were then aggregated by London-specific income-deprivation decile, and the mean changes across deprivation groups were compared. The analysis focused on the difference between the most and least deprived areas to examine whether stronger deprivation weighting resulted in improved accessibility for disadvantaged areas.</w:t>
      </w:r>
    </w:p>
    <w:p w14:paraId="2FF0580B" w14:textId="77777777" w:rsidR="00FD2E03" w:rsidRPr="007809FE" w:rsidRDefault="00FD2E03" w:rsidP="007809FE">
      <w:pPr>
        <w:jc w:val="both"/>
        <w:rPr>
          <w:rFonts w:ascii="Times New Roman" w:hAnsi="Times New Roman" w:cs="Times New Roman"/>
        </w:rPr>
      </w:pPr>
    </w:p>
    <w:p w14:paraId="0DC6CF59" w14:textId="77777777" w:rsidR="00287E66" w:rsidRPr="007809FE" w:rsidRDefault="00287E66" w:rsidP="007809FE">
      <w:pPr>
        <w:jc w:val="both"/>
        <w:rPr>
          <w:rFonts w:ascii="Times New Roman" w:hAnsi="Times New Roman" w:cs="Times New Roman"/>
        </w:rPr>
      </w:pPr>
      <w:r w:rsidRPr="007809FE">
        <w:rPr>
          <w:rFonts w:ascii="Times New Roman" w:hAnsi="Times New Roman" w:cs="Times New Roman"/>
        </w:rPr>
        <w:t xml:space="preserve">Finally, the unserved-demand slack share was reported separately as a model diagnostic. Slack represents the recognised demand that could not be supported by modelled capacity at a given provision level. By combining overall accessibility, deprivation-based accessibility </w:t>
      </w:r>
      <w:proofErr w:type="gramStart"/>
      <w:r w:rsidRPr="007809FE">
        <w:rPr>
          <w:rFonts w:ascii="Times New Roman" w:hAnsi="Times New Roman" w:cs="Times New Roman"/>
        </w:rPr>
        <w:t>change</w:t>
      </w:r>
      <w:proofErr w:type="gramEnd"/>
      <w:r w:rsidRPr="007809FE">
        <w:rPr>
          <w:rFonts w:ascii="Times New Roman" w:hAnsi="Times New Roman" w:cs="Times New Roman"/>
        </w:rPr>
        <w:t xml:space="preserve"> and slack diagnostics, the spatial efficiency and distributional outcomes of different scenarios could be evaluated together.</w:t>
      </w:r>
    </w:p>
    <w:p w14:paraId="4EF5266E" w14:textId="77777777" w:rsidR="00ED74DA" w:rsidRPr="007809FE" w:rsidRDefault="00ED74DA" w:rsidP="00B15BC3">
      <w:pPr>
        <w:rPr>
          <w:rFonts w:ascii="Times New Roman" w:hAnsi="Times New Roman" w:cs="Times New Roman"/>
        </w:rPr>
      </w:pPr>
    </w:p>
    <w:p w14:paraId="144FFDBD" w14:textId="6A0F8A70" w:rsidR="00FB4A28" w:rsidRDefault="00B15BC3" w:rsidP="00B15BC3">
      <w:pPr>
        <w:rPr>
          <w:rFonts w:ascii="Times New Roman" w:hAnsi="Times New Roman" w:cs="Times New Roman"/>
        </w:rPr>
      </w:pPr>
      <w:r w:rsidRPr="007809FE">
        <w:rPr>
          <w:rFonts w:ascii="Times New Roman" w:hAnsi="Times New Roman" w:cs="Times New Roman"/>
        </w:rPr>
        <w:t>3.4 Ethical Considerations</w:t>
      </w:r>
    </w:p>
    <w:p w14:paraId="5D367CE6" w14:textId="3328F0B5" w:rsidR="003B2E42" w:rsidRPr="004D5732" w:rsidRDefault="002E642A" w:rsidP="004D5732">
      <w:pPr>
        <w:jc w:val="both"/>
        <w:rPr>
          <w:rFonts w:ascii="Times New Roman" w:hAnsi="Times New Roman" w:cs="Times New Roman" w:hint="eastAsia"/>
        </w:rPr>
      </w:pPr>
      <w:r w:rsidRPr="002E642A">
        <w:rPr>
          <w:rFonts w:ascii="Times New Roman" w:hAnsi="Times New Roman" w:cs="Times New Roman"/>
        </w:rPr>
        <w:lastRenderedPageBreak/>
        <w:t xml:space="preserve">This study aims to provide interpretable analytical results for the spatial planning of public EV charging infrastructure in Greater London, with a focus on balancing spatial efficiency and deprivation-based equity. The Census, </w:t>
      </w:r>
      <w:proofErr w:type="spellStart"/>
      <w:r w:rsidRPr="002E642A">
        <w:rPr>
          <w:rFonts w:ascii="Times New Roman" w:hAnsi="Times New Roman" w:cs="Times New Roman"/>
        </w:rPr>
        <w:t>IoD</w:t>
      </w:r>
      <w:proofErr w:type="spellEnd"/>
      <w:r w:rsidRPr="002E642A">
        <w:rPr>
          <w:rFonts w:ascii="Times New Roman" w:hAnsi="Times New Roman" w:cs="Times New Roman"/>
        </w:rPr>
        <w:t xml:space="preserve"> and LSOA boundary data are publicly available. The EVSE registry and charging-session records were obtained under a data-sharing agreement and were used only for this research. The charging activity data contain no personally identifiable information, and the final analysis was aggregated to the charging-location or LSOA level. Therefore, this study did not involve individual-level profiling or attempt to identify the charging </w:t>
      </w:r>
      <w:proofErr w:type="spellStart"/>
      <w:r w:rsidRPr="002E642A">
        <w:rPr>
          <w:rFonts w:ascii="Times New Roman" w:hAnsi="Times New Roman" w:cs="Times New Roman"/>
        </w:rPr>
        <w:t>behaviour</w:t>
      </w:r>
      <w:proofErr w:type="spellEnd"/>
      <w:r w:rsidRPr="002E642A">
        <w:rPr>
          <w:rFonts w:ascii="Times New Roman" w:hAnsi="Times New Roman" w:cs="Times New Roman"/>
        </w:rPr>
        <w:t xml:space="preserve"> of specific users. All data were processed and stored in accordance with their conditions of access and use.</w:t>
      </w:r>
      <w:r>
        <w:rPr>
          <w:rFonts w:ascii="Times New Roman" w:hAnsi="Times New Roman" w:cs="Times New Roman" w:hint="eastAsia"/>
        </w:rPr>
        <w:t xml:space="preserve"> </w:t>
      </w:r>
      <w:r w:rsidRPr="002E642A">
        <w:rPr>
          <w:rFonts w:ascii="Times New Roman" w:hAnsi="Times New Roman" w:cs="Times New Roman"/>
        </w:rPr>
        <w:t>This study was conducted in accordance with UCL’s research ethics requirements and received ethical approval (Project ID: 4063).</w:t>
      </w:r>
    </w:p>
    <w:sectPr w:rsidR="003B2E42" w:rsidRPr="004D5732" w:rsidSect="0052721F">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A13EF"/>
    <w:multiLevelType w:val="multilevel"/>
    <w:tmpl w:val="EFA8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900DF"/>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C5D24"/>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84F6E"/>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008B4"/>
    <w:multiLevelType w:val="hybridMultilevel"/>
    <w:tmpl w:val="26A4D17C"/>
    <w:lvl w:ilvl="0" w:tplc="B464EA46">
      <w:numFmt w:val="bullet"/>
      <w:lvlText w:val=""/>
      <w:lvlJc w:val="left"/>
      <w:pPr>
        <w:ind w:left="440" w:hanging="440"/>
      </w:pPr>
      <w:rPr>
        <w:rFonts w:ascii="Symbol" w:eastAsiaTheme="minorHAnsi"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27D1C82"/>
    <w:multiLevelType w:val="hybridMultilevel"/>
    <w:tmpl w:val="C1740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9D4BB5"/>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028066">
    <w:abstractNumId w:val="2"/>
  </w:num>
  <w:num w:numId="2" w16cid:durableId="688602484">
    <w:abstractNumId w:val="1"/>
  </w:num>
  <w:num w:numId="3" w16cid:durableId="1794715320">
    <w:abstractNumId w:val="0"/>
  </w:num>
  <w:num w:numId="4" w16cid:durableId="87237869">
    <w:abstractNumId w:val="5"/>
  </w:num>
  <w:num w:numId="5" w16cid:durableId="900748505">
    <w:abstractNumId w:val="6"/>
  </w:num>
  <w:num w:numId="6" w16cid:durableId="103351265">
    <w:abstractNumId w:val="3"/>
  </w:num>
  <w:num w:numId="7" w16cid:durableId="191662306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B0"/>
    <w:rsid w:val="00026431"/>
    <w:rsid w:val="00031E71"/>
    <w:rsid w:val="00037B1A"/>
    <w:rsid w:val="00037FE1"/>
    <w:rsid w:val="00044205"/>
    <w:rsid w:val="00047A69"/>
    <w:rsid w:val="00073FB2"/>
    <w:rsid w:val="0007701F"/>
    <w:rsid w:val="00092EB9"/>
    <w:rsid w:val="000C3241"/>
    <w:rsid w:val="000D4D51"/>
    <w:rsid w:val="000D68BD"/>
    <w:rsid w:val="000D6D2C"/>
    <w:rsid w:val="000D7852"/>
    <w:rsid w:val="001111D3"/>
    <w:rsid w:val="001318B6"/>
    <w:rsid w:val="00156D9E"/>
    <w:rsid w:val="0017304D"/>
    <w:rsid w:val="0017487A"/>
    <w:rsid w:val="001864A8"/>
    <w:rsid w:val="00192883"/>
    <w:rsid w:val="001C59AD"/>
    <w:rsid w:val="001D51B0"/>
    <w:rsid w:val="001E66F0"/>
    <w:rsid w:val="001F5AD3"/>
    <w:rsid w:val="0020364E"/>
    <w:rsid w:val="00203BD9"/>
    <w:rsid w:val="002057F2"/>
    <w:rsid w:val="002330FA"/>
    <w:rsid w:val="00236138"/>
    <w:rsid w:val="00260CA4"/>
    <w:rsid w:val="00266B1D"/>
    <w:rsid w:val="00271B89"/>
    <w:rsid w:val="0028563B"/>
    <w:rsid w:val="00287E66"/>
    <w:rsid w:val="002A3357"/>
    <w:rsid w:val="002E642A"/>
    <w:rsid w:val="002F6E4B"/>
    <w:rsid w:val="003110D1"/>
    <w:rsid w:val="00325370"/>
    <w:rsid w:val="003571A5"/>
    <w:rsid w:val="00375CE6"/>
    <w:rsid w:val="003806E8"/>
    <w:rsid w:val="00386057"/>
    <w:rsid w:val="00392BE0"/>
    <w:rsid w:val="003A3D9D"/>
    <w:rsid w:val="003B2E42"/>
    <w:rsid w:val="003B6432"/>
    <w:rsid w:val="003B7535"/>
    <w:rsid w:val="003C625F"/>
    <w:rsid w:val="003C79C4"/>
    <w:rsid w:val="003D16C5"/>
    <w:rsid w:val="003F208F"/>
    <w:rsid w:val="003F5778"/>
    <w:rsid w:val="003F5FD5"/>
    <w:rsid w:val="00404F13"/>
    <w:rsid w:val="004246F4"/>
    <w:rsid w:val="00431F94"/>
    <w:rsid w:val="00481369"/>
    <w:rsid w:val="004A5317"/>
    <w:rsid w:val="004B494D"/>
    <w:rsid w:val="004D1FF6"/>
    <w:rsid w:val="004D5732"/>
    <w:rsid w:val="004E1337"/>
    <w:rsid w:val="004E35CF"/>
    <w:rsid w:val="004F79AC"/>
    <w:rsid w:val="00500DCD"/>
    <w:rsid w:val="005015CF"/>
    <w:rsid w:val="00516615"/>
    <w:rsid w:val="00517111"/>
    <w:rsid w:val="0052721F"/>
    <w:rsid w:val="00534B63"/>
    <w:rsid w:val="0054582D"/>
    <w:rsid w:val="005535B6"/>
    <w:rsid w:val="00566B30"/>
    <w:rsid w:val="005718E0"/>
    <w:rsid w:val="00580E3D"/>
    <w:rsid w:val="0059591A"/>
    <w:rsid w:val="005974B4"/>
    <w:rsid w:val="005A3889"/>
    <w:rsid w:val="005A6FF4"/>
    <w:rsid w:val="005B2632"/>
    <w:rsid w:val="005F32A2"/>
    <w:rsid w:val="005F3AA2"/>
    <w:rsid w:val="005F64FB"/>
    <w:rsid w:val="006122BC"/>
    <w:rsid w:val="00612C19"/>
    <w:rsid w:val="00636A82"/>
    <w:rsid w:val="00651625"/>
    <w:rsid w:val="00673571"/>
    <w:rsid w:val="00673E64"/>
    <w:rsid w:val="006A11FD"/>
    <w:rsid w:val="006A24C9"/>
    <w:rsid w:val="006B047C"/>
    <w:rsid w:val="006C5242"/>
    <w:rsid w:val="006C7FAC"/>
    <w:rsid w:val="006D0573"/>
    <w:rsid w:val="006D42DC"/>
    <w:rsid w:val="006D5535"/>
    <w:rsid w:val="006F5223"/>
    <w:rsid w:val="0070392B"/>
    <w:rsid w:val="00732369"/>
    <w:rsid w:val="00736F62"/>
    <w:rsid w:val="0074374D"/>
    <w:rsid w:val="00750E18"/>
    <w:rsid w:val="0075611E"/>
    <w:rsid w:val="0076272B"/>
    <w:rsid w:val="007809FE"/>
    <w:rsid w:val="007A5D2C"/>
    <w:rsid w:val="007C2668"/>
    <w:rsid w:val="007D2BE7"/>
    <w:rsid w:val="007F1BA1"/>
    <w:rsid w:val="00807F25"/>
    <w:rsid w:val="00813C27"/>
    <w:rsid w:val="00814AB2"/>
    <w:rsid w:val="00817AFE"/>
    <w:rsid w:val="00820803"/>
    <w:rsid w:val="008217C2"/>
    <w:rsid w:val="00825594"/>
    <w:rsid w:val="008358AA"/>
    <w:rsid w:val="008534FA"/>
    <w:rsid w:val="0085617F"/>
    <w:rsid w:val="008669E7"/>
    <w:rsid w:val="008677C9"/>
    <w:rsid w:val="0088273F"/>
    <w:rsid w:val="00883F27"/>
    <w:rsid w:val="008A1B85"/>
    <w:rsid w:val="008C5F5A"/>
    <w:rsid w:val="008D7D39"/>
    <w:rsid w:val="008E4744"/>
    <w:rsid w:val="009174BC"/>
    <w:rsid w:val="009343BF"/>
    <w:rsid w:val="009463F0"/>
    <w:rsid w:val="00947FB3"/>
    <w:rsid w:val="009627B3"/>
    <w:rsid w:val="009774DC"/>
    <w:rsid w:val="009A3E4F"/>
    <w:rsid w:val="009B0FC7"/>
    <w:rsid w:val="009B7404"/>
    <w:rsid w:val="009C67E1"/>
    <w:rsid w:val="009C6D27"/>
    <w:rsid w:val="009D3851"/>
    <w:rsid w:val="009E48C9"/>
    <w:rsid w:val="00A0291B"/>
    <w:rsid w:val="00A0429A"/>
    <w:rsid w:val="00A064CD"/>
    <w:rsid w:val="00A10B48"/>
    <w:rsid w:val="00A15A9F"/>
    <w:rsid w:val="00A35464"/>
    <w:rsid w:val="00A35CAA"/>
    <w:rsid w:val="00A402E8"/>
    <w:rsid w:val="00A40E37"/>
    <w:rsid w:val="00A418A6"/>
    <w:rsid w:val="00A44EEB"/>
    <w:rsid w:val="00A4531A"/>
    <w:rsid w:val="00A51C9C"/>
    <w:rsid w:val="00A54B53"/>
    <w:rsid w:val="00A62886"/>
    <w:rsid w:val="00A82D2C"/>
    <w:rsid w:val="00AA17B8"/>
    <w:rsid w:val="00AA2EF5"/>
    <w:rsid w:val="00AA3FDE"/>
    <w:rsid w:val="00AD0974"/>
    <w:rsid w:val="00AF6B0F"/>
    <w:rsid w:val="00B0051C"/>
    <w:rsid w:val="00B15BC3"/>
    <w:rsid w:val="00B35B54"/>
    <w:rsid w:val="00B454CE"/>
    <w:rsid w:val="00B45590"/>
    <w:rsid w:val="00B66130"/>
    <w:rsid w:val="00B7138E"/>
    <w:rsid w:val="00B7528F"/>
    <w:rsid w:val="00B90122"/>
    <w:rsid w:val="00B92D00"/>
    <w:rsid w:val="00BA3B56"/>
    <w:rsid w:val="00BA709E"/>
    <w:rsid w:val="00BE31B9"/>
    <w:rsid w:val="00C069A6"/>
    <w:rsid w:val="00C602F8"/>
    <w:rsid w:val="00C609A5"/>
    <w:rsid w:val="00C7008F"/>
    <w:rsid w:val="00C859AF"/>
    <w:rsid w:val="00C904B6"/>
    <w:rsid w:val="00C9660D"/>
    <w:rsid w:val="00C966B0"/>
    <w:rsid w:val="00CA549B"/>
    <w:rsid w:val="00CD7DF3"/>
    <w:rsid w:val="00CF3B79"/>
    <w:rsid w:val="00CF559D"/>
    <w:rsid w:val="00CF74B2"/>
    <w:rsid w:val="00D069BC"/>
    <w:rsid w:val="00D17CAC"/>
    <w:rsid w:val="00D21802"/>
    <w:rsid w:val="00D63821"/>
    <w:rsid w:val="00D64C80"/>
    <w:rsid w:val="00D83763"/>
    <w:rsid w:val="00D87F19"/>
    <w:rsid w:val="00D92031"/>
    <w:rsid w:val="00D931EF"/>
    <w:rsid w:val="00DA6B32"/>
    <w:rsid w:val="00DC14B4"/>
    <w:rsid w:val="00DE253C"/>
    <w:rsid w:val="00E10393"/>
    <w:rsid w:val="00E13450"/>
    <w:rsid w:val="00E235C9"/>
    <w:rsid w:val="00E23B23"/>
    <w:rsid w:val="00E24A37"/>
    <w:rsid w:val="00E62E38"/>
    <w:rsid w:val="00E93E5B"/>
    <w:rsid w:val="00EA751B"/>
    <w:rsid w:val="00ED0198"/>
    <w:rsid w:val="00ED74DA"/>
    <w:rsid w:val="00F02513"/>
    <w:rsid w:val="00F12482"/>
    <w:rsid w:val="00F2781C"/>
    <w:rsid w:val="00F3782C"/>
    <w:rsid w:val="00F61BB1"/>
    <w:rsid w:val="00F64618"/>
    <w:rsid w:val="00F673D5"/>
    <w:rsid w:val="00F71F78"/>
    <w:rsid w:val="00F7504B"/>
    <w:rsid w:val="00F84CFD"/>
    <w:rsid w:val="00F95460"/>
    <w:rsid w:val="00F977D7"/>
    <w:rsid w:val="00F978FF"/>
    <w:rsid w:val="00FB4A28"/>
    <w:rsid w:val="00FB712D"/>
    <w:rsid w:val="00FD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3638"/>
  <w14:defaultImageDpi w14:val="32767"/>
  <w15:chartTrackingRefBased/>
  <w15:docId w15:val="{CA9DA1BF-5942-8244-B416-92B1D560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386057"/>
    <w:rPr>
      <w:rFonts w:ascii="宋体" w:eastAsia="宋体" w:hAnsi="宋体" w:cs="宋体"/>
      <w:kern w:val="0"/>
    </w:rPr>
  </w:style>
  <w:style w:type="paragraph" w:styleId="1">
    <w:name w:val="heading 1"/>
    <w:basedOn w:val="a"/>
    <w:next w:val="a"/>
    <w:link w:val="10"/>
    <w:uiPriority w:val="9"/>
    <w:qFormat/>
    <w:rsid w:val="001D51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D51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D51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D51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D51B0"/>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1D51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D51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51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51B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51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D51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D51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D51B0"/>
    <w:rPr>
      <w:rFonts w:cstheme="majorBidi"/>
      <w:color w:val="2F5496" w:themeColor="accent1" w:themeShade="BF"/>
      <w:sz w:val="28"/>
      <w:szCs w:val="28"/>
    </w:rPr>
  </w:style>
  <w:style w:type="character" w:customStyle="1" w:styleId="50">
    <w:name w:val="标题 5 字符"/>
    <w:basedOn w:val="a0"/>
    <w:link w:val="5"/>
    <w:uiPriority w:val="9"/>
    <w:semiHidden/>
    <w:rsid w:val="001D51B0"/>
    <w:rPr>
      <w:rFonts w:cstheme="majorBidi"/>
      <w:color w:val="2F5496" w:themeColor="accent1" w:themeShade="BF"/>
    </w:rPr>
  </w:style>
  <w:style w:type="character" w:customStyle="1" w:styleId="60">
    <w:name w:val="标题 6 字符"/>
    <w:basedOn w:val="a0"/>
    <w:link w:val="6"/>
    <w:uiPriority w:val="9"/>
    <w:semiHidden/>
    <w:rsid w:val="001D51B0"/>
    <w:rPr>
      <w:rFonts w:cstheme="majorBidi"/>
      <w:b/>
      <w:bCs/>
      <w:color w:val="2F5496" w:themeColor="accent1" w:themeShade="BF"/>
    </w:rPr>
  </w:style>
  <w:style w:type="character" w:customStyle="1" w:styleId="70">
    <w:name w:val="标题 7 字符"/>
    <w:basedOn w:val="a0"/>
    <w:link w:val="7"/>
    <w:uiPriority w:val="9"/>
    <w:semiHidden/>
    <w:rsid w:val="001D51B0"/>
    <w:rPr>
      <w:rFonts w:cstheme="majorBidi"/>
      <w:b/>
      <w:bCs/>
      <w:color w:val="595959" w:themeColor="text1" w:themeTint="A6"/>
    </w:rPr>
  </w:style>
  <w:style w:type="character" w:customStyle="1" w:styleId="80">
    <w:name w:val="标题 8 字符"/>
    <w:basedOn w:val="a0"/>
    <w:link w:val="8"/>
    <w:uiPriority w:val="9"/>
    <w:semiHidden/>
    <w:rsid w:val="001D51B0"/>
    <w:rPr>
      <w:rFonts w:cstheme="majorBidi"/>
      <w:color w:val="595959" w:themeColor="text1" w:themeTint="A6"/>
    </w:rPr>
  </w:style>
  <w:style w:type="character" w:customStyle="1" w:styleId="90">
    <w:name w:val="标题 9 字符"/>
    <w:basedOn w:val="a0"/>
    <w:link w:val="9"/>
    <w:uiPriority w:val="9"/>
    <w:semiHidden/>
    <w:rsid w:val="001D51B0"/>
    <w:rPr>
      <w:rFonts w:eastAsiaTheme="majorEastAsia" w:cstheme="majorBidi"/>
      <w:color w:val="595959" w:themeColor="text1" w:themeTint="A6"/>
    </w:rPr>
  </w:style>
  <w:style w:type="paragraph" w:styleId="a3">
    <w:name w:val="Title"/>
    <w:basedOn w:val="a"/>
    <w:next w:val="a"/>
    <w:link w:val="a4"/>
    <w:uiPriority w:val="10"/>
    <w:qFormat/>
    <w:rsid w:val="001D51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51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51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51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51B0"/>
    <w:pPr>
      <w:spacing w:before="160" w:after="160"/>
      <w:jc w:val="center"/>
    </w:pPr>
    <w:rPr>
      <w:i/>
      <w:iCs/>
      <w:color w:val="404040" w:themeColor="text1" w:themeTint="BF"/>
    </w:rPr>
  </w:style>
  <w:style w:type="character" w:customStyle="1" w:styleId="a8">
    <w:name w:val="引用 字符"/>
    <w:basedOn w:val="a0"/>
    <w:link w:val="a7"/>
    <w:uiPriority w:val="29"/>
    <w:rsid w:val="001D51B0"/>
    <w:rPr>
      <w:i/>
      <w:iCs/>
      <w:color w:val="404040" w:themeColor="text1" w:themeTint="BF"/>
    </w:rPr>
  </w:style>
  <w:style w:type="paragraph" w:styleId="a9">
    <w:name w:val="List Paragraph"/>
    <w:basedOn w:val="a"/>
    <w:uiPriority w:val="34"/>
    <w:qFormat/>
    <w:rsid w:val="001D51B0"/>
    <w:pPr>
      <w:ind w:left="720"/>
      <w:contextualSpacing/>
    </w:pPr>
  </w:style>
  <w:style w:type="character" w:styleId="aa">
    <w:name w:val="Intense Emphasis"/>
    <w:basedOn w:val="a0"/>
    <w:uiPriority w:val="21"/>
    <w:qFormat/>
    <w:rsid w:val="001D51B0"/>
    <w:rPr>
      <w:i/>
      <w:iCs/>
      <w:color w:val="2F5496" w:themeColor="accent1" w:themeShade="BF"/>
    </w:rPr>
  </w:style>
  <w:style w:type="paragraph" w:styleId="ab">
    <w:name w:val="Intense Quote"/>
    <w:basedOn w:val="a"/>
    <w:next w:val="a"/>
    <w:link w:val="ac"/>
    <w:uiPriority w:val="30"/>
    <w:qFormat/>
    <w:rsid w:val="001D5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D51B0"/>
    <w:rPr>
      <w:i/>
      <w:iCs/>
      <w:color w:val="2F5496" w:themeColor="accent1" w:themeShade="BF"/>
    </w:rPr>
  </w:style>
  <w:style w:type="character" w:styleId="ad">
    <w:name w:val="Intense Reference"/>
    <w:basedOn w:val="a0"/>
    <w:uiPriority w:val="32"/>
    <w:qFormat/>
    <w:rsid w:val="001D51B0"/>
    <w:rPr>
      <w:b/>
      <w:bCs/>
      <w:smallCaps/>
      <w:color w:val="2F5496" w:themeColor="accent1" w:themeShade="BF"/>
      <w:spacing w:val="5"/>
    </w:rPr>
  </w:style>
  <w:style w:type="paragraph" w:customStyle="1" w:styleId="p2">
    <w:name w:val="p2"/>
    <w:basedOn w:val="a"/>
    <w:rsid w:val="003571A5"/>
    <w:rPr>
      <w:rFonts w:ascii="Times New Roman" w:hAnsi="Times New Roman" w:cs="Times New Roman"/>
      <w:color w:val="000000"/>
      <w:sz w:val="17"/>
      <w:szCs w:val="17"/>
    </w:rPr>
  </w:style>
  <w:style w:type="table" w:styleId="21">
    <w:name w:val="Plain Table 2"/>
    <w:basedOn w:val="a1"/>
    <w:uiPriority w:val="42"/>
    <w:rsid w:val="0074374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e">
    <w:name w:val="Normal (Web)"/>
    <w:basedOn w:val="a"/>
    <w:uiPriority w:val="99"/>
    <w:semiHidden/>
    <w:unhideWhenUsed/>
    <w:rsid w:val="005F64FB"/>
    <w:rPr>
      <w:rFonts w:ascii="Times New Roman" w:hAnsi="Times New Roman" w:cs="Times New Roman"/>
    </w:rPr>
  </w:style>
  <w:style w:type="character" w:styleId="af">
    <w:name w:val="Strong"/>
    <w:basedOn w:val="a0"/>
    <w:uiPriority w:val="22"/>
    <w:qFormat/>
    <w:rsid w:val="00203BD9"/>
    <w:rPr>
      <w:b/>
      <w:bCs/>
    </w:rPr>
  </w:style>
  <w:style w:type="character" w:customStyle="1" w:styleId="apple-converted-space">
    <w:name w:val="apple-converted-space"/>
    <w:basedOn w:val="a0"/>
    <w:rsid w:val="00203BD9"/>
  </w:style>
  <w:style w:type="character" w:styleId="af0">
    <w:name w:val="Placeholder Text"/>
    <w:basedOn w:val="a0"/>
    <w:uiPriority w:val="99"/>
    <w:semiHidden/>
    <w:rsid w:val="00B35B54"/>
    <w:rPr>
      <w:color w:val="666666"/>
    </w:rPr>
  </w:style>
  <w:style w:type="paragraph" w:customStyle="1" w:styleId="p1">
    <w:name w:val="p1"/>
    <w:basedOn w:val="a"/>
    <w:rsid w:val="00A402E8"/>
    <w:rPr>
      <w:rFonts w:ascii="Times New Roman" w:hAnsi="Times New Roman" w:cs="Times New Roman"/>
      <w:color w:val="000000"/>
      <w:sz w:val="18"/>
      <w:szCs w:val="18"/>
    </w:rPr>
  </w:style>
  <w:style w:type="character" w:customStyle="1" w:styleId="mord">
    <w:name w:val="mord"/>
    <w:basedOn w:val="a0"/>
    <w:rsid w:val="006A24C9"/>
  </w:style>
  <w:style w:type="character" w:customStyle="1" w:styleId="mrel">
    <w:name w:val="mrel"/>
    <w:basedOn w:val="a0"/>
    <w:rsid w:val="006A24C9"/>
  </w:style>
  <w:style w:type="character" w:customStyle="1" w:styleId="mbin">
    <w:name w:val="mbin"/>
    <w:basedOn w:val="a0"/>
    <w:rsid w:val="006A24C9"/>
  </w:style>
  <w:style w:type="character" w:customStyle="1" w:styleId="mop">
    <w:name w:val="mop"/>
    <w:basedOn w:val="a0"/>
    <w:rsid w:val="006A24C9"/>
  </w:style>
  <w:style w:type="character" w:customStyle="1" w:styleId="mopen">
    <w:name w:val="mopen"/>
    <w:basedOn w:val="a0"/>
    <w:rsid w:val="006A24C9"/>
  </w:style>
  <w:style w:type="character" w:customStyle="1" w:styleId="vlist-s">
    <w:name w:val="vlist-s"/>
    <w:basedOn w:val="a0"/>
    <w:rsid w:val="006A24C9"/>
  </w:style>
  <w:style w:type="character" w:customStyle="1" w:styleId="mclose">
    <w:name w:val="mclose"/>
    <w:basedOn w:val="a0"/>
    <w:rsid w:val="006A24C9"/>
  </w:style>
  <w:style w:type="paragraph" w:customStyle="1" w:styleId="font-claude-response-body">
    <w:name w:val="font-claude-response-body"/>
    <w:basedOn w:val="a"/>
    <w:rsid w:val="00B9012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14</Pages>
  <Words>3886</Words>
  <Characters>22154</Characters>
  <Application>Microsoft Office Word</Application>
  <DocSecurity>0</DocSecurity>
  <Lines>184</Lines>
  <Paragraphs>51</Paragraphs>
  <ScaleCrop>false</ScaleCrop>
  <Company/>
  <LinksUpToDate>false</LinksUpToDate>
  <CharactersWithSpaces>25989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Yuyue Xia</dc:creator>
  <cp:keywords/>
  <dc:description/>
  <cp:lastModifiedBy>Yuyue Xia</cp:lastModifiedBy>
  <cp:revision>234</cp:revision>
  <dcterms:created xsi:type="dcterms:W3CDTF">2026-08-10T16:12:00Z</dcterms:created>
  <dcterms:modified xsi:type="dcterms:W3CDTF">2026-08-13T15:14:00Z</dcterms:modified>
</cp:coreProperties>
</file>