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1E052" w14:textId="6A624971" w:rsidR="00293675" w:rsidRDefault="00000000">
      <w:pPr>
        <w:spacing w:before="80" w:after="60"/>
      </w:pPr>
      <w:r>
        <w:rPr>
          <w:rFonts w:eastAsia="Calibri"/>
          <w:color w:val="666666"/>
          <w:sz w:val="20"/>
          <w:szCs w:val="20"/>
        </w:rPr>
        <w:t xml:space="preserve">CASA0004 — MSc Urban Spatial </w:t>
      </w:r>
      <w:proofErr w:type="gramStart"/>
      <w:r>
        <w:rPr>
          <w:rFonts w:eastAsia="Calibri"/>
          <w:color w:val="666666"/>
          <w:sz w:val="20"/>
          <w:szCs w:val="20"/>
        </w:rPr>
        <w:t>Science  |</w:t>
      </w:r>
      <w:proofErr w:type="gramEnd"/>
      <w:r>
        <w:rPr>
          <w:rFonts w:eastAsia="Calibri"/>
          <w:color w:val="666666"/>
          <w:sz w:val="20"/>
          <w:szCs w:val="20"/>
        </w:rPr>
        <w:t xml:space="preserve">  </w:t>
      </w:r>
      <w:r w:rsidR="00480C7C" w:rsidRPr="00480C7C">
        <w:rPr>
          <w:rFonts w:eastAsia="Calibri"/>
          <w:color w:val="666666"/>
          <w:sz w:val="20"/>
          <w:szCs w:val="20"/>
        </w:rPr>
        <w:t>Yuyue Xia</w:t>
      </w:r>
    </w:p>
    <w:p w14:paraId="66276069" w14:textId="77777777" w:rsidR="00293675" w:rsidRDefault="00000000">
      <w:pPr>
        <w:spacing w:before="160" w:after="100"/>
      </w:pPr>
      <w:r>
        <w:rPr>
          <w:rFonts w:eastAsia="Calibri"/>
          <w:b/>
          <w:bCs/>
          <w:color w:val="111111"/>
          <w:sz w:val="32"/>
          <w:szCs w:val="32"/>
        </w:rPr>
        <w:t xml:space="preserve">A Multi-Criteria Approach for </w:t>
      </w:r>
      <w:proofErr w:type="spellStart"/>
      <w:r>
        <w:rPr>
          <w:rFonts w:eastAsia="Calibri"/>
          <w:b/>
          <w:bCs/>
          <w:color w:val="111111"/>
          <w:sz w:val="32"/>
          <w:szCs w:val="32"/>
        </w:rPr>
        <w:t>Optimising</w:t>
      </w:r>
      <w:proofErr w:type="spellEnd"/>
      <w:r>
        <w:rPr>
          <w:rFonts w:eastAsia="Calibri"/>
          <w:b/>
          <w:bCs/>
          <w:color w:val="111111"/>
          <w:sz w:val="32"/>
          <w:szCs w:val="32"/>
        </w:rPr>
        <w:t xml:space="preserve"> the Spatial Planning of</w:t>
      </w:r>
    </w:p>
    <w:p w14:paraId="614A3707" w14:textId="77C592D7" w:rsidR="00293675" w:rsidRDefault="00000000" w:rsidP="00480C7C">
      <w:pPr>
        <w:spacing w:after="100"/>
      </w:pPr>
      <w:r>
        <w:rPr>
          <w:rFonts w:eastAsia="Calibri"/>
          <w:b/>
          <w:bCs/>
          <w:color w:val="111111"/>
          <w:sz w:val="32"/>
          <w:szCs w:val="32"/>
        </w:rPr>
        <w:t>Electric Vehicle Charging Infrastructures in Greater London</w:t>
      </w:r>
    </w:p>
    <w:p w14:paraId="7AE053F7" w14:textId="77777777" w:rsidR="00480C7C" w:rsidRDefault="00480C7C" w:rsidP="00480C7C">
      <w:pPr>
        <w:spacing w:after="100"/>
      </w:pPr>
    </w:p>
    <w:p w14:paraId="37852EC1" w14:textId="657799B5" w:rsidR="00293675" w:rsidRDefault="00000000" w:rsidP="00A940A6">
      <w:pPr>
        <w:pStyle w:val="1"/>
        <w:spacing w:before="300" w:after="120"/>
      </w:pPr>
      <w:r>
        <w:t>1.  Background and Motivation</w:t>
      </w:r>
    </w:p>
    <w:p w14:paraId="0B5F7FB4" w14:textId="77777777" w:rsidR="00293675" w:rsidRDefault="00000000">
      <w:pPr>
        <w:spacing w:before="60" w:after="80"/>
        <w:jc w:val="both"/>
      </w:pPr>
      <w:r>
        <w:rPr>
          <w:rFonts w:eastAsia="Calibri"/>
          <w:color w:val="1A1A1A"/>
        </w:rPr>
        <w:t xml:space="preserve">The </w:t>
      </w:r>
      <w:proofErr w:type="spellStart"/>
      <w:r>
        <w:rPr>
          <w:rFonts w:eastAsia="Calibri"/>
          <w:color w:val="1A1A1A"/>
        </w:rPr>
        <w:t>decarbonisation</w:t>
      </w:r>
      <w:proofErr w:type="spellEnd"/>
      <w:r>
        <w:rPr>
          <w:rFonts w:eastAsia="Calibri"/>
          <w:color w:val="1A1A1A"/>
        </w:rPr>
        <w:t xml:space="preserve"> of road transport is central to the UK's net-zero commitments. Two policy targets frame this dissertation:</w:t>
      </w:r>
    </w:p>
    <w:p w14:paraId="69B2CAD8" w14:textId="29ACD8C5" w:rsidR="00293675" w:rsidRDefault="00000000">
      <w:pPr>
        <w:pStyle w:val="a4"/>
        <w:numPr>
          <w:ilvl w:val="0"/>
          <w:numId w:val="2"/>
        </w:numPr>
        <w:spacing w:before="30" w:after="50"/>
      </w:pPr>
      <w:r>
        <w:rPr>
          <w:rFonts w:eastAsia="Calibri"/>
          <w:color w:val="1A1A1A"/>
        </w:rPr>
        <w:t>The Zero Emission Vehicle mandate (</w:t>
      </w:r>
      <w:proofErr w:type="spellStart"/>
      <w:r>
        <w:rPr>
          <w:rFonts w:eastAsia="Calibri"/>
          <w:color w:val="1A1A1A"/>
        </w:rPr>
        <w:t>HoC</w:t>
      </w:r>
      <w:proofErr w:type="spellEnd"/>
      <w:r>
        <w:rPr>
          <w:rFonts w:eastAsia="Calibri"/>
          <w:color w:val="1A1A1A"/>
        </w:rPr>
        <w:t xml:space="preserve"> Library 2025, R002) </w:t>
      </w:r>
      <w:r w:rsidR="00DD0CD8" w:rsidRPr="00DD0CD8">
        <w:rPr>
          <w:rFonts w:eastAsia="Calibri"/>
          <w:color w:val="1A1A1A"/>
        </w:rPr>
        <w:t>requires all new cars and vans to be zero-emission by 2035, with a rising manufacturer sales-share obligation under the ZEV mandate reaching that endpoint</w:t>
      </w:r>
      <w:r>
        <w:rPr>
          <w:rFonts w:eastAsia="Calibri"/>
          <w:color w:val="1A1A1A"/>
        </w:rPr>
        <w:t>.</w:t>
      </w:r>
    </w:p>
    <w:p w14:paraId="0B1CB1FD" w14:textId="77777777" w:rsidR="00293675" w:rsidRDefault="00000000">
      <w:pPr>
        <w:pStyle w:val="a4"/>
        <w:numPr>
          <w:ilvl w:val="0"/>
          <w:numId w:val="2"/>
        </w:numPr>
        <w:spacing w:before="30" w:after="50"/>
      </w:pPr>
      <w:r>
        <w:rPr>
          <w:rFonts w:eastAsia="Calibri"/>
          <w:color w:val="1A1A1A"/>
        </w:rPr>
        <w:t xml:space="preserve">TfL/GLA (2025, R005) estimate 43,000–51,000 public </w:t>
      </w:r>
      <w:proofErr w:type="spellStart"/>
      <w:r>
        <w:rPr>
          <w:rFonts w:eastAsia="Calibri"/>
          <w:color w:val="1A1A1A"/>
        </w:rPr>
        <w:t>chargepoints</w:t>
      </w:r>
      <w:proofErr w:type="spellEnd"/>
      <w:r>
        <w:rPr>
          <w:rFonts w:eastAsia="Calibri"/>
          <w:color w:val="1A1A1A"/>
        </w:rPr>
        <w:t xml:space="preserve"> required in London by 2030, rising to 69,000–79,000 by 2035, against a current stock of approximately 25,500.</w:t>
      </w:r>
    </w:p>
    <w:p w14:paraId="66E4F181" w14:textId="77777777" w:rsidR="00293675" w:rsidRDefault="00293675">
      <w:pPr>
        <w:spacing w:after="60"/>
      </w:pPr>
    </w:p>
    <w:p w14:paraId="7811BD59" w14:textId="3A008F75" w:rsidR="00293675" w:rsidRPr="00D84AE8" w:rsidRDefault="00000000">
      <w:pPr>
        <w:spacing w:before="60" w:after="80"/>
        <w:jc w:val="both"/>
        <w:rPr>
          <w:rFonts w:eastAsia="Calibri"/>
          <w:color w:val="1A1A1A"/>
        </w:rPr>
      </w:pPr>
      <w:r>
        <w:rPr>
          <w:rFonts w:eastAsia="Calibri"/>
          <w:color w:val="1A1A1A"/>
        </w:rPr>
        <w:t xml:space="preserve">The core planning problem is not technical but distributional. Market-driven deployment concentrates investment where EV ownership is already highest </w:t>
      </w:r>
      <w:r w:rsidR="00D84AE8" w:rsidRPr="00D84AE8">
        <w:rPr>
          <w:rFonts w:eastAsia="Calibri"/>
          <w:color w:val="1A1A1A"/>
        </w:rPr>
        <w:t>(</w:t>
      </w:r>
      <w:r>
        <w:rPr>
          <w:rFonts w:eastAsia="Calibri"/>
          <w:color w:val="1A1A1A"/>
        </w:rPr>
        <w:t>disproportionately affluent areas</w:t>
      </w:r>
      <w:r w:rsidR="00D84AE8">
        <w:rPr>
          <w:rFonts w:eastAsia="Calibri"/>
          <w:color w:val="1A1A1A"/>
        </w:rPr>
        <w:t xml:space="preserve">) </w:t>
      </w:r>
      <w:r>
        <w:rPr>
          <w:rFonts w:eastAsia="Calibri"/>
          <w:color w:val="1A1A1A"/>
        </w:rPr>
        <w:t>creating a self-reinforcing cycle that excludes communities most likely to benefit from clean transport access.</w:t>
      </w:r>
    </w:p>
    <w:p w14:paraId="5B99F737" w14:textId="77777777" w:rsidR="00293675" w:rsidRPr="00D84AE8" w:rsidRDefault="00293675">
      <w:pPr>
        <w:spacing w:after="60"/>
        <w:rPr>
          <w:rFonts w:eastAsia="Calibri"/>
          <w:color w:val="1A1A1A"/>
        </w:rPr>
      </w:pPr>
    </w:p>
    <w:p w14:paraId="3CADEACC" w14:textId="77777777" w:rsidR="00293675" w:rsidRPr="00D84AE8" w:rsidRDefault="00000000">
      <w:pPr>
        <w:spacing w:before="60" w:after="80"/>
        <w:jc w:val="both"/>
        <w:rPr>
          <w:rFonts w:eastAsia="Calibri"/>
          <w:color w:val="1A1A1A"/>
        </w:rPr>
      </w:pPr>
      <w:r>
        <w:rPr>
          <w:rFonts w:eastAsia="Calibri"/>
          <w:color w:val="1A1A1A"/>
        </w:rPr>
        <w:t>Two findings establish the equity motivation:</w:t>
      </w:r>
    </w:p>
    <w:p w14:paraId="77156A93" w14:textId="77777777" w:rsidR="00293675" w:rsidRPr="00D84AE8" w:rsidRDefault="00000000">
      <w:pPr>
        <w:pStyle w:val="a4"/>
        <w:numPr>
          <w:ilvl w:val="0"/>
          <w:numId w:val="2"/>
        </w:numPr>
        <w:spacing w:before="30" w:after="50"/>
        <w:rPr>
          <w:rFonts w:eastAsia="Calibri"/>
          <w:color w:val="1A1A1A"/>
        </w:rPr>
      </w:pPr>
      <w:r>
        <w:rPr>
          <w:rFonts w:eastAsia="Calibri"/>
          <w:color w:val="1A1A1A"/>
        </w:rPr>
        <w:t xml:space="preserve">Lopane and Zhong (2025, P008) show via Spatial Autoregressive (SAR) modelling that London's apparent positive correlation between deprivation and </w:t>
      </w:r>
      <w:proofErr w:type="spellStart"/>
      <w:r>
        <w:rPr>
          <w:rFonts w:eastAsia="Calibri"/>
          <w:color w:val="1A1A1A"/>
        </w:rPr>
        <w:t>chargepoint</w:t>
      </w:r>
      <w:proofErr w:type="spellEnd"/>
      <w:r>
        <w:rPr>
          <w:rFonts w:eastAsia="Calibri"/>
          <w:color w:val="1A1A1A"/>
        </w:rPr>
        <w:t xml:space="preserve"> accessibility disappears once spatial autocorrelation is controlled for. The equity is a statistical artefact of small inner-city LSOA footprints.</w:t>
      </w:r>
    </w:p>
    <w:p w14:paraId="0BA67AC6" w14:textId="345BE1D1" w:rsidR="00293675" w:rsidRPr="00D84AE8" w:rsidRDefault="00000000">
      <w:pPr>
        <w:pStyle w:val="a4"/>
        <w:numPr>
          <w:ilvl w:val="0"/>
          <w:numId w:val="2"/>
        </w:numPr>
        <w:spacing w:before="30" w:after="50"/>
        <w:rPr>
          <w:rFonts w:eastAsia="Calibri"/>
          <w:color w:val="1A1A1A"/>
        </w:rPr>
      </w:pPr>
      <w:r>
        <w:rPr>
          <w:rFonts w:eastAsia="Calibri"/>
          <w:color w:val="1A1A1A"/>
        </w:rPr>
        <w:t xml:space="preserve">The dissertation's own EDA in Camden produces </w:t>
      </w:r>
      <w:r w:rsidRPr="00935895">
        <w:rPr>
          <w:rFonts w:eastAsia="Calibri"/>
          <w:strike/>
          <w:color w:val="1A1A1A"/>
        </w:rPr>
        <w:t>Pearson r = −0.042</w:t>
      </w:r>
      <w:r w:rsidR="00D84AE8" w:rsidRPr="00935895">
        <w:rPr>
          <w:rFonts w:eastAsia="Calibri"/>
          <w:strike/>
          <w:color w:val="1A1A1A"/>
        </w:rPr>
        <w:t xml:space="preserve"> </w:t>
      </w:r>
      <w:r w:rsidR="00DD0CD8" w:rsidRPr="00DD0CD8">
        <w:rPr>
          <w:rFonts w:eastAsia="Calibri"/>
          <w:color w:val="1A1A1A"/>
        </w:rPr>
        <w:t>[to be recalculated with income domain score]</w:t>
      </w:r>
      <w:r w:rsidR="00DD0CD8">
        <w:rPr>
          <w:rFonts w:eastAsia="Calibri"/>
          <w:color w:val="1A1A1A"/>
        </w:rPr>
        <w:t xml:space="preserve"> </w:t>
      </w:r>
      <w:r>
        <w:rPr>
          <w:rFonts w:eastAsia="Calibri"/>
          <w:color w:val="1A1A1A"/>
        </w:rPr>
        <w:t>— a counter-intuitive slightly negative value explained by the same small-area density inflation.</w:t>
      </w:r>
    </w:p>
    <w:p w14:paraId="0CC0AAAA" w14:textId="77777777" w:rsidR="00293675" w:rsidRDefault="00293675">
      <w:pPr>
        <w:spacing w:after="60"/>
      </w:pPr>
    </w:p>
    <w:p w14:paraId="56600017" w14:textId="77777777" w:rsidR="00293675" w:rsidRDefault="00000000">
      <w:pPr>
        <w:spacing w:before="60" w:after="80"/>
        <w:jc w:val="both"/>
      </w:pPr>
      <w:r>
        <w:rPr>
          <w:rFonts w:eastAsia="Calibri"/>
          <w:color w:val="1A1A1A"/>
        </w:rPr>
        <w:t xml:space="preserve">These findings motivate an explicit equity-weighted planning framework: one that integrates heterogeneous demand estimation, income-deprivation weighting, and location-allocation </w:t>
      </w:r>
      <w:proofErr w:type="spellStart"/>
      <w:r>
        <w:rPr>
          <w:rFonts w:eastAsia="Calibri"/>
          <w:color w:val="1A1A1A"/>
        </w:rPr>
        <w:t>optimisation</w:t>
      </w:r>
      <w:proofErr w:type="spellEnd"/>
      <w:r>
        <w:rPr>
          <w:rFonts w:eastAsia="Calibri"/>
          <w:color w:val="1A1A1A"/>
        </w:rPr>
        <w:t>.</w:t>
      </w:r>
    </w:p>
    <w:p w14:paraId="3BF0655F" w14:textId="77777777" w:rsidR="00293675" w:rsidRDefault="00293675">
      <w:pPr>
        <w:spacing w:after="120"/>
      </w:pPr>
    </w:p>
    <w:p w14:paraId="106DC063" w14:textId="77777777" w:rsidR="00293675" w:rsidRDefault="00000000">
      <w:pPr>
        <w:pStyle w:val="1"/>
        <w:spacing w:before="300" w:after="120"/>
      </w:pPr>
      <w:r>
        <w:t>2.  Literature Review and Research Gap</w:t>
      </w:r>
    </w:p>
    <w:p w14:paraId="5D7A4565" w14:textId="16AAC766" w:rsidR="00293675" w:rsidRDefault="00FB5E6D">
      <w:pPr>
        <w:spacing w:after="60"/>
      </w:pPr>
      <w:r>
        <w:rPr>
          <w:noProof/>
        </w:rPr>
        <w:drawing>
          <wp:inline distT="0" distB="0" distL="0" distR="0" wp14:anchorId="30B04CED" wp14:editId="5978EE29">
            <wp:extent cx="6188710" cy="1858645"/>
            <wp:effectExtent l="0" t="0" r="0" b="0"/>
            <wp:docPr id="1795751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51572" name="图片 17957515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8710" cy="1858645"/>
                    </a:xfrm>
                    <a:prstGeom prst="rect">
                      <a:avLst/>
                    </a:prstGeom>
                  </pic:spPr>
                </pic:pic>
              </a:graphicData>
            </a:graphic>
          </wp:inline>
        </w:drawing>
      </w:r>
    </w:p>
    <w:p w14:paraId="36C50CB5" w14:textId="77777777" w:rsidR="00293675" w:rsidRDefault="00000000">
      <w:pPr>
        <w:spacing w:before="100" w:after="40"/>
        <w:jc w:val="center"/>
      </w:pPr>
      <w:r>
        <w:rPr>
          <w:noProof/>
        </w:rPr>
        <w:drawing>
          <wp:inline distT="0" distB="0" distL="0" distR="0" wp14:anchorId="176E832F" wp14:editId="052E3A22">
            <wp:extent cx="4434001" cy="515155"/>
            <wp:effectExtent l="0" t="0" r="0" b="5715"/>
            <wp:docPr id="1" name="Figure 1: Three independent literature streams and the unified research gap addressed by this dissertation" descr="Figure 1: Three independent literature streams and the unified research gap addressed by this dissertation" title="Figure 1: Three independent literature streams and the unified research gap addressed by this disser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l="22558" t="83727" r="28902" b="3259"/>
                    <a:stretch>
                      <a:fillRect/>
                    </a:stretch>
                  </pic:blipFill>
                  <pic:spPr bwMode="auto">
                    <a:xfrm>
                      <a:off x="0" y="0"/>
                      <a:ext cx="4764649" cy="553571"/>
                    </a:xfrm>
                    <a:prstGeom prst="rect">
                      <a:avLst/>
                    </a:prstGeom>
                    <a:ln>
                      <a:noFill/>
                    </a:ln>
                    <a:extLst>
                      <a:ext uri="{53640926-AAD7-44D8-BBD7-CCE9431645EC}">
                        <a14:shadowObscured xmlns:a14="http://schemas.microsoft.com/office/drawing/2010/main"/>
                      </a:ext>
                    </a:extLst>
                  </pic:spPr>
                </pic:pic>
              </a:graphicData>
            </a:graphic>
          </wp:inline>
        </w:drawing>
      </w:r>
    </w:p>
    <w:p w14:paraId="40854D80" w14:textId="77777777" w:rsidR="00293675" w:rsidRDefault="00000000">
      <w:pPr>
        <w:spacing w:before="20" w:after="140"/>
        <w:jc w:val="center"/>
      </w:pPr>
      <w:r>
        <w:rPr>
          <w:rFonts w:eastAsia="Calibri"/>
          <w:color w:val="555555"/>
          <w:sz w:val="18"/>
          <w:szCs w:val="18"/>
        </w:rPr>
        <w:t>Figure 1: Three independent literature streams and the unified research gap addressed by this dissertation</w:t>
      </w:r>
    </w:p>
    <w:p w14:paraId="54FB07DB" w14:textId="77777777" w:rsidR="00293675" w:rsidRDefault="00293675">
      <w:pPr>
        <w:spacing w:after="60"/>
      </w:pPr>
    </w:p>
    <w:p w14:paraId="3D694D07" w14:textId="77777777" w:rsidR="00293675" w:rsidRDefault="00000000">
      <w:pPr>
        <w:pStyle w:val="2"/>
      </w:pPr>
      <w:proofErr w:type="gramStart"/>
      <w:r>
        <w:t>2.1  Stream</w:t>
      </w:r>
      <w:proofErr w:type="gramEnd"/>
      <w:r>
        <w:t xml:space="preserve"> 1: Demand Modelling</w:t>
      </w:r>
    </w:p>
    <w:p w14:paraId="0BBCD1AC" w14:textId="35EBC3E7" w:rsidR="00293675" w:rsidRDefault="00000000">
      <w:pPr>
        <w:pStyle w:val="a4"/>
        <w:numPr>
          <w:ilvl w:val="0"/>
          <w:numId w:val="2"/>
        </w:numPr>
        <w:spacing w:before="30" w:after="50"/>
      </w:pPr>
      <w:proofErr w:type="spellStart"/>
      <w:r>
        <w:rPr>
          <w:rFonts w:eastAsia="Calibri"/>
          <w:color w:val="1A1A1A"/>
        </w:rPr>
        <w:t>Pagany</w:t>
      </w:r>
      <w:proofErr w:type="spellEnd"/>
      <w:r>
        <w:rPr>
          <w:rFonts w:eastAsia="Calibri"/>
          <w:color w:val="1A1A1A"/>
        </w:rPr>
        <w:t xml:space="preserve"> (2018, P004): reviews spatial </w:t>
      </w:r>
      <w:proofErr w:type="spellStart"/>
      <w:r>
        <w:rPr>
          <w:rFonts w:eastAsia="Calibri"/>
          <w:color w:val="1A1A1A"/>
        </w:rPr>
        <w:t>localisation</w:t>
      </w:r>
      <w:proofErr w:type="spellEnd"/>
      <w:r>
        <w:rPr>
          <w:rFonts w:eastAsia="Calibri"/>
          <w:color w:val="1A1A1A"/>
        </w:rPr>
        <w:t xml:space="preserve"> methods</w:t>
      </w:r>
      <w:r w:rsidR="00CB5DE5">
        <w:rPr>
          <w:rFonts w:eastAsia="Calibri"/>
          <w:color w:val="1A1A1A"/>
        </w:rPr>
        <w:t>,</w:t>
      </w:r>
      <w:r>
        <w:rPr>
          <w:rFonts w:eastAsia="Calibri"/>
          <w:color w:val="1A1A1A"/>
        </w:rPr>
        <w:t xml:space="preserve"> identifies driving-age population as the dominant empirical demand base for urban EV charging models.</w:t>
      </w:r>
    </w:p>
    <w:p w14:paraId="65C47BF0" w14:textId="06AC4D52" w:rsidR="00293675" w:rsidRDefault="00000000">
      <w:pPr>
        <w:pStyle w:val="a4"/>
        <w:numPr>
          <w:ilvl w:val="0"/>
          <w:numId w:val="2"/>
        </w:numPr>
        <w:spacing w:before="30" w:after="50"/>
      </w:pPr>
      <w:r>
        <w:rPr>
          <w:rFonts w:eastAsia="Calibri"/>
          <w:color w:val="1A1A1A"/>
        </w:rPr>
        <w:t xml:space="preserve">He et al. (2022, P002): introduces Dᵈ = D × Pd × </w:t>
      </w:r>
      <w:proofErr w:type="spellStart"/>
      <w:proofErr w:type="gramStart"/>
      <w:r>
        <w:rPr>
          <w:rFonts w:eastAsia="Calibri"/>
          <w:color w:val="1A1A1A"/>
        </w:rPr>
        <w:t>Ppub</w:t>
      </w:r>
      <w:proofErr w:type="spellEnd"/>
      <w:r>
        <w:rPr>
          <w:rFonts w:eastAsia="Calibri"/>
          <w:color w:val="1A1A1A"/>
        </w:rPr>
        <w:t xml:space="preserve"> </w:t>
      </w:r>
      <w:r w:rsidR="00CB5DE5">
        <w:rPr>
          <w:rFonts w:eastAsia="Calibri"/>
          <w:color w:val="1A1A1A"/>
        </w:rPr>
        <w:t>,</w:t>
      </w:r>
      <w:proofErr w:type="gramEnd"/>
      <w:r w:rsidR="00CB5DE5">
        <w:rPr>
          <w:rFonts w:eastAsia="Calibri"/>
          <w:color w:val="1A1A1A"/>
        </w:rPr>
        <w:t xml:space="preserve"> </w:t>
      </w:r>
      <w:r>
        <w:rPr>
          <w:rFonts w:eastAsia="Calibri"/>
          <w:color w:val="1A1A1A"/>
        </w:rPr>
        <w:t xml:space="preserve">multiplicative demand structure calibrated from Hong Kong survey data (Pd = 0.25, </w:t>
      </w:r>
      <w:proofErr w:type="spellStart"/>
      <w:r>
        <w:rPr>
          <w:rFonts w:eastAsia="Calibri"/>
          <w:color w:val="1A1A1A"/>
        </w:rPr>
        <w:t>Ppub</w:t>
      </w:r>
      <w:proofErr w:type="spellEnd"/>
      <w:r>
        <w:rPr>
          <w:rFonts w:eastAsia="Calibri"/>
          <w:color w:val="1A1A1A"/>
        </w:rPr>
        <w:t xml:space="preserve"> = 0.50). Direct methodological ancestor of this dissertation's demand formula.</w:t>
      </w:r>
    </w:p>
    <w:p w14:paraId="3DD398D4" w14:textId="1DA1EB6B" w:rsidR="00293675" w:rsidRDefault="00000000">
      <w:pPr>
        <w:pStyle w:val="a4"/>
        <w:numPr>
          <w:ilvl w:val="0"/>
          <w:numId w:val="2"/>
        </w:numPr>
        <w:spacing w:before="30" w:after="50"/>
      </w:pPr>
      <w:r>
        <w:rPr>
          <w:rFonts w:eastAsia="Calibri"/>
          <w:color w:val="1A1A1A"/>
        </w:rPr>
        <w:t xml:space="preserve">Lu et al. (2026, P003): demonstrates that temporal dynamics in </w:t>
      </w:r>
      <w:proofErr w:type="spellStart"/>
      <w:r>
        <w:rPr>
          <w:rFonts w:eastAsia="Calibri"/>
          <w:color w:val="1A1A1A"/>
        </w:rPr>
        <w:t>utilisation</w:t>
      </w:r>
      <w:proofErr w:type="spellEnd"/>
      <w:r>
        <w:rPr>
          <w:rFonts w:eastAsia="Calibri"/>
          <w:color w:val="1A1A1A"/>
        </w:rPr>
        <w:t xml:space="preserve"> matter for capacity planning</w:t>
      </w:r>
      <w:r w:rsidR="00CB5DE5">
        <w:rPr>
          <w:rFonts w:eastAsia="Calibri"/>
          <w:color w:val="1A1A1A"/>
        </w:rPr>
        <w:t>,</w:t>
      </w:r>
      <w:r>
        <w:rPr>
          <w:rFonts w:eastAsia="Calibri"/>
          <w:color w:val="1A1A1A"/>
        </w:rPr>
        <w:t xml:space="preserve"> motivation for incorporating actual </w:t>
      </w:r>
      <w:proofErr w:type="spellStart"/>
      <w:r>
        <w:rPr>
          <w:rFonts w:eastAsia="Calibri"/>
          <w:color w:val="1A1A1A"/>
        </w:rPr>
        <w:t>utilisation</w:t>
      </w:r>
      <w:proofErr w:type="spellEnd"/>
      <w:r>
        <w:rPr>
          <w:rFonts w:eastAsia="Calibri"/>
          <w:color w:val="1A1A1A"/>
        </w:rPr>
        <w:t xml:space="preserve"> schedules.</w:t>
      </w:r>
    </w:p>
    <w:p w14:paraId="799AD368" w14:textId="77777777" w:rsidR="00293675" w:rsidRDefault="00293675">
      <w:pPr>
        <w:spacing w:after="60"/>
      </w:pPr>
    </w:p>
    <w:p w14:paraId="43AD272E" w14:textId="77777777" w:rsidR="00293675" w:rsidRDefault="00000000">
      <w:pPr>
        <w:pStyle w:val="2"/>
      </w:pPr>
      <w:proofErr w:type="gramStart"/>
      <w:r>
        <w:t>2.2  Stream</w:t>
      </w:r>
      <w:proofErr w:type="gramEnd"/>
      <w:r>
        <w:t xml:space="preserve"> 2: Location-Allocation </w:t>
      </w:r>
      <w:proofErr w:type="spellStart"/>
      <w:r>
        <w:t>Optimisation</w:t>
      </w:r>
      <w:proofErr w:type="spellEnd"/>
    </w:p>
    <w:p w14:paraId="64C4E6DA" w14:textId="77777777" w:rsidR="00293675" w:rsidRDefault="00000000">
      <w:pPr>
        <w:pStyle w:val="a4"/>
        <w:numPr>
          <w:ilvl w:val="0"/>
          <w:numId w:val="2"/>
        </w:numPr>
        <w:spacing w:before="30" w:after="50"/>
      </w:pPr>
      <w:r>
        <w:rPr>
          <w:rFonts w:eastAsia="Calibri"/>
          <w:color w:val="1A1A1A"/>
        </w:rPr>
        <w:t>He, Kuo and Wu (2016, P012): comparative experiment among Set Covering, MCLP, and p-median (PMP) in Beijing. Key finding: PMP achieves 35.74% lower demand-weighted distance vs MCLP but covers 20.68% fewer demand nodes. This structural tendency to under-serve low-demand (often deprived) areas directly motivates the IMD equity uplift.</w:t>
      </w:r>
    </w:p>
    <w:p w14:paraId="70D91C8C" w14:textId="601AE893" w:rsidR="00293675" w:rsidRDefault="00000000">
      <w:pPr>
        <w:pStyle w:val="a4"/>
        <w:numPr>
          <w:ilvl w:val="0"/>
          <w:numId w:val="2"/>
        </w:numPr>
        <w:spacing w:before="30" w:after="50"/>
      </w:pPr>
      <w:proofErr w:type="spellStart"/>
      <w:r>
        <w:rPr>
          <w:rFonts w:eastAsia="Calibri"/>
          <w:color w:val="1A1A1A"/>
        </w:rPr>
        <w:t>Kchaou-Boujelben</w:t>
      </w:r>
      <w:proofErr w:type="spellEnd"/>
      <w:r>
        <w:rPr>
          <w:rFonts w:eastAsia="Calibri"/>
          <w:color w:val="1A1A1A"/>
        </w:rPr>
        <w:t xml:space="preserve"> (2021, P005): establishes node-based modelling as appropriate for urban residential slow-charging contexts</w:t>
      </w:r>
      <w:r w:rsidR="00CB5DE5">
        <w:rPr>
          <w:rFonts w:eastAsia="Calibri"/>
          <w:color w:val="1A1A1A"/>
        </w:rPr>
        <w:t>,</w:t>
      </w:r>
      <w:r>
        <w:rPr>
          <w:rFonts w:eastAsia="Calibri"/>
          <w:color w:val="1A1A1A"/>
        </w:rPr>
        <w:t xml:space="preserve"> documents 800 m walking-distance threshold as the standard service radius.</w:t>
      </w:r>
    </w:p>
    <w:p w14:paraId="54292184" w14:textId="77777777" w:rsidR="00293675" w:rsidRDefault="00293675">
      <w:pPr>
        <w:spacing w:after="60"/>
      </w:pPr>
    </w:p>
    <w:p w14:paraId="48F7AC21" w14:textId="77777777" w:rsidR="00293675" w:rsidRDefault="00000000">
      <w:pPr>
        <w:pStyle w:val="2"/>
      </w:pPr>
      <w:proofErr w:type="gramStart"/>
      <w:r>
        <w:t>2.3  Stream</w:t>
      </w:r>
      <w:proofErr w:type="gramEnd"/>
      <w:r>
        <w:t xml:space="preserve"> 3: Equity Analysis</w:t>
      </w:r>
    </w:p>
    <w:p w14:paraId="60934C65" w14:textId="40ED75D0" w:rsidR="00293675" w:rsidRDefault="00000000">
      <w:pPr>
        <w:pStyle w:val="a4"/>
        <w:numPr>
          <w:ilvl w:val="0"/>
          <w:numId w:val="2"/>
        </w:numPr>
        <w:spacing w:before="30" w:after="50"/>
      </w:pPr>
      <w:r>
        <w:rPr>
          <w:rFonts w:eastAsia="Calibri"/>
          <w:color w:val="1A1A1A"/>
        </w:rPr>
        <w:t>Chen et al. (2025, P009): systematic review of 91 EV equity studies</w:t>
      </w:r>
      <w:r w:rsidR="00CB5DE5">
        <w:rPr>
          <w:rFonts w:eastAsia="Calibri"/>
          <w:color w:val="1A1A1A"/>
        </w:rPr>
        <w:t xml:space="preserve">, </w:t>
      </w:r>
      <w:r>
        <w:rPr>
          <w:rFonts w:eastAsia="Calibri"/>
          <w:color w:val="1A1A1A"/>
        </w:rPr>
        <w:t xml:space="preserve">recommends composite deprivation indices as more theoretically grounded equity proxies than raw </w:t>
      </w:r>
      <w:proofErr w:type="spellStart"/>
      <w:r>
        <w:rPr>
          <w:rFonts w:eastAsia="Calibri"/>
          <w:color w:val="1A1A1A"/>
        </w:rPr>
        <w:t>chargepoint</w:t>
      </w:r>
      <w:proofErr w:type="spellEnd"/>
      <w:r>
        <w:rPr>
          <w:rFonts w:eastAsia="Calibri"/>
          <w:color w:val="1A1A1A"/>
        </w:rPr>
        <w:t xml:space="preserve"> density.</w:t>
      </w:r>
    </w:p>
    <w:p w14:paraId="0DE6B9CD" w14:textId="2BEAEB51" w:rsidR="00293675" w:rsidRDefault="00000000">
      <w:pPr>
        <w:pStyle w:val="a4"/>
        <w:numPr>
          <w:ilvl w:val="0"/>
          <w:numId w:val="2"/>
        </w:numPr>
        <w:spacing w:before="30" w:after="50"/>
      </w:pPr>
      <w:r>
        <w:rPr>
          <w:rFonts w:eastAsia="Calibri"/>
          <w:color w:val="1A1A1A"/>
        </w:rPr>
        <w:t>Carlton and Sultana (2023, P010): identifies the demand priority function concept (Nazari-</w:t>
      </w:r>
      <w:proofErr w:type="spellStart"/>
      <w:r>
        <w:rPr>
          <w:rFonts w:eastAsia="Calibri"/>
          <w:color w:val="1A1A1A"/>
        </w:rPr>
        <w:t>Heris</w:t>
      </w:r>
      <w:proofErr w:type="spellEnd"/>
      <w:r>
        <w:rPr>
          <w:rFonts w:eastAsia="Calibri"/>
          <w:color w:val="1A1A1A"/>
        </w:rPr>
        <w:t xml:space="preserve"> 2022) </w:t>
      </w:r>
      <w:r w:rsidR="00CB5DE5">
        <w:rPr>
          <w:rFonts w:eastAsia="Calibri"/>
          <w:color w:val="1A1A1A"/>
        </w:rPr>
        <w:t>(</w:t>
      </w:r>
      <w:r>
        <w:rPr>
          <w:rFonts w:eastAsia="Calibri"/>
          <w:color w:val="1A1A1A"/>
        </w:rPr>
        <w:t>multiplicative uplift in disadvantaged areas</w:t>
      </w:r>
      <w:r w:rsidR="00CB5DE5">
        <w:rPr>
          <w:rFonts w:eastAsia="Calibri"/>
          <w:color w:val="1A1A1A"/>
        </w:rPr>
        <w:t>)</w:t>
      </w:r>
      <w:r>
        <w:rPr>
          <w:rFonts w:eastAsia="Calibri"/>
          <w:color w:val="1A1A1A"/>
        </w:rPr>
        <w:t xml:space="preserve"> as the nearest precedent for the (1 + α × IMDᵢ) functional form.</w:t>
      </w:r>
    </w:p>
    <w:p w14:paraId="6772B1A8" w14:textId="682BF410" w:rsidR="00293675" w:rsidRDefault="00000000">
      <w:pPr>
        <w:pStyle w:val="a4"/>
        <w:numPr>
          <w:ilvl w:val="0"/>
          <w:numId w:val="2"/>
        </w:numPr>
        <w:spacing w:before="30" w:after="50"/>
      </w:pPr>
      <w:r>
        <w:rPr>
          <w:rFonts w:eastAsia="Calibri"/>
          <w:color w:val="1A1A1A"/>
        </w:rPr>
        <w:t>Lopane and Zhong (2025, P008): London SAR/GWR analysis 2021–2024</w:t>
      </w:r>
      <w:r w:rsidR="00CB5DE5">
        <w:rPr>
          <w:rFonts w:eastAsia="Calibri"/>
          <w:color w:val="1A1A1A"/>
        </w:rPr>
        <w:t>,</w:t>
      </w:r>
      <w:r>
        <w:rPr>
          <w:rFonts w:eastAsia="Calibri"/>
          <w:color w:val="1A1A1A"/>
        </w:rPr>
        <w:t xml:space="preserve"> demonstrates deprivation-accessibility reversal once spatial autocorrelation is controlled. Directly motivates LSOA-level equity weighting.</w:t>
      </w:r>
    </w:p>
    <w:p w14:paraId="36165F1C" w14:textId="77777777" w:rsidR="00293675" w:rsidRDefault="00293675">
      <w:pPr>
        <w:spacing w:after="60"/>
      </w:pPr>
    </w:p>
    <w:p w14:paraId="134B904A" w14:textId="77777777" w:rsidR="00293675" w:rsidRDefault="00000000">
      <w:pPr>
        <w:pStyle w:val="2"/>
      </w:pPr>
      <w:proofErr w:type="gramStart"/>
      <w:r>
        <w:t>2.4  Research</w:t>
      </w:r>
      <w:proofErr w:type="gramEnd"/>
      <w:r>
        <w:t xml:space="preserve"> Gap</w:t>
      </w:r>
    </w:p>
    <w:p w14:paraId="54EB1590" w14:textId="77777777" w:rsidR="00293675" w:rsidRDefault="00000000">
      <w:pPr>
        <w:spacing w:before="60" w:after="80"/>
        <w:jc w:val="both"/>
      </w:pPr>
      <w:r>
        <w:rPr>
          <w:rFonts w:eastAsia="Calibri"/>
          <w:color w:val="1A1A1A"/>
        </w:rPr>
        <w:t>No existing study simultaneously:</w:t>
      </w:r>
    </w:p>
    <w:p w14:paraId="59A7155F" w14:textId="77777777" w:rsidR="00293675" w:rsidRDefault="00000000">
      <w:pPr>
        <w:pStyle w:val="a4"/>
        <w:numPr>
          <w:ilvl w:val="0"/>
          <w:numId w:val="2"/>
        </w:numPr>
        <w:spacing w:before="30" w:after="50"/>
      </w:pPr>
      <w:r>
        <w:rPr>
          <w:rFonts w:eastAsia="Calibri"/>
          <w:color w:val="1A1A1A"/>
        </w:rPr>
        <w:t>estimates heterogeneous income-deprivation-weighted driving-age-population demand at LSOA level,</w:t>
      </w:r>
    </w:p>
    <w:p w14:paraId="79EBB21A" w14:textId="77777777" w:rsidR="00293675" w:rsidRDefault="00000000">
      <w:pPr>
        <w:pStyle w:val="a4"/>
        <w:numPr>
          <w:ilvl w:val="0"/>
          <w:numId w:val="2"/>
        </w:numPr>
        <w:spacing w:before="30" w:after="50"/>
      </w:pPr>
      <w:r>
        <w:rPr>
          <w:rFonts w:eastAsia="Calibri"/>
          <w:color w:val="1A1A1A"/>
        </w:rPr>
        <w:t xml:space="preserve">selects new on-street </w:t>
      </w:r>
      <w:proofErr w:type="spellStart"/>
      <w:r>
        <w:rPr>
          <w:rFonts w:eastAsia="Calibri"/>
          <w:color w:val="1A1A1A"/>
        </w:rPr>
        <w:t>chargepoint</w:t>
      </w:r>
      <w:proofErr w:type="spellEnd"/>
      <w:r>
        <w:rPr>
          <w:rFonts w:eastAsia="Calibri"/>
          <w:color w:val="1A1A1A"/>
        </w:rPr>
        <w:t xml:space="preserve"> locations through a p-median location-allocation model using that equity-adjusted demand weight, and</w:t>
      </w:r>
    </w:p>
    <w:p w14:paraId="621C926B" w14:textId="77777777" w:rsidR="00293675" w:rsidRDefault="00000000">
      <w:pPr>
        <w:pStyle w:val="a4"/>
        <w:numPr>
          <w:ilvl w:val="0"/>
          <w:numId w:val="2"/>
        </w:numPr>
        <w:spacing w:before="30" w:after="50"/>
      </w:pPr>
      <w:r>
        <w:rPr>
          <w:rFonts w:eastAsia="Calibri"/>
          <w:color w:val="1A1A1A"/>
        </w:rPr>
        <w:t>evaluates outcomes across systematic scenario analysis using both efficiency and equity metrics.</w:t>
      </w:r>
    </w:p>
    <w:p w14:paraId="7D2A0030" w14:textId="77777777" w:rsidR="00293675" w:rsidRDefault="00293675">
      <w:pPr>
        <w:spacing w:after="60"/>
      </w:pPr>
    </w:p>
    <w:p w14:paraId="4F56322A" w14:textId="77777777" w:rsidR="00293675" w:rsidRDefault="00000000">
      <w:pPr>
        <w:spacing w:before="60" w:after="80"/>
        <w:jc w:val="both"/>
      </w:pPr>
      <w:r>
        <w:rPr>
          <w:rFonts w:eastAsia="Calibri"/>
          <w:color w:val="1A1A1A"/>
        </w:rPr>
        <w:t xml:space="preserve">Each component exists independently across the three streams. Their integration in a single planning framework at LSOA resolution in Greater London — with income deprivation as the equity channel and </w:t>
      </w:r>
      <w:proofErr w:type="spellStart"/>
      <w:r>
        <w:rPr>
          <w:rFonts w:eastAsia="Calibri"/>
          <w:color w:val="1A1A1A"/>
        </w:rPr>
        <w:t>utilisation</w:t>
      </w:r>
      <w:proofErr w:type="spellEnd"/>
      <w:r>
        <w:rPr>
          <w:rFonts w:eastAsia="Calibri"/>
          <w:color w:val="1A1A1A"/>
        </w:rPr>
        <w:t>-adjusted supply as the baseline — constitutes this dissertation's methodological contribution.</w:t>
      </w:r>
    </w:p>
    <w:p w14:paraId="38CF5158" w14:textId="77777777" w:rsidR="00293675" w:rsidRDefault="00293675">
      <w:pPr>
        <w:spacing w:after="120"/>
      </w:pPr>
    </w:p>
    <w:p w14:paraId="335648AE" w14:textId="3850AB37" w:rsidR="005E431B" w:rsidRPr="00A940A6" w:rsidRDefault="00000000" w:rsidP="00A940A6">
      <w:pPr>
        <w:pStyle w:val="1"/>
        <w:spacing w:before="300" w:after="120"/>
      </w:pPr>
      <w:r>
        <w:t>3.  Research Question and Objectives</w:t>
      </w:r>
    </w:p>
    <w:p w14:paraId="4B345FBE" w14:textId="102F1966" w:rsidR="005E431B" w:rsidRDefault="005E431B" w:rsidP="005E431B">
      <w:pPr>
        <w:rPr>
          <w:rFonts w:eastAsia="Calibri"/>
          <w:b/>
          <w:bCs/>
          <w:color w:val="111111"/>
          <w:sz w:val="23"/>
          <w:szCs w:val="23"/>
        </w:rPr>
      </w:pPr>
      <w:r>
        <w:rPr>
          <w:rFonts w:eastAsia="Calibri"/>
          <w:b/>
          <w:bCs/>
          <w:color w:val="111111"/>
          <w:sz w:val="23"/>
          <w:szCs w:val="23"/>
        </w:rPr>
        <w:t xml:space="preserve">Research Question: </w:t>
      </w:r>
    </w:p>
    <w:p w14:paraId="6166DB17" w14:textId="0CCA6293" w:rsidR="005E431B" w:rsidRDefault="005E431B" w:rsidP="005E431B">
      <w:r>
        <w:rPr>
          <w:rFonts w:eastAsia="Calibri"/>
          <w:b/>
          <w:bCs/>
          <w:color w:val="111111"/>
          <w:sz w:val="23"/>
          <w:szCs w:val="23"/>
        </w:rPr>
        <w:t xml:space="preserve">How can an income-deprivation-weighted p-median location-allocation framework </w:t>
      </w:r>
      <w:proofErr w:type="spellStart"/>
      <w:r>
        <w:rPr>
          <w:rFonts w:eastAsia="Calibri"/>
          <w:b/>
          <w:bCs/>
          <w:color w:val="111111"/>
          <w:sz w:val="23"/>
          <w:szCs w:val="23"/>
        </w:rPr>
        <w:t>optimise</w:t>
      </w:r>
      <w:proofErr w:type="spellEnd"/>
      <w:r>
        <w:rPr>
          <w:rFonts w:eastAsia="Calibri"/>
          <w:b/>
          <w:bCs/>
          <w:color w:val="111111"/>
          <w:sz w:val="23"/>
          <w:szCs w:val="23"/>
        </w:rPr>
        <w:t xml:space="preserve"> the spatial planning of new public on-street EV charging infrastructure across Greater London at LSOA level?</w:t>
      </w:r>
    </w:p>
    <w:p w14:paraId="4B586258" w14:textId="77777777" w:rsidR="00293675" w:rsidRDefault="00293675">
      <w:pPr>
        <w:spacing w:after="100"/>
      </w:pPr>
    </w:p>
    <w:p w14:paraId="18C19653" w14:textId="77777777" w:rsidR="00293675" w:rsidRDefault="00000000">
      <w:pPr>
        <w:spacing w:before="60" w:after="80"/>
        <w:jc w:val="both"/>
        <w:rPr>
          <w:rFonts w:eastAsia="Calibri"/>
          <w:color w:val="1A1A1A"/>
        </w:rPr>
      </w:pPr>
      <w:r>
        <w:rPr>
          <w:rFonts w:eastAsia="Calibri"/>
          <w:color w:val="1A1A1A"/>
        </w:rPr>
        <w:t xml:space="preserve">Four sequential objectives </w:t>
      </w:r>
      <w:proofErr w:type="spellStart"/>
      <w:r>
        <w:rPr>
          <w:rFonts w:eastAsia="Calibri"/>
          <w:color w:val="1A1A1A"/>
        </w:rPr>
        <w:t>operationalise</w:t>
      </w:r>
      <w:proofErr w:type="spellEnd"/>
      <w:r>
        <w:rPr>
          <w:rFonts w:eastAsia="Calibri"/>
          <w:color w:val="1A1A1A"/>
        </w:rPr>
        <w:t xml:space="preserve"> the research question:</w:t>
      </w:r>
    </w:p>
    <w:p w14:paraId="227AE028" w14:textId="77777777" w:rsidR="005E431B" w:rsidRDefault="005E431B">
      <w:pPr>
        <w:spacing w:before="60" w:after="80"/>
        <w:jc w:val="both"/>
      </w:pPr>
    </w:p>
    <w:p w14:paraId="55B0A526" w14:textId="66141DFA" w:rsidR="00293675" w:rsidRDefault="005E431B">
      <w:pPr>
        <w:spacing w:after="60"/>
        <w:rPr>
          <w:rFonts w:eastAsia="Calibri"/>
          <w:color w:val="1A1A1A"/>
          <w:sz w:val="21"/>
          <w:szCs w:val="21"/>
        </w:rPr>
      </w:pPr>
      <w:r>
        <w:rPr>
          <w:rFonts w:eastAsia="Calibri" w:hint="eastAsia"/>
          <w:color w:val="1A1A1A"/>
          <w:sz w:val="21"/>
          <w:szCs w:val="21"/>
        </w:rPr>
        <w:t>O1</w:t>
      </w:r>
      <w:r>
        <w:rPr>
          <w:rFonts w:ascii="微软雅黑" w:eastAsia="微软雅黑" w:hAnsi="微软雅黑" w:cs="微软雅黑" w:hint="eastAsia"/>
          <w:color w:val="1A1A1A"/>
          <w:sz w:val="21"/>
          <w:szCs w:val="21"/>
        </w:rPr>
        <w:t>：</w:t>
      </w:r>
      <w:r w:rsidR="001D24FB" w:rsidRPr="001D24FB">
        <w:rPr>
          <w:rFonts w:eastAsia="Calibri"/>
          <w:color w:val="1A1A1A"/>
          <w:sz w:val="21"/>
          <w:szCs w:val="21"/>
        </w:rPr>
        <w:t xml:space="preserve">How can spatially heterogeneous, income-deprivation-adjusted EV charging demand be estimated at LSOA level using Census 2021 TS007, IoD2025 File 7 Income Score (rate), and </w:t>
      </w:r>
      <w:proofErr w:type="spellStart"/>
      <w:r w:rsidR="001D24FB" w:rsidRPr="001D24FB">
        <w:rPr>
          <w:rFonts w:eastAsia="Calibri"/>
          <w:color w:val="1A1A1A"/>
          <w:sz w:val="21"/>
          <w:szCs w:val="21"/>
        </w:rPr>
        <w:t>DfT</w:t>
      </w:r>
      <w:proofErr w:type="spellEnd"/>
      <w:r w:rsidR="001D24FB" w:rsidRPr="001D24FB">
        <w:rPr>
          <w:rFonts w:eastAsia="Calibri"/>
          <w:color w:val="1A1A1A"/>
          <w:sz w:val="21"/>
          <w:szCs w:val="21"/>
        </w:rPr>
        <w:t xml:space="preserve"> EV Tracker Year 1 calibrated parameters?</w:t>
      </w:r>
    </w:p>
    <w:p w14:paraId="3F035D0A" w14:textId="77777777" w:rsidR="005E431B" w:rsidRDefault="005E431B">
      <w:pPr>
        <w:spacing w:after="60"/>
        <w:rPr>
          <w:rFonts w:eastAsia="Calibri"/>
          <w:color w:val="1A1A1A"/>
          <w:sz w:val="21"/>
          <w:szCs w:val="21"/>
        </w:rPr>
      </w:pPr>
    </w:p>
    <w:p w14:paraId="7C09523B" w14:textId="7562E85F" w:rsidR="005E431B" w:rsidRDefault="005E431B">
      <w:pPr>
        <w:spacing w:after="60"/>
        <w:rPr>
          <w:rFonts w:eastAsia="Calibri"/>
          <w:color w:val="1A1A1A"/>
          <w:sz w:val="21"/>
          <w:szCs w:val="21"/>
        </w:rPr>
      </w:pPr>
      <w:r>
        <w:rPr>
          <w:rFonts w:eastAsia="Calibri" w:hint="eastAsia"/>
          <w:color w:val="1A1A1A"/>
          <w:sz w:val="21"/>
          <w:szCs w:val="21"/>
        </w:rPr>
        <w:t>O2</w:t>
      </w:r>
      <w:r>
        <w:rPr>
          <w:rFonts w:ascii="微软雅黑" w:eastAsia="微软雅黑" w:hAnsi="微软雅黑" w:cs="微软雅黑" w:hint="eastAsia"/>
          <w:color w:val="1A1A1A"/>
          <w:sz w:val="21"/>
          <w:szCs w:val="21"/>
        </w:rPr>
        <w:t>：</w:t>
      </w:r>
      <w:r>
        <w:rPr>
          <w:rFonts w:eastAsia="Calibri"/>
          <w:color w:val="1A1A1A"/>
          <w:sz w:val="21"/>
          <w:szCs w:val="21"/>
        </w:rPr>
        <w:t xml:space="preserve">How does the spatial distribution of existing on-street EV charging supply — expressed as </w:t>
      </w:r>
      <w:proofErr w:type="spellStart"/>
      <w:r>
        <w:rPr>
          <w:rFonts w:eastAsia="Calibri"/>
          <w:color w:val="1A1A1A"/>
          <w:sz w:val="21"/>
          <w:szCs w:val="21"/>
        </w:rPr>
        <w:t>utilisation</w:t>
      </w:r>
      <w:proofErr w:type="spellEnd"/>
      <w:r>
        <w:rPr>
          <w:rFonts w:eastAsia="Calibri"/>
          <w:color w:val="1A1A1A"/>
          <w:sz w:val="21"/>
          <w:szCs w:val="21"/>
        </w:rPr>
        <w:t>-adjusted effective capacity (Sᵢᵉᶠᶠ) — compare to income-adjusted demand across Greater London LSOAs, and where are supply gaps most concentrated relative to income deprivation?</w:t>
      </w:r>
    </w:p>
    <w:p w14:paraId="5C6343C4" w14:textId="77777777" w:rsidR="005E431B" w:rsidRDefault="005E431B">
      <w:pPr>
        <w:spacing w:after="60"/>
        <w:rPr>
          <w:rFonts w:eastAsia="Calibri"/>
          <w:color w:val="1A1A1A"/>
          <w:sz w:val="21"/>
          <w:szCs w:val="21"/>
        </w:rPr>
      </w:pPr>
    </w:p>
    <w:p w14:paraId="0FBD0B17" w14:textId="5E3FCD85" w:rsidR="005E431B" w:rsidRDefault="005E431B">
      <w:pPr>
        <w:spacing w:after="60"/>
        <w:rPr>
          <w:rFonts w:eastAsia="Calibri"/>
          <w:color w:val="1A1A1A"/>
          <w:sz w:val="21"/>
          <w:szCs w:val="21"/>
        </w:rPr>
      </w:pPr>
      <w:r>
        <w:rPr>
          <w:rFonts w:eastAsia="Calibri" w:hint="eastAsia"/>
          <w:color w:val="1A1A1A"/>
          <w:sz w:val="21"/>
          <w:szCs w:val="21"/>
        </w:rPr>
        <w:t>O3</w:t>
      </w:r>
      <w:r>
        <w:rPr>
          <w:rFonts w:ascii="微软雅黑" w:eastAsia="微软雅黑" w:hAnsi="微软雅黑" w:cs="微软雅黑" w:hint="eastAsia"/>
          <w:color w:val="1A1A1A"/>
          <w:sz w:val="21"/>
          <w:szCs w:val="21"/>
        </w:rPr>
        <w:t>：</w:t>
      </w:r>
      <w:r>
        <w:rPr>
          <w:rFonts w:eastAsia="Calibri"/>
          <w:color w:val="1A1A1A"/>
          <w:sz w:val="21"/>
          <w:szCs w:val="21"/>
        </w:rPr>
        <w:t xml:space="preserve">Which on-street locations should be selected for new </w:t>
      </w:r>
      <w:proofErr w:type="spellStart"/>
      <w:r>
        <w:rPr>
          <w:rFonts w:eastAsia="Calibri"/>
          <w:color w:val="1A1A1A"/>
          <w:sz w:val="21"/>
          <w:szCs w:val="21"/>
        </w:rPr>
        <w:t>chargepoint</w:t>
      </w:r>
      <w:proofErr w:type="spellEnd"/>
      <w:r>
        <w:rPr>
          <w:rFonts w:eastAsia="Calibri"/>
          <w:color w:val="1A1A1A"/>
          <w:sz w:val="21"/>
          <w:szCs w:val="21"/>
        </w:rPr>
        <w:t xml:space="preserve"> installation, and how does the optimal set shift as the equity weighting parameter α increases from 0 to 0.5?</w:t>
      </w:r>
    </w:p>
    <w:p w14:paraId="179620EF" w14:textId="77777777" w:rsidR="005E431B" w:rsidRDefault="005E431B">
      <w:pPr>
        <w:spacing w:after="60"/>
      </w:pPr>
    </w:p>
    <w:p w14:paraId="1B688D5C" w14:textId="1EB6F78B" w:rsidR="005E431B" w:rsidRDefault="005E431B" w:rsidP="005E431B">
      <w:r>
        <w:rPr>
          <w:rFonts w:eastAsia="Calibri" w:hint="eastAsia"/>
          <w:color w:val="1A1A1A"/>
          <w:sz w:val="21"/>
          <w:szCs w:val="21"/>
        </w:rPr>
        <w:t>O4</w:t>
      </w:r>
      <w:r>
        <w:rPr>
          <w:rFonts w:ascii="微软雅黑" w:eastAsia="微软雅黑" w:hAnsi="微软雅黑" w:cs="微软雅黑" w:hint="eastAsia"/>
          <w:color w:val="1A1A1A"/>
          <w:sz w:val="21"/>
          <w:szCs w:val="21"/>
        </w:rPr>
        <w:t>：</w:t>
      </w:r>
      <w:r>
        <w:rPr>
          <w:rFonts w:eastAsia="Calibri"/>
          <w:color w:val="1A1A1A"/>
          <w:sz w:val="21"/>
          <w:szCs w:val="21"/>
        </w:rPr>
        <w:t>How does the income-deprivation-weighted model compare to the unweighted baseline across four efficiency and equity metrics, and at what value of α does equity improvement begin to plateau relative to efficiency cost?</w:t>
      </w:r>
    </w:p>
    <w:p w14:paraId="1E3C543C" w14:textId="77777777" w:rsidR="005E431B" w:rsidRDefault="005E431B">
      <w:pPr>
        <w:spacing w:after="60"/>
      </w:pPr>
    </w:p>
    <w:p w14:paraId="2A1A3B7E" w14:textId="77777777" w:rsidR="00293675" w:rsidRDefault="00293675">
      <w:pPr>
        <w:spacing w:after="120"/>
      </w:pPr>
    </w:p>
    <w:p w14:paraId="6FBBF396" w14:textId="136B1943" w:rsidR="00293675" w:rsidRDefault="00000000" w:rsidP="0020664F">
      <w:pPr>
        <w:pStyle w:val="1"/>
        <w:spacing w:before="300" w:after="120"/>
      </w:pPr>
      <w:r>
        <w:t>4.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6"/>
        <w:gridCol w:w="1598"/>
        <w:gridCol w:w="2193"/>
        <w:gridCol w:w="3773"/>
      </w:tblGrid>
      <w:tr w:rsidR="00293675" w:rsidRPr="00F2392D" w14:paraId="49B25623" w14:textId="77777777" w:rsidTr="00F2392D">
        <w:trPr>
          <w:tblHeader/>
        </w:trPr>
        <w:tc>
          <w:tcPr>
            <w:tcW w:w="162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87CB556" w14:textId="77777777" w:rsidR="00293675" w:rsidRPr="00F2392D" w:rsidRDefault="00000000">
            <w:pPr>
              <w:rPr>
                <w:color w:val="000000" w:themeColor="text1"/>
              </w:rPr>
            </w:pPr>
            <w:r w:rsidRPr="00F2392D">
              <w:rPr>
                <w:rFonts w:eastAsia="Calibri"/>
                <w:b/>
                <w:bCs/>
                <w:color w:val="000000" w:themeColor="text1"/>
                <w:sz w:val="19"/>
                <w:szCs w:val="19"/>
              </w:rPr>
              <w:t>Dataset</w:t>
            </w:r>
          </w:p>
        </w:tc>
        <w:tc>
          <w:tcPr>
            <w:tcW w:w="162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34550AE" w14:textId="77777777" w:rsidR="00293675" w:rsidRPr="00F2392D" w:rsidRDefault="00000000">
            <w:pPr>
              <w:rPr>
                <w:color w:val="000000" w:themeColor="text1"/>
              </w:rPr>
            </w:pPr>
            <w:r w:rsidRPr="00F2392D">
              <w:rPr>
                <w:rFonts w:eastAsia="Calibri"/>
                <w:b/>
                <w:bCs/>
                <w:color w:val="000000" w:themeColor="text1"/>
                <w:sz w:val="19"/>
                <w:szCs w:val="19"/>
              </w:rPr>
              <w:t>Source / Coverage</w:t>
            </w:r>
          </w:p>
        </w:tc>
        <w:tc>
          <w:tcPr>
            <w:tcW w:w="222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534CBAD" w14:textId="77777777" w:rsidR="00293675" w:rsidRPr="00F2392D" w:rsidRDefault="00000000">
            <w:pPr>
              <w:rPr>
                <w:color w:val="000000" w:themeColor="text1"/>
              </w:rPr>
            </w:pPr>
            <w:r w:rsidRPr="00F2392D">
              <w:rPr>
                <w:rFonts w:eastAsia="Calibri"/>
                <w:b/>
                <w:bCs/>
                <w:color w:val="000000" w:themeColor="text1"/>
                <w:sz w:val="19"/>
                <w:szCs w:val="19"/>
              </w:rPr>
              <w:t>Key Variables</w:t>
            </w:r>
          </w:p>
        </w:tc>
        <w:tc>
          <w:tcPr>
            <w:tcW w:w="39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57662A0" w14:textId="77777777" w:rsidR="00293675" w:rsidRPr="00F2392D" w:rsidRDefault="00000000">
            <w:pPr>
              <w:rPr>
                <w:color w:val="000000" w:themeColor="text1"/>
              </w:rPr>
            </w:pPr>
            <w:r w:rsidRPr="00F2392D">
              <w:rPr>
                <w:rFonts w:eastAsia="Calibri"/>
                <w:b/>
                <w:bCs/>
                <w:color w:val="000000" w:themeColor="text1"/>
                <w:sz w:val="19"/>
                <w:szCs w:val="19"/>
              </w:rPr>
              <w:t>Role</w:t>
            </w:r>
          </w:p>
        </w:tc>
      </w:tr>
      <w:tr w:rsidR="00293675" w:rsidRPr="00F2392D" w14:paraId="26280A6D" w14:textId="77777777" w:rsidTr="00F2392D">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99F5787" w14:textId="77777777" w:rsidR="00293675" w:rsidRPr="00F2392D" w:rsidRDefault="00000000">
            <w:pPr>
              <w:rPr>
                <w:color w:val="000000" w:themeColor="text1"/>
              </w:rPr>
            </w:pPr>
            <w:r w:rsidRPr="00F2392D">
              <w:rPr>
                <w:rFonts w:eastAsia="Calibri"/>
                <w:color w:val="000000" w:themeColor="text1"/>
                <w:sz w:val="19"/>
                <w:szCs w:val="19"/>
              </w:rPr>
              <w:t>Census 2021 TS007</w:t>
            </w:r>
          </w:p>
        </w:tc>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0EDB593" w14:textId="77777777" w:rsidR="00293675" w:rsidRPr="00F2392D" w:rsidRDefault="00000000">
            <w:pPr>
              <w:rPr>
                <w:color w:val="000000" w:themeColor="text1"/>
              </w:rPr>
            </w:pPr>
            <w:r w:rsidRPr="00F2392D">
              <w:rPr>
                <w:rFonts w:eastAsia="Calibri"/>
                <w:color w:val="000000" w:themeColor="text1"/>
                <w:sz w:val="19"/>
                <w:szCs w:val="19"/>
              </w:rPr>
              <w:t>ONS / Nomis (2023) LSOA 2021</w:t>
            </w:r>
          </w:p>
        </w:tc>
        <w:tc>
          <w:tcPr>
            <w:tcW w:w="22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A5BB8F2" w14:textId="77777777" w:rsidR="00293675" w:rsidRPr="00F2392D" w:rsidRDefault="00000000">
            <w:pPr>
              <w:rPr>
                <w:color w:val="000000" w:themeColor="text1"/>
              </w:rPr>
            </w:pPr>
            <w:r w:rsidRPr="00F2392D">
              <w:rPr>
                <w:rFonts w:eastAsia="Calibri"/>
                <w:color w:val="000000" w:themeColor="text1"/>
                <w:sz w:val="19"/>
                <w:szCs w:val="19"/>
              </w:rPr>
              <w:t>Age by single year</w:t>
            </w:r>
          </w:p>
        </w:tc>
        <w:tc>
          <w:tcPr>
            <w:tcW w:w="3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BD2EF03" w14:textId="77777777" w:rsidR="00293675" w:rsidRPr="00F2392D" w:rsidRDefault="00000000">
            <w:pPr>
              <w:rPr>
                <w:color w:val="000000" w:themeColor="text1"/>
              </w:rPr>
            </w:pPr>
            <w:r w:rsidRPr="00F2392D">
              <w:rPr>
                <w:rFonts w:eastAsia="Calibri"/>
                <w:color w:val="000000" w:themeColor="text1"/>
                <w:sz w:val="19"/>
                <w:szCs w:val="19"/>
              </w:rPr>
              <w:t>Pᵢ = residents aged 17+ (driving-age demand proxy)</w:t>
            </w:r>
          </w:p>
        </w:tc>
      </w:tr>
      <w:tr w:rsidR="00293675" w:rsidRPr="00F2392D" w14:paraId="1F134A32" w14:textId="77777777" w:rsidTr="00F2392D">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924C43F" w14:textId="77777777" w:rsidR="00293675" w:rsidRPr="00F2392D" w:rsidRDefault="00000000">
            <w:pPr>
              <w:rPr>
                <w:color w:val="000000" w:themeColor="text1"/>
              </w:rPr>
            </w:pPr>
            <w:r w:rsidRPr="00F2392D">
              <w:rPr>
                <w:rFonts w:eastAsia="Calibri"/>
                <w:color w:val="000000" w:themeColor="text1"/>
                <w:sz w:val="19"/>
                <w:szCs w:val="19"/>
              </w:rPr>
              <w:t>IoD2025 File 7</w:t>
            </w:r>
          </w:p>
        </w:tc>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2899E1F" w14:textId="77777777" w:rsidR="00293675" w:rsidRPr="00F2392D" w:rsidRDefault="00000000">
            <w:pPr>
              <w:rPr>
                <w:color w:val="000000" w:themeColor="text1"/>
              </w:rPr>
            </w:pPr>
            <w:r w:rsidRPr="00F2392D">
              <w:rPr>
                <w:rFonts w:eastAsia="Calibri"/>
                <w:color w:val="000000" w:themeColor="text1"/>
                <w:sz w:val="19"/>
                <w:szCs w:val="19"/>
              </w:rPr>
              <w:t>MHCLG (Oct 2025) 33,755 LSOAs 2021</w:t>
            </w:r>
          </w:p>
        </w:tc>
        <w:tc>
          <w:tcPr>
            <w:tcW w:w="22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483E10E" w14:textId="77777777" w:rsidR="00293675" w:rsidRPr="00F2392D" w:rsidRDefault="00000000">
            <w:pPr>
              <w:rPr>
                <w:color w:val="000000" w:themeColor="text1"/>
              </w:rPr>
            </w:pPr>
            <w:r w:rsidRPr="00F2392D">
              <w:rPr>
                <w:rFonts w:eastAsia="Calibri"/>
                <w:color w:val="000000" w:themeColor="text1"/>
                <w:sz w:val="19"/>
                <w:szCs w:val="19"/>
              </w:rPr>
              <w:t>Income Score (rate) [0.002–0.998]</w:t>
            </w:r>
          </w:p>
        </w:tc>
        <w:tc>
          <w:tcPr>
            <w:tcW w:w="3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25DAF1A" w14:textId="77777777" w:rsidR="00293675" w:rsidRPr="00F2392D" w:rsidRDefault="00000000">
            <w:pPr>
              <w:rPr>
                <w:color w:val="000000" w:themeColor="text1"/>
              </w:rPr>
            </w:pPr>
            <w:r w:rsidRPr="00F2392D">
              <w:rPr>
                <w:rFonts w:eastAsia="Calibri"/>
                <w:color w:val="000000" w:themeColor="text1"/>
                <w:sz w:val="19"/>
                <w:szCs w:val="19"/>
              </w:rPr>
              <w:t>IMDᵢ — income deprivation proportion used directly as equity weight</w:t>
            </w:r>
          </w:p>
        </w:tc>
      </w:tr>
      <w:tr w:rsidR="00293675" w:rsidRPr="00F2392D" w14:paraId="3E2684B1" w14:textId="77777777" w:rsidTr="00F2392D">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2121A29" w14:textId="6B53500A" w:rsidR="00293675" w:rsidRPr="00F2392D" w:rsidRDefault="00000000">
            <w:pPr>
              <w:rPr>
                <w:color w:val="000000" w:themeColor="text1"/>
              </w:rPr>
            </w:pPr>
            <w:r w:rsidRPr="00F2392D">
              <w:rPr>
                <w:rFonts w:eastAsia="Calibri"/>
                <w:color w:val="000000" w:themeColor="text1"/>
                <w:sz w:val="19"/>
                <w:szCs w:val="19"/>
              </w:rPr>
              <w:t xml:space="preserve">join_august2025.csv </w:t>
            </w:r>
          </w:p>
        </w:tc>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B826100" w14:textId="77777777" w:rsidR="00293675" w:rsidRPr="00F2392D" w:rsidRDefault="00000000">
            <w:pPr>
              <w:rPr>
                <w:color w:val="000000" w:themeColor="text1"/>
              </w:rPr>
            </w:pPr>
            <w:r w:rsidRPr="00F2392D">
              <w:rPr>
                <w:rFonts w:eastAsia="Calibri"/>
                <w:color w:val="000000" w:themeColor="text1"/>
                <w:sz w:val="19"/>
                <w:szCs w:val="19"/>
              </w:rPr>
              <w:t>GLA/</w:t>
            </w:r>
            <w:proofErr w:type="spellStart"/>
            <w:r w:rsidRPr="00F2392D">
              <w:rPr>
                <w:rFonts w:eastAsia="Calibri"/>
                <w:color w:val="000000" w:themeColor="text1"/>
                <w:sz w:val="19"/>
                <w:szCs w:val="19"/>
              </w:rPr>
              <w:t>Zapmap</w:t>
            </w:r>
            <w:proofErr w:type="spellEnd"/>
            <w:r w:rsidRPr="00F2392D">
              <w:rPr>
                <w:rFonts w:eastAsia="Calibri"/>
                <w:color w:val="000000" w:themeColor="text1"/>
                <w:sz w:val="19"/>
                <w:szCs w:val="19"/>
              </w:rPr>
              <w:t xml:space="preserve"> Aug 4–10, 2025</w:t>
            </w:r>
          </w:p>
        </w:tc>
        <w:tc>
          <w:tcPr>
            <w:tcW w:w="22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3D00920" w14:textId="77777777" w:rsidR="00293675" w:rsidRPr="00F2392D" w:rsidRDefault="00000000">
            <w:pPr>
              <w:rPr>
                <w:color w:val="000000" w:themeColor="text1"/>
              </w:rPr>
            </w:pPr>
            <w:proofErr w:type="spellStart"/>
            <w:r w:rsidRPr="00F2392D">
              <w:rPr>
                <w:rFonts w:eastAsia="Calibri"/>
                <w:color w:val="000000" w:themeColor="text1"/>
                <w:sz w:val="19"/>
                <w:szCs w:val="19"/>
              </w:rPr>
              <w:t>evse_id</w:t>
            </w:r>
            <w:proofErr w:type="spellEnd"/>
            <w:r w:rsidRPr="00F2392D">
              <w:rPr>
                <w:rFonts w:eastAsia="Calibri"/>
                <w:color w:val="000000" w:themeColor="text1"/>
                <w:sz w:val="19"/>
                <w:szCs w:val="19"/>
              </w:rPr>
              <w:t xml:space="preserve">, </w:t>
            </w:r>
            <w:proofErr w:type="spellStart"/>
            <w:r w:rsidRPr="00F2392D">
              <w:rPr>
                <w:rFonts w:eastAsia="Calibri"/>
                <w:color w:val="000000" w:themeColor="text1"/>
                <w:sz w:val="19"/>
                <w:szCs w:val="19"/>
              </w:rPr>
              <w:t>lat</w:t>
            </w:r>
            <w:proofErr w:type="spellEnd"/>
            <w:r w:rsidRPr="00F2392D">
              <w:rPr>
                <w:rFonts w:eastAsia="Calibri"/>
                <w:color w:val="000000" w:themeColor="text1"/>
                <w:sz w:val="19"/>
                <w:szCs w:val="19"/>
              </w:rPr>
              <w:t>/</w:t>
            </w:r>
            <w:proofErr w:type="spellStart"/>
            <w:r w:rsidRPr="00F2392D">
              <w:rPr>
                <w:rFonts w:eastAsia="Calibri"/>
                <w:color w:val="000000" w:themeColor="text1"/>
                <w:sz w:val="19"/>
                <w:szCs w:val="19"/>
              </w:rPr>
              <w:t>lng</w:t>
            </w:r>
            <w:proofErr w:type="spellEnd"/>
            <w:r w:rsidRPr="00F2392D">
              <w:rPr>
                <w:rFonts w:eastAsia="Calibri"/>
                <w:color w:val="000000" w:themeColor="text1"/>
                <w:sz w:val="19"/>
                <w:szCs w:val="19"/>
              </w:rPr>
              <w:t xml:space="preserve">, </w:t>
            </w:r>
            <w:proofErr w:type="spellStart"/>
            <w:r w:rsidRPr="00F2392D">
              <w:rPr>
                <w:rFonts w:eastAsia="Calibri"/>
                <w:color w:val="000000" w:themeColor="text1"/>
                <w:sz w:val="19"/>
                <w:szCs w:val="19"/>
              </w:rPr>
              <w:t>location_c</w:t>
            </w:r>
            <w:proofErr w:type="spellEnd"/>
            <w:r w:rsidRPr="00F2392D">
              <w:rPr>
                <w:rFonts w:eastAsia="Calibri"/>
                <w:color w:val="000000" w:themeColor="text1"/>
                <w:sz w:val="19"/>
                <w:szCs w:val="19"/>
              </w:rPr>
              <w:t xml:space="preserve">, </w:t>
            </w:r>
            <w:proofErr w:type="spellStart"/>
            <w:r w:rsidRPr="00F2392D">
              <w:rPr>
                <w:rFonts w:eastAsia="Calibri"/>
                <w:color w:val="000000" w:themeColor="text1"/>
                <w:sz w:val="19"/>
                <w:szCs w:val="19"/>
              </w:rPr>
              <w:t>charing_start</w:t>
            </w:r>
            <w:proofErr w:type="spellEnd"/>
            <w:r w:rsidRPr="00F2392D">
              <w:rPr>
                <w:rFonts w:eastAsia="Calibri"/>
                <w:color w:val="000000" w:themeColor="text1"/>
                <w:sz w:val="19"/>
                <w:szCs w:val="19"/>
              </w:rPr>
              <w:t xml:space="preserve">, </w:t>
            </w:r>
            <w:proofErr w:type="spellStart"/>
            <w:r w:rsidRPr="00F2392D">
              <w:rPr>
                <w:rFonts w:eastAsia="Calibri"/>
                <w:color w:val="000000" w:themeColor="text1"/>
                <w:sz w:val="19"/>
                <w:szCs w:val="19"/>
              </w:rPr>
              <w:t>charging_duration</w:t>
            </w:r>
            <w:proofErr w:type="spellEnd"/>
            <w:r w:rsidRPr="00F2392D">
              <w:rPr>
                <w:rFonts w:eastAsia="Calibri"/>
                <w:color w:val="000000" w:themeColor="text1"/>
                <w:sz w:val="19"/>
                <w:szCs w:val="19"/>
              </w:rPr>
              <w:t xml:space="preserve">, </w:t>
            </w:r>
            <w:proofErr w:type="spellStart"/>
            <w:r w:rsidRPr="00F2392D">
              <w:rPr>
                <w:rFonts w:eastAsia="Calibri"/>
                <w:color w:val="000000" w:themeColor="text1"/>
                <w:sz w:val="19"/>
                <w:szCs w:val="19"/>
              </w:rPr>
              <w:t>power_band</w:t>
            </w:r>
            <w:proofErr w:type="spellEnd"/>
            <w:r w:rsidRPr="00F2392D">
              <w:rPr>
                <w:rFonts w:eastAsia="Calibri"/>
                <w:color w:val="000000" w:themeColor="text1"/>
                <w:sz w:val="19"/>
                <w:szCs w:val="19"/>
              </w:rPr>
              <w:t xml:space="preserve">, </w:t>
            </w:r>
            <w:proofErr w:type="spellStart"/>
            <w:r w:rsidRPr="00F2392D">
              <w:rPr>
                <w:rFonts w:eastAsia="Calibri"/>
                <w:color w:val="000000" w:themeColor="text1"/>
                <w:sz w:val="19"/>
                <w:szCs w:val="19"/>
              </w:rPr>
              <w:t>device_max_power</w:t>
            </w:r>
            <w:proofErr w:type="spellEnd"/>
          </w:p>
        </w:tc>
        <w:tc>
          <w:tcPr>
            <w:tcW w:w="3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EFAFF72" w14:textId="710FADEB" w:rsidR="00293675" w:rsidRPr="00F2392D" w:rsidRDefault="00000000">
            <w:pPr>
              <w:rPr>
                <w:color w:val="000000" w:themeColor="text1"/>
              </w:rPr>
            </w:pPr>
            <w:r w:rsidRPr="00F2392D">
              <w:rPr>
                <w:rFonts w:eastAsia="Calibri"/>
                <w:color w:val="000000" w:themeColor="text1"/>
                <w:sz w:val="19"/>
                <w:szCs w:val="19"/>
              </w:rPr>
              <w:t xml:space="preserve"> </w:t>
            </w:r>
            <w:proofErr w:type="spellStart"/>
            <w:r w:rsidRPr="00F2392D">
              <w:rPr>
                <w:rFonts w:eastAsia="Calibri"/>
                <w:color w:val="000000" w:themeColor="text1"/>
                <w:sz w:val="19"/>
                <w:szCs w:val="19"/>
              </w:rPr>
              <w:t>ur_j</w:t>
            </w:r>
            <w:proofErr w:type="spellEnd"/>
            <w:r w:rsidRPr="00F2392D">
              <w:rPr>
                <w:rFonts w:eastAsia="Calibri"/>
                <w:color w:val="000000" w:themeColor="text1"/>
                <w:sz w:val="19"/>
                <w:szCs w:val="19"/>
              </w:rPr>
              <w:t xml:space="preserve"> &amp; Sᵢᵉᶠᶠ computation; power EDA</w:t>
            </w:r>
          </w:p>
        </w:tc>
      </w:tr>
      <w:tr w:rsidR="00293675" w:rsidRPr="00F2392D" w14:paraId="7359C91D" w14:textId="77777777" w:rsidTr="00F2392D">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6BD50B1" w14:textId="77777777" w:rsidR="00293675" w:rsidRPr="00F2392D" w:rsidRDefault="00000000">
            <w:pPr>
              <w:rPr>
                <w:color w:val="000000" w:themeColor="text1"/>
              </w:rPr>
            </w:pPr>
            <w:proofErr w:type="spellStart"/>
            <w:r w:rsidRPr="00F2392D">
              <w:rPr>
                <w:rFonts w:eastAsia="Calibri"/>
                <w:color w:val="000000" w:themeColor="text1"/>
                <w:sz w:val="19"/>
                <w:szCs w:val="19"/>
              </w:rPr>
              <w:t>OpenStreetEV_GLA</w:t>
            </w:r>
            <w:proofErr w:type="spellEnd"/>
          </w:p>
        </w:tc>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7CD80B4" w14:textId="77777777" w:rsidR="00293675" w:rsidRPr="00F2392D" w:rsidRDefault="00000000">
            <w:pPr>
              <w:rPr>
                <w:color w:val="000000" w:themeColor="text1"/>
              </w:rPr>
            </w:pPr>
            <w:r w:rsidRPr="00F2392D">
              <w:rPr>
                <w:rFonts w:eastAsia="Calibri"/>
                <w:color w:val="000000" w:themeColor="text1"/>
                <w:sz w:val="19"/>
                <w:szCs w:val="19"/>
              </w:rPr>
              <w:t>GLA/</w:t>
            </w:r>
            <w:proofErr w:type="spellStart"/>
            <w:r w:rsidRPr="00F2392D">
              <w:rPr>
                <w:rFonts w:eastAsia="Calibri"/>
                <w:color w:val="000000" w:themeColor="text1"/>
                <w:sz w:val="19"/>
                <w:szCs w:val="19"/>
              </w:rPr>
              <w:t>Zapmap</w:t>
            </w:r>
            <w:proofErr w:type="spellEnd"/>
            <w:r w:rsidRPr="00F2392D">
              <w:rPr>
                <w:rFonts w:eastAsia="Calibri"/>
                <w:color w:val="000000" w:themeColor="text1"/>
                <w:sz w:val="19"/>
                <w:szCs w:val="19"/>
              </w:rPr>
              <w:t xml:space="preserve"> Restricted access</w:t>
            </w:r>
          </w:p>
        </w:tc>
        <w:tc>
          <w:tcPr>
            <w:tcW w:w="22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6B8B27B" w14:textId="77777777" w:rsidR="00513F5A" w:rsidRPr="00513F5A" w:rsidRDefault="00513F5A" w:rsidP="00513F5A">
            <w:pPr>
              <w:rPr>
                <w:rFonts w:eastAsia="Calibri"/>
                <w:color w:val="000000" w:themeColor="text1"/>
                <w:sz w:val="19"/>
                <w:szCs w:val="19"/>
              </w:rPr>
            </w:pPr>
            <w:proofErr w:type="spellStart"/>
            <w:r w:rsidRPr="00513F5A">
              <w:rPr>
                <w:rFonts w:eastAsia="Calibri"/>
                <w:color w:val="000000" w:themeColor="text1"/>
                <w:sz w:val="19"/>
                <w:szCs w:val="19"/>
              </w:rPr>
              <w:t>location_id</w:t>
            </w:r>
            <w:proofErr w:type="spellEnd"/>
            <w:r w:rsidRPr="00513F5A">
              <w:rPr>
                <w:rFonts w:eastAsia="Calibri"/>
                <w:color w:val="000000" w:themeColor="text1"/>
                <w:sz w:val="19"/>
                <w:szCs w:val="19"/>
              </w:rPr>
              <w:t>, latitude, longitude,</w:t>
            </w:r>
          </w:p>
          <w:p w14:paraId="71CF2A2B" w14:textId="56A40D92" w:rsidR="00293675" w:rsidRPr="00F2392D" w:rsidRDefault="00513F5A" w:rsidP="00513F5A">
            <w:pPr>
              <w:rPr>
                <w:color w:val="000000" w:themeColor="text1"/>
              </w:rPr>
            </w:pPr>
            <w:proofErr w:type="spellStart"/>
            <w:r w:rsidRPr="00513F5A">
              <w:rPr>
                <w:rFonts w:eastAsia="Calibri"/>
                <w:color w:val="000000" w:themeColor="text1"/>
                <w:sz w:val="19"/>
                <w:szCs w:val="19"/>
              </w:rPr>
              <w:t>location_category</w:t>
            </w:r>
            <w:proofErr w:type="spellEnd"/>
            <w:r w:rsidRPr="00513F5A">
              <w:rPr>
                <w:rFonts w:eastAsia="Calibri"/>
                <w:color w:val="000000" w:themeColor="text1"/>
                <w:sz w:val="19"/>
                <w:szCs w:val="19"/>
              </w:rPr>
              <w:t xml:space="preserve">, </w:t>
            </w:r>
            <w:proofErr w:type="spellStart"/>
            <w:r w:rsidRPr="00513F5A">
              <w:rPr>
                <w:rFonts w:eastAsia="Calibri"/>
                <w:color w:val="000000" w:themeColor="text1"/>
                <w:sz w:val="19"/>
                <w:szCs w:val="19"/>
              </w:rPr>
              <w:t>location_type</w:t>
            </w:r>
            <w:proofErr w:type="spellEnd"/>
            <w:r w:rsidRPr="00513F5A">
              <w:rPr>
                <w:rFonts w:eastAsia="Calibri"/>
                <w:color w:val="000000" w:themeColor="text1"/>
                <w:sz w:val="19"/>
                <w:szCs w:val="19"/>
              </w:rPr>
              <w:t>, borough</w:t>
            </w:r>
          </w:p>
        </w:tc>
        <w:tc>
          <w:tcPr>
            <w:tcW w:w="3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39196FA" w14:textId="1AA231E4" w:rsidR="00293675" w:rsidRPr="00F2392D" w:rsidRDefault="001F69FA">
            <w:pPr>
              <w:rPr>
                <w:color w:val="000000" w:themeColor="text1"/>
              </w:rPr>
            </w:pPr>
            <w:r w:rsidRPr="001F69FA">
              <w:rPr>
                <w:rFonts w:eastAsia="Calibri"/>
                <w:color w:val="000000" w:themeColor="text1"/>
                <w:sz w:val="19"/>
                <w:szCs w:val="19"/>
              </w:rPr>
              <w:t xml:space="preserve">Existing on-street charging location registry. Used to: (1) define 50 m exclusion buffer around all </w:t>
            </w:r>
            <w:proofErr w:type="spellStart"/>
            <w:r w:rsidRPr="001F69FA">
              <w:rPr>
                <w:rFonts w:eastAsia="Calibri"/>
                <w:color w:val="000000" w:themeColor="text1"/>
                <w:sz w:val="19"/>
                <w:szCs w:val="19"/>
              </w:rPr>
              <w:t>location_category</w:t>
            </w:r>
            <w:proofErr w:type="spellEnd"/>
            <w:r w:rsidRPr="001F69FA">
              <w:rPr>
                <w:rFonts w:eastAsia="Calibri"/>
                <w:color w:val="000000" w:themeColor="text1"/>
                <w:sz w:val="19"/>
                <w:szCs w:val="19"/>
              </w:rPr>
              <w:t xml:space="preserve"> = 'On-Street' records; (2) validate road-segment physical feasibility as a reference.</w:t>
            </w:r>
            <w:r w:rsidR="00E95CE5">
              <w:rPr>
                <w:rFonts w:eastAsia="Calibri" w:hint="eastAsia"/>
                <w:color w:val="000000" w:themeColor="text1"/>
                <w:sz w:val="19"/>
                <w:szCs w:val="19"/>
              </w:rPr>
              <w:t xml:space="preserve"> </w:t>
            </w:r>
            <w:r w:rsidR="00E95CE5" w:rsidRPr="00E95CE5">
              <w:rPr>
                <w:rFonts w:eastAsia="Calibri"/>
                <w:color w:val="000000" w:themeColor="text1"/>
                <w:sz w:val="19"/>
                <w:szCs w:val="19"/>
              </w:rPr>
              <w:t>Not a candidate site source.</w:t>
            </w:r>
          </w:p>
        </w:tc>
      </w:tr>
      <w:tr w:rsidR="00293675" w:rsidRPr="00F2392D" w14:paraId="0D930C63" w14:textId="77777777" w:rsidTr="00F2392D">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68544A3" w14:textId="77777777" w:rsidR="00293675" w:rsidRPr="00F2392D" w:rsidRDefault="00000000">
            <w:pPr>
              <w:rPr>
                <w:color w:val="000000" w:themeColor="text1"/>
              </w:rPr>
            </w:pPr>
            <w:r w:rsidRPr="00F2392D">
              <w:rPr>
                <w:rFonts w:eastAsia="Calibri"/>
                <w:color w:val="000000" w:themeColor="text1"/>
                <w:sz w:val="19"/>
                <w:szCs w:val="19"/>
              </w:rPr>
              <w:t>OSM Highway Network</w:t>
            </w:r>
          </w:p>
        </w:tc>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1A6F8A8" w14:textId="77777777" w:rsidR="00293675" w:rsidRPr="00F2392D" w:rsidRDefault="00000000">
            <w:pPr>
              <w:rPr>
                <w:color w:val="000000" w:themeColor="text1"/>
              </w:rPr>
            </w:pPr>
            <w:proofErr w:type="spellStart"/>
            <w:r w:rsidRPr="00F2392D">
              <w:rPr>
                <w:rFonts w:eastAsia="Calibri"/>
                <w:color w:val="000000" w:themeColor="text1"/>
                <w:sz w:val="19"/>
                <w:szCs w:val="19"/>
              </w:rPr>
              <w:t>Geofabrik</w:t>
            </w:r>
            <w:proofErr w:type="spellEnd"/>
            <w:r w:rsidRPr="00F2392D">
              <w:rPr>
                <w:rFonts w:eastAsia="Calibri"/>
                <w:color w:val="000000" w:themeColor="text1"/>
                <w:sz w:val="19"/>
                <w:szCs w:val="19"/>
              </w:rPr>
              <w:t xml:space="preserve"> London (2024)</w:t>
            </w:r>
          </w:p>
        </w:tc>
        <w:tc>
          <w:tcPr>
            <w:tcW w:w="22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D9E1DE6" w14:textId="77777777" w:rsidR="00293675" w:rsidRPr="00F2392D" w:rsidRDefault="00000000">
            <w:pPr>
              <w:rPr>
                <w:color w:val="000000" w:themeColor="text1"/>
              </w:rPr>
            </w:pPr>
            <w:r w:rsidRPr="00F2392D">
              <w:rPr>
                <w:rFonts w:eastAsia="Calibri"/>
                <w:color w:val="000000" w:themeColor="text1"/>
                <w:sz w:val="19"/>
                <w:szCs w:val="19"/>
              </w:rPr>
              <w:t xml:space="preserve">highway </w:t>
            </w:r>
            <w:proofErr w:type="spellStart"/>
            <w:r w:rsidRPr="00F2392D">
              <w:rPr>
                <w:rFonts w:eastAsia="Calibri"/>
                <w:color w:val="000000" w:themeColor="text1"/>
                <w:sz w:val="19"/>
                <w:szCs w:val="19"/>
              </w:rPr>
              <w:t>linestrings</w:t>
            </w:r>
            <w:proofErr w:type="spellEnd"/>
            <w:r w:rsidRPr="00F2392D">
              <w:rPr>
                <w:rFonts w:eastAsia="Calibri"/>
                <w:color w:val="000000" w:themeColor="text1"/>
                <w:sz w:val="19"/>
                <w:szCs w:val="19"/>
              </w:rPr>
              <w:t xml:space="preserve">, </w:t>
            </w:r>
            <w:proofErr w:type="spellStart"/>
            <w:proofErr w:type="gramStart"/>
            <w:r w:rsidRPr="00F2392D">
              <w:rPr>
                <w:rFonts w:eastAsia="Calibri"/>
                <w:color w:val="000000" w:themeColor="text1"/>
                <w:sz w:val="19"/>
                <w:szCs w:val="19"/>
              </w:rPr>
              <w:t>parking:lane</w:t>
            </w:r>
            <w:proofErr w:type="spellEnd"/>
            <w:proofErr w:type="gramEnd"/>
            <w:r w:rsidRPr="00F2392D">
              <w:rPr>
                <w:rFonts w:eastAsia="Calibri"/>
                <w:color w:val="000000" w:themeColor="text1"/>
                <w:sz w:val="19"/>
                <w:szCs w:val="19"/>
              </w:rPr>
              <w:t xml:space="preserve"> tags</w:t>
            </w:r>
          </w:p>
        </w:tc>
        <w:tc>
          <w:tcPr>
            <w:tcW w:w="3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5EDC45E" w14:textId="77777777" w:rsidR="00293675" w:rsidRPr="00F2392D" w:rsidRDefault="00000000">
            <w:pPr>
              <w:rPr>
                <w:color w:val="000000" w:themeColor="text1"/>
              </w:rPr>
            </w:pPr>
            <w:r w:rsidRPr="00F2392D">
              <w:rPr>
                <w:rFonts w:eastAsia="Calibri"/>
                <w:color w:val="000000" w:themeColor="text1"/>
                <w:sz w:val="19"/>
                <w:szCs w:val="19"/>
              </w:rPr>
              <w:t>Candidate site generation (Source 2): roads with confirmed on-street parking</w:t>
            </w:r>
          </w:p>
        </w:tc>
      </w:tr>
      <w:tr w:rsidR="00293675" w:rsidRPr="00F2392D" w14:paraId="1A23BEB3" w14:textId="77777777" w:rsidTr="00F2392D">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D4EFB51" w14:textId="77777777" w:rsidR="00293675" w:rsidRPr="00F2392D" w:rsidRDefault="00000000">
            <w:pPr>
              <w:rPr>
                <w:color w:val="000000" w:themeColor="text1"/>
              </w:rPr>
            </w:pPr>
            <w:r w:rsidRPr="00F2392D">
              <w:rPr>
                <w:rFonts w:eastAsia="Calibri"/>
                <w:color w:val="000000" w:themeColor="text1"/>
                <w:sz w:val="19"/>
                <w:szCs w:val="19"/>
              </w:rPr>
              <w:t>ONS LSOA 2021 Boundaries</w:t>
            </w:r>
          </w:p>
        </w:tc>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A0C4BF6" w14:textId="77777777" w:rsidR="00293675" w:rsidRPr="00F2392D" w:rsidRDefault="00000000">
            <w:pPr>
              <w:rPr>
                <w:color w:val="000000" w:themeColor="text1"/>
              </w:rPr>
            </w:pPr>
            <w:r w:rsidRPr="00F2392D">
              <w:rPr>
                <w:rFonts w:eastAsia="Calibri"/>
                <w:color w:val="000000" w:themeColor="text1"/>
                <w:sz w:val="19"/>
                <w:szCs w:val="19"/>
              </w:rPr>
              <w:t>ONS Census 2021</w:t>
            </w:r>
          </w:p>
        </w:tc>
        <w:tc>
          <w:tcPr>
            <w:tcW w:w="22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4CAE7AD" w14:textId="77777777" w:rsidR="00293675" w:rsidRPr="00F2392D" w:rsidRDefault="00000000">
            <w:pPr>
              <w:rPr>
                <w:color w:val="000000" w:themeColor="text1"/>
              </w:rPr>
            </w:pPr>
            <w:r w:rsidRPr="00F2392D">
              <w:rPr>
                <w:rFonts w:eastAsia="Calibri"/>
                <w:color w:val="000000" w:themeColor="text1"/>
                <w:sz w:val="19"/>
                <w:szCs w:val="19"/>
              </w:rPr>
              <w:t>LSOA21CD, geometry</w:t>
            </w:r>
          </w:p>
        </w:tc>
        <w:tc>
          <w:tcPr>
            <w:tcW w:w="3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7267A03" w14:textId="77777777" w:rsidR="00293675" w:rsidRPr="00F2392D" w:rsidRDefault="00000000">
            <w:pPr>
              <w:rPr>
                <w:color w:val="000000" w:themeColor="text1"/>
              </w:rPr>
            </w:pPr>
            <w:r w:rsidRPr="00F2392D">
              <w:rPr>
                <w:rFonts w:eastAsia="Calibri"/>
                <w:color w:val="000000" w:themeColor="text1"/>
                <w:sz w:val="19"/>
                <w:szCs w:val="19"/>
              </w:rPr>
              <w:t>Spatial join backbone; LSOA centroids as demand nodes I</w:t>
            </w:r>
          </w:p>
        </w:tc>
      </w:tr>
      <w:tr w:rsidR="00293675" w:rsidRPr="00F2392D" w14:paraId="1CD0870B" w14:textId="77777777" w:rsidTr="00F2392D">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857AB5F" w14:textId="77777777" w:rsidR="00293675" w:rsidRPr="00F2392D" w:rsidRDefault="00000000">
            <w:pPr>
              <w:rPr>
                <w:color w:val="000000" w:themeColor="text1"/>
              </w:rPr>
            </w:pPr>
            <w:proofErr w:type="spellStart"/>
            <w:r w:rsidRPr="00F2392D">
              <w:rPr>
                <w:rFonts w:eastAsia="Calibri"/>
                <w:color w:val="000000" w:themeColor="text1"/>
                <w:sz w:val="19"/>
                <w:szCs w:val="19"/>
              </w:rPr>
              <w:t>DfT</w:t>
            </w:r>
            <w:proofErr w:type="spellEnd"/>
            <w:r w:rsidRPr="00F2392D">
              <w:rPr>
                <w:rFonts w:eastAsia="Calibri"/>
                <w:color w:val="000000" w:themeColor="text1"/>
                <w:sz w:val="19"/>
                <w:szCs w:val="19"/>
              </w:rPr>
              <w:t xml:space="preserve"> EV Tracker Y1</w:t>
            </w:r>
          </w:p>
        </w:tc>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6564D42" w14:textId="77777777" w:rsidR="00293675" w:rsidRPr="00F2392D" w:rsidRDefault="00000000">
            <w:pPr>
              <w:rPr>
                <w:color w:val="000000" w:themeColor="text1"/>
              </w:rPr>
            </w:pPr>
            <w:r w:rsidRPr="00F2392D">
              <w:rPr>
                <w:rFonts w:eastAsia="Calibri"/>
                <w:color w:val="000000" w:themeColor="text1"/>
                <w:sz w:val="19"/>
                <w:szCs w:val="19"/>
              </w:rPr>
              <w:t xml:space="preserve">Ipsos for </w:t>
            </w:r>
            <w:proofErr w:type="spellStart"/>
            <w:r w:rsidRPr="00F2392D">
              <w:rPr>
                <w:rFonts w:eastAsia="Calibri"/>
                <w:color w:val="000000" w:themeColor="text1"/>
                <w:sz w:val="19"/>
                <w:szCs w:val="19"/>
              </w:rPr>
              <w:t>DfT</w:t>
            </w:r>
            <w:proofErr w:type="spellEnd"/>
            <w:r w:rsidRPr="00F2392D">
              <w:rPr>
                <w:rFonts w:eastAsia="Calibri"/>
                <w:color w:val="000000" w:themeColor="text1"/>
                <w:sz w:val="19"/>
                <w:szCs w:val="19"/>
              </w:rPr>
              <w:t xml:space="preserve"> (2024) §8.5 travel diary n ≈ 627 BEV</w:t>
            </w:r>
          </w:p>
        </w:tc>
        <w:tc>
          <w:tcPr>
            <w:tcW w:w="22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7DE861D" w14:textId="77777777" w:rsidR="00293675" w:rsidRPr="00F2392D" w:rsidRDefault="00000000">
            <w:pPr>
              <w:rPr>
                <w:color w:val="000000" w:themeColor="text1"/>
              </w:rPr>
            </w:pPr>
            <w:r w:rsidRPr="00F2392D">
              <w:rPr>
                <w:rFonts w:eastAsia="Calibri"/>
                <w:color w:val="000000" w:themeColor="text1"/>
                <w:sz w:val="19"/>
                <w:szCs w:val="19"/>
              </w:rPr>
              <w:t>Charging frequency, location type</w:t>
            </w:r>
          </w:p>
        </w:tc>
        <w:tc>
          <w:tcPr>
            <w:tcW w:w="3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ECBD5A8" w14:textId="77777777" w:rsidR="00293675" w:rsidRPr="00F2392D" w:rsidRDefault="00000000">
            <w:pPr>
              <w:rPr>
                <w:color w:val="000000" w:themeColor="text1"/>
              </w:rPr>
            </w:pPr>
            <w:proofErr w:type="spellStart"/>
            <w:r w:rsidRPr="00F2392D">
              <w:rPr>
                <w:rFonts w:eastAsia="Calibri"/>
                <w:color w:val="000000" w:themeColor="text1"/>
                <w:sz w:val="19"/>
                <w:szCs w:val="19"/>
              </w:rPr>
              <w:t>Ppub</w:t>
            </w:r>
            <w:proofErr w:type="spellEnd"/>
            <w:r w:rsidRPr="00F2392D">
              <w:rPr>
                <w:rFonts w:eastAsia="Calibri"/>
                <w:color w:val="000000" w:themeColor="text1"/>
                <w:sz w:val="19"/>
                <w:szCs w:val="19"/>
              </w:rPr>
              <w:t xml:space="preserve"> = 0.40 calibration (1.8 ÷ 4.4 events); NTS 2024 Table NTS0909 cross-validates</w:t>
            </w:r>
          </w:p>
        </w:tc>
      </w:tr>
      <w:tr w:rsidR="00293675" w:rsidRPr="00F2392D" w14:paraId="7BF372E6" w14:textId="77777777" w:rsidTr="00F2392D">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6D971F6" w14:textId="77777777" w:rsidR="00293675" w:rsidRPr="00F2392D" w:rsidRDefault="00000000">
            <w:pPr>
              <w:rPr>
                <w:color w:val="000000" w:themeColor="text1"/>
              </w:rPr>
            </w:pPr>
            <w:r w:rsidRPr="00F2392D">
              <w:rPr>
                <w:rFonts w:eastAsia="Calibri"/>
                <w:color w:val="000000" w:themeColor="text1"/>
                <w:sz w:val="19"/>
                <w:szCs w:val="19"/>
              </w:rPr>
              <w:t>TfL EV Strategy 2025</w:t>
            </w:r>
          </w:p>
        </w:tc>
        <w:tc>
          <w:tcPr>
            <w:tcW w:w="16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EF5B059" w14:textId="77777777" w:rsidR="00293675" w:rsidRPr="00F2392D" w:rsidRDefault="00000000">
            <w:pPr>
              <w:rPr>
                <w:color w:val="000000" w:themeColor="text1"/>
              </w:rPr>
            </w:pPr>
            <w:r w:rsidRPr="00F2392D">
              <w:rPr>
                <w:rFonts w:eastAsia="Calibri"/>
                <w:color w:val="000000" w:themeColor="text1"/>
                <w:sz w:val="19"/>
                <w:szCs w:val="19"/>
              </w:rPr>
              <w:t>TfL / GLA (2025)</w:t>
            </w:r>
          </w:p>
        </w:tc>
        <w:tc>
          <w:tcPr>
            <w:tcW w:w="222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27B3933" w14:textId="77777777" w:rsidR="00293675" w:rsidRPr="00F2392D" w:rsidRDefault="00000000">
            <w:pPr>
              <w:rPr>
                <w:color w:val="000000" w:themeColor="text1"/>
              </w:rPr>
            </w:pPr>
            <w:r w:rsidRPr="00F2392D">
              <w:rPr>
                <w:rFonts w:eastAsia="Calibri"/>
                <w:color w:val="000000" w:themeColor="text1"/>
                <w:sz w:val="19"/>
                <w:szCs w:val="19"/>
              </w:rPr>
              <w:t xml:space="preserve">Borough </w:t>
            </w:r>
            <w:proofErr w:type="spellStart"/>
            <w:r w:rsidRPr="00F2392D">
              <w:rPr>
                <w:rFonts w:eastAsia="Calibri"/>
                <w:color w:val="000000" w:themeColor="text1"/>
                <w:sz w:val="19"/>
                <w:szCs w:val="19"/>
              </w:rPr>
              <w:t>chargepoint</w:t>
            </w:r>
            <w:proofErr w:type="spellEnd"/>
            <w:r w:rsidRPr="00F2392D">
              <w:rPr>
                <w:rFonts w:eastAsia="Calibri"/>
                <w:color w:val="000000" w:themeColor="text1"/>
                <w:sz w:val="19"/>
                <w:szCs w:val="19"/>
              </w:rPr>
              <w:t xml:space="preserve"> targets 2030/2035</w:t>
            </w:r>
          </w:p>
        </w:tc>
        <w:tc>
          <w:tcPr>
            <w:tcW w:w="39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C4E1E77" w14:textId="77777777" w:rsidR="00293675" w:rsidRPr="00F2392D" w:rsidRDefault="00000000">
            <w:pPr>
              <w:rPr>
                <w:color w:val="000000" w:themeColor="text1"/>
              </w:rPr>
            </w:pPr>
            <w:r w:rsidRPr="00F2392D">
              <w:rPr>
                <w:rFonts w:eastAsia="Calibri"/>
                <w:color w:val="000000" w:themeColor="text1"/>
                <w:sz w:val="19"/>
                <w:szCs w:val="19"/>
              </w:rPr>
              <w:t>Policy validation: compare outputs vs 43–51k target (R005)</w:t>
            </w:r>
          </w:p>
        </w:tc>
      </w:tr>
    </w:tbl>
    <w:p w14:paraId="458BE02F" w14:textId="77777777" w:rsidR="00293675" w:rsidRDefault="00293675">
      <w:pPr>
        <w:spacing w:after="120"/>
      </w:pPr>
    </w:p>
    <w:p w14:paraId="5F71BD42" w14:textId="37919B5E" w:rsidR="005D5EBB" w:rsidRPr="005D5EBB" w:rsidRDefault="00000000" w:rsidP="00DE1833">
      <w:pPr>
        <w:pStyle w:val="1"/>
        <w:spacing w:before="300" w:after="120"/>
        <w:rPr>
          <w:rFonts w:hint="eastAsia"/>
        </w:rPr>
      </w:pPr>
      <w:r>
        <w:t>5.  Methodology</w:t>
      </w:r>
    </w:p>
    <w:p w14:paraId="5FEBA021" w14:textId="7CBFA6DF" w:rsidR="00293675" w:rsidRDefault="0051657E">
      <w:pPr>
        <w:spacing w:before="100" w:after="40"/>
        <w:jc w:val="center"/>
      </w:pPr>
      <w:r w:rsidRPr="0051657E">
        <w:rPr>
          <w:noProof/>
        </w:rPr>
        <w:drawing>
          <wp:inline distT="0" distB="0" distL="0" distR="0" wp14:anchorId="199ABFF5" wp14:editId="5308B67C">
            <wp:extent cx="6188710" cy="1778000"/>
            <wp:effectExtent l="0" t="0" r="0" b="0"/>
            <wp:docPr id="175554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4818" name=""/>
                    <pic:cNvPicPr/>
                  </pic:nvPicPr>
                  <pic:blipFill>
                    <a:blip r:embed="rId7"/>
                    <a:stretch>
                      <a:fillRect/>
                    </a:stretch>
                  </pic:blipFill>
                  <pic:spPr>
                    <a:xfrm>
                      <a:off x="0" y="0"/>
                      <a:ext cx="6188710" cy="1778000"/>
                    </a:xfrm>
                    <a:prstGeom prst="rect">
                      <a:avLst/>
                    </a:prstGeom>
                  </pic:spPr>
                </pic:pic>
              </a:graphicData>
            </a:graphic>
          </wp:inline>
        </w:drawing>
      </w:r>
    </w:p>
    <w:p w14:paraId="6D6B0154" w14:textId="77777777" w:rsidR="00293675" w:rsidRDefault="00000000">
      <w:pPr>
        <w:spacing w:before="20" w:after="140"/>
        <w:jc w:val="center"/>
      </w:pPr>
      <w:r>
        <w:rPr>
          <w:rFonts w:eastAsia="Calibri"/>
          <w:color w:val="555555"/>
          <w:sz w:val="18"/>
          <w:szCs w:val="18"/>
        </w:rPr>
        <w:t>Figure 2: Six-phase analytical pipeline — Camden toy model validates the full pipeline before scaling to Greater London</w:t>
      </w:r>
    </w:p>
    <w:p w14:paraId="3D1EF092" w14:textId="77777777" w:rsidR="00293675" w:rsidRDefault="00293675">
      <w:pPr>
        <w:spacing w:after="80"/>
      </w:pPr>
    </w:p>
    <w:p w14:paraId="66FFF105" w14:textId="77777777" w:rsidR="00293675" w:rsidRDefault="00000000">
      <w:pPr>
        <w:pStyle w:val="2"/>
      </w:pPr>
      <w:proofErr w:type="gramStart"/>
      <w:r>
        <w:t>5.1  Phase</w:t>
      </w:r>
      <w:proofErr w:type="gramEnd"/>
      <w:r>
        <w:t xml:space="preserve"> 1: Demand Estimation</w:t>
      </w:r>
    </w:p>
    <w:p w14:paraId="1A98FF92" w14:textId="699B0591" w:rsidR="00293675" w:rsidRDefault="00000000" w:rsidP="007B5F68">
      <w:pPr>
        <w:spacing w:before="60" w:after="80"/>
        <w:jc w:val="both"/>
      </w:pPr>
      <w:r>
        <w:rPr>
          <w:rFonts w:eastAsia="Calibri"/>
          <w:color w:val="1A1A1A"/>
        </w:rPr>
        <w:t xml:space="preserve">The equity-adjusted demand weight per LSOA </w:t>
      </w:r>
      <w:proofErr w:type="spellStart"/>
      <w:r>
        <w:rPr>
          <w:rFonts w:eastAsia="Calibri"/>
          <w:color w:val="1A1A1A"/>
        </w:rPr>
        <w:t>i</w:t>
      </w:r>
      <w:proofErr w:type="spellEnd"/>
      <w:r>
        <w:rPr>
          <w:rFonts w:eastAsia="Calibri"/>
          <w:color w:val="1A1A1A"/>
        </w:rPr>
        <w:t>:</w:t>
      </w:r>
    </w:p>
    <w:p w14:paraId="7A914A9E" w14:textId="77777777" w:rsidR="00293675" w:rsidRDefault="00000000">
      <w:pPr>
        <w:spacing w:before="120" w:after="120"/>
        <w:jc w:val="center"/>
      </w:pPr>
      <w:proofErr w:type="gramStart"/>
      <w:r>
        <w:rPr>
          <w:rFonts w:eastAsia="Calibri"/>
          <w:b/>
          <w:bCs/>
          <w:color w:val="111111"/>
          <w:sz w:val="26"/>
          <w:szCs w:val="26"/>
        </w:rPr>
        <w:t>Dᵢ  =</w:t>
      </w:r>
      <w:proofErr w:type="gramEnd"/>
      <w:r>
        <w:rPr>
          <w:rFonts w:eastAsia="Calibri"/>
          <w:b/>
          <w:bCs/>
          <w:color w:val="111111"/>
          <w:sz w:val="26"/>
          <w:szCs w:val="26"/>
        </w:rPr>
        <w:t xml:space="preserve">  </w:t>
      </w:r>
      <w:proofErr w:type="gramStart"/>
      <w:r>
        <w:rPr>
          <w:rFonts w:eastAsia="Calibri"/>
          <w:b/>
          <w:bCs/>
          <w:color w:val="111111"/>
          <w:sz w:val="26"/>
          <w:szCs w:val="26"/>
        </w:rPr>
        <w:t>Pᵢ  ×</w:t>
      </w:r>
      <w:proofErr w:type="gramEnd"/>
      <w:r>
        <w:rPr>
          <w:rFonts w:eastAsia="Calibri"/>
          <w:b/>
          <w:bCs/>
          <w:color w:val="111111"/>
          <w:sz w:val="26"/>
          <w:szCs w:val="26"/>
        </w:rPr>
        <w:t xml:space="preserve">  </w:t>
      </w:r>
      <w:proofErr w:type="gramStart"/>
      <w:r>
        <w:rPr>
          <w:rFonts w:eastAsia="Calibri"/>
          <w:b/>
          <w:bCs/>
          <w:color w:val="111111"/>
          <w:sz w:val="26"/>
          <w:szCs w:val="26"/>
        </w:rPr>
        <w:t>Pd  ×</w:t>
      </w:r>
      <w:proofErr w:type="gramEnd"/>
      <w:r>
        <w:rPr>
          <w:rFonts w:eastAsia="Calibri"/>
          <w:b/>
          <w:bCs/>
          <w:color w:val="111111"/>
          <w:sz w:val="26"/>
          <w:szCs w:val="26"/>
        </w:rPr>
        <w:t xml:space="preserve">  </w:t>
      </w:r>
      <w:proofErr w:type="spellStart"/>
      <w:proofErr w:type="gramStart"/>
      <w:r>
        <w:rPr>
          <w:rFonts w:eastAsia="Calibri"/>
          <w:b/>
          <w:bCs/>
          <w:color w:val="111111"/>
          <w:sz w:val="26"/>
          <w:szCs w:val="26"/>
        </w:rPr>
        <w:t>Ppub</w:t>
      </w:r>
      <w:proofErr w:type="spellEnd"/>
      <w:r>
        <w:rPr>
          <w:rFonts w:eastAsia="Calibri"/>
          <w:b/>
          <w:bCs/>
          <w:color w:val="111111"/>
          <w:sz w:val="26"/>
          <w:szCs w:val="26"/>
        </w:rPr>
        <w:t xml:space="preserve">  ×</w:t>
      </w:r>
      <w:proofErr w:type="gramEnd"/>
      <w:r>
        <w:rPr>
          <w:rFonts w:eastAsia="Calibri"/>
          <w:b/>
          <w:bCs/>
          <w:color w:val="111111"/>
          <w:sz w:val="26"/>
          <w:szCs w:val="26"/>
        </w:rPr>
        <w:t xml:space="preserve">  (</w:t>
      </w:r>
      <w:proofErr w:type="gramStart"/>
      <w:r>
        <w:rPr>
          <w:rFonts w:eastAsia="Calibri"/>
          <w:b/>
          <w:bCs/>
          <w:color w:val="111111"/>
          <w:sz w:val="26"/>
          <w:szCs w:val="26"/>
        </w:rPr>
        <w:t>1  +</w:t>
      </w:r>
      <w:proofErr w:type="gramEnd"/>
      <w:r>
        <w:rPr>
          <w:rFonts w:eastAsia="Calibri"/>
          <w:b/>
          <w:bCs/>
          <w:color w:val="111111"/>
          <w:sz w:val="26"/>
          <w:szCs w:val="26"/>
        </w:rPr>
        <w:t xml:space="preserve">  </w:t>
      </w:r>
      <w:proofErr w:type="gramStart"/>
      <w:r>
        <w:rPr>
          <w:rFonts w:eastAsia="Calibri"/>
          <w:b/>
          <w:bCs/>
          <w:color w:val="111111"/>
          <w:sz w:val="26"/>
          <w:szCs w:val="26"/>
        </w:rPr>
        <w:t>α  ×</w:t>
      </w:r>
      <w:proofErr w:type="gramEnd"/>
      <w:r>
        <w:rPr>
          <w:rFonts w:eastAsia="Calibri"/>
          <w:b/>
          <w:bCs/>
          <w:color w:val="111111"/>
          <w:sz w:val="26"/>
          <w:szCs w:val="26"/>
        </w:rPr>
        <w:t xml:space="preserve">  IMDᵢ)</w:t>
      </w:r>
    </w:p>
    <w:p w14:paraId="32E893A6" w14:textId="61DD8995" w:rsidR="00293675" w:rsidRDefault="00797E01">
      <w:pPr>
        <w:spacing w:before="100" w:after="40"/>
        <w:jc w:val="center"/>
      </w:pPr>
      <w:r w:rsidRPr="00797E01">
        <w:rPr>
          <w:noProof/>
        </w:rPr>
        <w:drawing>
          <wp:inline distT="0" distB="0" distL="0" distR="0" wp14:anchorId="51EEA545" wp14:editId="10DBF89E">
            <wp:extent cx="6188710" cy="1782445"/>
            <wp:effectExtent l="0" t="0" r="0" b="0"/>
            <wp:docPr id="13171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774" name=""/>
                    <pic:cNvPicPr/>
                  </pic:nvPicPr>
                  <pic:blipFill>
                    <a:blip r:embed="rId8"/>
                    <a:stretch>
                      <a:fillRect/>
                    </a:stretch>
                  </pic:blipFill>
                  <pic:spPr>
                    <a:xfrm>
                      <a:off x="0" y="0"/>
                      <a:ext cx="6188710" cy="1782445"/>
                    </a:xfrm>
                    <a:prstGeom prst="rect">
                      <a:avLst/>
                    </a:prstGeom>
                  </pic:spPr>
                </pic:pic>
              </a:graphicData>
            </a:graphic>
          </wp:inline>
        </w:drawing>
      </w:r>
    </w:p>
    <w:p w14:paraId="1F7511B6" w14:textId="77777777" w:rsidR="00293675" w:rsidRDefault="00000000">
      <w:pPr>
        <w:spacing w:before="20" w:after="140"/>
        <w:jc w:val="center"/>
      </w:pPr>
      <w:r>
        <w:rPr>
          <w:rFonts w:eastAsia="Calibri"/>
          <w:color w:val="555555"/>
          <w:sz w:val="18"/>
          <w:szCs w:val="18"/>
        </w:rPr>
        <w:t>Figure 3: Demand formula components, data sources, and calibration values</w:t>
      </w:r>
    </w:p>
    <w:p w14:paraId="693534C1" w14:textId="6835D164" w:rsidR="00293675" w:rsidRDefault="007436B9" w:rsidP="007436B9">
      <w:pPr>
        <w:spacing w:after="60"/>
        <w:jc w:val="center"/>
      </w:pPr>
      <w:r w:rsidRPr="007436B9">
        <w:rPr>
          <w:noProof/>
        </w:rPr>
        <w:drawing>
          <wp:inline distT="0" distB="0" distL="0" distR="0" wp14:anchorId="73AEDC57" wp14:editId="54EA8869">
            <wp:extent cx="2857500" cy="1600200"/>
            <wp:effectExtent l="0" t="0" r="0" b="0"/>
            <wp:docPr id="1995004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04432" name=""/>
                    <pic:cNvPicPr/>
                  </pic:nvPicPr>
                  <pic:blipFill rotWithShape="1">
                    <a:blip r:embed="rId9"/>
                    <a:srcRect r="53827" b="32638"/>
                    <a:stretch>
                      <a:fillRect/>
                    </a:stretch>
                  </pic:blipFill>
                  <pic:spPr bwMode="auto">
                    <a:xfrm>
                      <a:off x="0" y="0"/>
                      <a:ext cx="2857500" cy="1600200"/>
                    </a:xfrm>
                    <a:prstGeom prst="rect">
                      <a:avLst/>
                    </a:prstGeom>
                    <a:ln>
                      <a:noFill/>
                    </a:ln>
                    <a:extLst>
                      <a:ext uri="{53640926-AAD7-44D8-BBD7-CCE9431645EC}">
                        <a14:shadowObscured xmlns:a14="http://schemas.microsoft.com/office/drawing/2010/main"/>
                      </a:ext>
                    </a:extLst>
                  </pic:spPr>
                </pic:pic>
              </a:graphicData>
            </a:graphic>
          </wp:inline>
        </w:drawing>
      </w:r>
    </w:p>
    <w:p w14:paraId="6ED4BC73" w14:textId="77777777" w:rsidR="00A940A6" w:rsidRDefault="00A940A6" w:rsidP="00A940A6">
      <w:pPr>
        <w:spacing w:after="60"/>
      </w:pPr>
    </w:p>
    <w:p w14:paraId="5B723F8D" w14:textId="6326C4D5" w:rsidR="00293675" w:rsidRDefault="007B5F68">
      <w:pPr>
        <w:pStyle w:val="a4"/>
        <w:numPr>
          <w:ilvl w:val="0"/>
          <w:numId w:val="2"/>
        </w:numPr>
        <w:spacing w:before="30" w:after="50"/>
      </w:pPr>
      <w:proofErr w:type="gramStart"/>
      <w:r>
        <w:rPr>
          <w:rFonts w:eastAsia="Calibri"/>
          <w:b/>
          <w:bCs/>
          <w:color w:val="111111"/>
          <w:sz w:val="26"/>
          <w:szCs w:val="26"/>
        </w:rPr>
        <w:t xml:space="preserve">Pᵢ  </w:t>
      </w:r>
      <w:r>
        <w:rPr>
          <w:rFonts w:eastAsia="Calibri"/>
          <w:color w:val="1A1A1A"/>
        </w:rPr>
        <w:t>Driving</w:t>
      </w:r>
      <w:proofErr w:type="gramEnd"/>
      <w:r>
        <w:rPr>
          <w:rFonts w:eastAsia="Calibri"/>
          <w:color w:val="1A1A1A"/>
        </w:rPr>
        <w:t xml:space="preserve">-age population (17+), Census 2021 TS007. The 17-year threshold reflects UK statutory minimum age for a Category B </w:t>
      </w:r>
      <w:proofErr w:type="spellStart"/>
      <w:r>
        <w:rPr>
          <w:rFonts w:eastAsia="Calibri"/>
          <w:color w:val="1A1A1A"/>
        </w:rPr>
        <w:t>licence</w:t>
      </w:r>
      <w:proofErr w:type="spellEnd"/>
      <w:r>
        <w:rPr>
          <w:rFonts w:eastAsia="Calibri"/>
          <w:color w:val="1A1A1A"/>
        </w:rPr>
        <w:t xml:space="preserve"> (Road Traffic Act 1988). Pᵢ is a demand proxy, not a social benefit proxy.</w:t>
      </w:r>
    </w:p>
    <w:p w14:paraId="48FCF2E4" w14:textId="3FC3AF3D" w:rsidR="00293675" w:rsidRDefault="007B5F68">
      <w:pPr>
        <w:pStyle w:val="a4"/>
        <w:numPr>
          <w:ilvl w:val="0"/>
          <w:numId w:val="2"/>
        </w:numPr>
        <w:spacing w:before="30" w:after="50"/>
      </w:pPr>
      <w:proofErr w:type="gramStart"/>
      <w:r>
        <w:rPr>
          <w:rFonts w:eastAsia="Calibri"/>
          <w:b/>
          <w:bCs/>
          <w:color w:val="111111"/>
          <w:sz w:val="26"/>
          <w:szCs w:val="26"/>
        </w:rPr>
        <w:t>Pd</w:t>
      </w:r>
      <w:r>
        <w:rPr>
          <w:rFonts w:eastAsia="Calibri"/>
          <w:color w:val="1A1A1A"/>
        </w:rPr>
        <w:t xml:space="preserve">  Daily</w:t>
      </w:r>
      <w:proofErr w:type="gramEnd"/>
      <w:r>
        <w:rPr>
          <w:rFonts w:eastAsia="Calibri"/>
          <w:color w:val="1A1A1A"/>
        </w:rPr>
        <w:t xml:space="preserve"> BEV charging probability. </w:t>
      </w:r>
      <w:proofErr w:type="spellStart"/>
      <w:r>
        <w:rPr>
          <w:rFonts w:eastAsia="Calibri"/>
          <w:color w:val="1A1A1A"/>
        </w:rPr>
        <w:t>DfT</w:t>
      </w:r>
      <w:proofErr w:type="spellEnd"/>
      <w:r>
        <w:rPr>
          <w:rFonts w:eastAsia="Calibri"/>
          <w:color w:val="1A1A1A"/>
        </w:rPr>
        <w:t xml:space="preserve"> national estimate (</w:t>
      </w:r>
      <w:proofErr w:type="gramStart"/>
      <w:r w:rsidR="00620490" w:rsidRPr="00620490">
        <w:rPr>
          <w:rFonts w:eastAsia="Calibri"/>
          <w:color w:val="1A1A1A"/>
        </w:rPr>
        <w:t>Pd  =</w:t>
      </w:r>
      <w:proofErr w:type="gramEnd"/>
      <w:r w:rsidR="00620490" w:rsidRPr="00620490">
        <w:rPr>
          <w:rFonts w:eastAsia="Calibri"/>
          <w:color w:val="1A1A1A"/>
        </w:rPr>
        <w:t xml:space="preserve">  4.3 ÷ </w:t>
      </w:r>
      <w:proofErr w:type="gramStart"/>
      <w:r w:rsidR="00620490" w:rsidRPr="00620490">
        <w:rPr>
          <w:rFonts w:eastAsia="Calibri"/>
          <w:color w:val="1A1A1A"/>
        </w:rPr>
        <w:t>14  =</w:t>
      </w:r>
      <w:proofErr w:type="gramEnd"/>
      <w:r w:rsidR="00620490" w:rsidRPr="00620490">
        <w:rPr>
          <w:rFonts w:eastAsia="Calibri"/>
          <w:color w:val="1A1A1A"/>
        </w:rPr>
        <w:t xml:space="preserve">  0.31</w:t>
      </w:r>
      <w:r>
        <w:rPr>
          <w:rFonts w:eastAsia="Calibri"/>
          <w:color w:val="1A1A1A"/>
        </w:rPr>
        <w:t>)</w:t>
      </w:r>
      <w:r w:rsidR="00797E01">
        <w:rPr>
          <w:rFonts w:ascii="微软雅黑" w:eastAsia="微软雅黑" w:hAnsi="微软雅黑" w:cs="微软雅黑"/>
          <w:color w:val="1A1A1A"/>
        </w:rPr>
        <w:t>.</w:t>
      </w:r>
    </w:p>
    <w:p w14:paraId="2AFEF989" w14:textId="379797D3" w:rsidR="00293675" w:rsidRDefault="007B5F68">
      <w:pPr>
        <w:pStyle w:val="a4"/>
        <w:numPr>
          <w:ilvl w:val="0"/>
          <w:numId w:val="2"/>
        </w:numPr>
        <w:spacing w:before="30" w:after="50"/>
      </w:pPr>
      <w:proofErr w:type="spellStart"/>
      <w:r>
        <w:rPr>
          <w:rFonts w:eastAsia="Calibri"/>
          <w:b/>
          <w:bCs/>
          <w:color w:val="111111"/>
          <w:sz w:val="26"/>
          <w:szCs w:val="26"/>
        </w:rPr>
        <w:t>Ppub</w:t>
      </w:r>
      <w:proofErr w:type="spellEnd"/>
      <w:r>
        <w:rPr>
          <w:rFonts w:eastAsia="Calibri"/>
          <w:color w:val="1A1A1A"/>
        </w:rPr>
        <w:t xml:space="preserve"> Fraction of charges at public locations. </w:t>
      </w:r>
      <w:proofErr w:type="spellStart"/>
      <w:r>
        <w:rPr>
          <w:rFonts w:eastAsia="Calibri"/>
          <w:color w:val="1A1A1A"/>
        </w:rPr>
        <w:t>DfT</w:t>
      </w:r>
      <w:proofErr w:type="spellEnd"/>
      <w:r>
        <w:rPr>
          <w:rFonts w:eastAsia="Calibri"/>
          <w:color w:val="1A1A1A"/>
        </w:rPr>
        <w:t xml:space="preserve"> EV Tracker Y1 §8.5: 1.8 ÷ 4.4 = 0.40. National Travel Survey 2024 Table NTS0909 (36% of vehicles park overnight on public roads) cross-validates. </w:t>
      </w:r>
      <w:proofErr w:type="spellStart"/>
      <w:r>
        <w:rPr>
          <w:rFonts w:eastAsia="Calibri"/>
          <w:color w:val="1A1A1A"/>
        </w:rPr>
        <w:t>Ppub</w:t>
      </w:r>
      <w:proofErr w:type="spellEnd"/>
      <w:r>
        <w:rPr>
          <w:rFonts w:eastAsia="Calibri"/>
          <w:color w:val="1A1A1A"/>
        </w:rPr>
        <w:t xml:space="preserve"> is retained as a national value as it reflects a </w:t>
      </w:r>
      <w:proofErr w:type="spellStart"/>
      <w:r>
        <w:rPr>
          <w:rFonts w:eastAsia="Calibri"/>
          <w:color w:val="1A1A1A"/>
        </w:rPr>
        <w:t>behavioural</w:t>
      </w:r>
      <w:proofErr w:type="spellEnd"/>
      <w:r>
        <w:rPr>
          <w:rFonts w:eastAsia="Calibri"/>
          <w:color w:val="1A1A1A"/>
        </w:rPr>
        <w:t xml:space="preserve"> split less spatially variable than charging frequency.</w:t>
      </w:r>
    </w:p>
    <w:p w14:paraId="12B7B50B" w14:textId="218FFF98" w:rsidR="00293675" w:rsidRDefault="007B5F68">
      <w:pPr>
        <w:pStyle w:val="a4"/>
        <w:numPr>
          <w:ilvl w:val="0"/>
          <w:numId w:val="2"/>
        </w:numPr>
        <w:spacing w:before="30" w:after="50"/>
      </w:pPr>
      <w:proofErr w:type="gramStart"/>
      <w:r>
        <w:rPr>
          <w:rFonts w:eastAsia="Calibri"/>
          <w:b/>
          <w:bCs/>
          <w:color w:val="111111"/>
          <w:sz w:val="26"/>
          <w:szCs w:val="26"/>
        </w:rPr>
        <w:lastRenderedPageBreak/>
        <w:t xml:space="preserve">IMDᵢ  </w:t>
      </w:r>
      <w:r>
        <w:rPr>
          <w:rFonts w:eastAsia="Calibri"/>
          <w:color w:val="1A1A1A"/>
        </w:rPr>
        <w:t>Income</w:t>
      </w:r>
      <w:proofErr w:type="gramEnd"/>
      <w:r>
        <w:rPr>
          <w:rFonts w:eastAsia="Calibri"/>
          <w:color w:val="1A1A1A"/>
        </w:rPr>
        <w:t xml:space="preserve"> deprivation weight. Directly the 'Income Score (rate)' field from IoD2025 File 7. Represents the proportion of LSOA i's population experiencing income deprivation [0.002–0.998]. Higher = more deprived. No normalization required; direction is correct (higher score → more uplift). Income deprivation is the dimension most directly relevant to EV charging access (inability to afford home charging installation, barrier to EV ownership).</w:t>
      </w:r>
      <w:r w:rsidR="00BA2204" w:rsidRPr="00BA2204">
        <w:t xml:space="preserve"> </w:t>
      </w:r>
      <w:r w:rsidR="00BA2204" w:rsidRPr="00BA2204">
        <w:rPr>
          <w:rFonts w:eastAsia="Calibri"/>
          <w:color w:val="1A1A1A"/>
        </w:rPr>
        <w:t>Note: IMDᵢ in this dissertation denotes specifically the income deprivation domain score from IoD2025 File 7, not the composite Index of Multiple Deprivation rank. The notation is retained for consistency with the demand formula structure.</w:t>
      </w:r>
    </w:p>
    <w:p w14:paraId="2CA92A49" w14:textId="6F6BEA91" w:rsidR="00293675" w:rsidRDefault="007B5F68">
      <w:pPr>
        <w:pStyle w:val="a4"/>
        <w:numPr>
          <w:ilvl w:val="0"/>
          <w:numId w:val="2"/>
        </w:numPr>
        <w:spacing w:before="30" w:after="50"/>
      </w:pPr>
      <w:proofErr w:type="gramStart"/>
      <w:r>
        <w:rPr>
          <w:rFonts w:eastAsia="Calibri"/>
          <w:b/>
          <w:bCs/>
          <w:color w:val="111111"/>
          <w:sz w:val="26"/>
          <w:szCs w:val="26"/>
        </w:rPr>
        <w:t xml:space="preserve">α  </w:t>
      </w:r>
      <w:r>
        <w:rPr>
          <w:rFonts w:eastAsia="Calibri"/>
          <w:color w:val="1A1A1A"/>
        </w:rPr>
        <w:t>Equity</w:t>
      </w:r>
      <w:proofErr w:type="gramEnd"/>
      <w:r>
        <w:rPr>
          <w:rFonts w:eastAsia="Calibri"/>
          <w:color w:val="1A1A1A"/>
        </w:rPr>
        <w:t xml:space="preserve"> weighting parameter. Tested across {0, 0.1, 0.3, 0.5} in four scenarios. When α = 0, Dᵢ = Pᵢ × Pd × </w:t>
      </w:r>
      <w:proofErr w:type="spellStart"/>
      <w:r>
        <w:rPr>
          <w:rFonts w:eastAsia="Calibri"/>
          <w:color w:val="1A1A1A"/>
        </w:rPr>
        <w:t>Ppub</w:t>
      </w:r>
      <w:proofErr w:type="spellEnd"/>
      <w:r>
        <w:rPr>
          <w:rFonts w:eastAsia="Calibri"/>
          <w:color w:val="1A1A1A"/>
        </w:rPr>
        <w:t xml:space="preserve"> (pure efficiency baseline).</w:t>
      </w:r>
    </w:p>
    <w:p w14:paraId="70C7EA57" w14:textId="77777777" w:rsidR="00293675" w:rsidRDefault="00293675">
      <w:pPr>
        <w:spacing w:after="60"/>
      </w:pPr>
    </w:p>
    <w:p w14:paraId="4075F1CF" w14:textId="77777777" w:rsidR="00293675" w:rsidRDefault="00000000">
      <w:pPr>
        <w:spacing w:before="60" w:after="80"/>
        <w:jc w:val="both"/>
      </w:pPr>
      <w:r>
        <w:rPr>
          <w:rFonts w:eastAsia="Calibri"/>
          <w:b/>
          <w:bCs/>
          <w:color w:val="111111"/>
        </w:rPr>
        <w:t>Why Car Ownership Rate Cᵢ is Excluded</w:t>
      </w:r>
      <w:r>
        <w:rPr>
          <w:rFonts w:eastAsia="Calibri"/>
          <w:color w:val="1A1A1A"/>
        </w:rPr>
        <w:t>: Including Cᵢ would suppress demand in income-deprived LSOAs (where car ownership is constrained) while the IMD multiplier simultaneously attempts to boost it — creating a conceptual contradiction and ambiguous equity direction. Excluding Cᵢ preserves a single, unambiguous equity channel.</w:t>
      </w:r>
    </w:p>
    <w:p w14:paraId="07CA62C0" w14:textId="46ECAE47" w:rsidR="00293675" w:rsidRDefault="00293675">
      <w:pPr>
        <w:spacing w:after="80"/>
      </w:pPr>
    </w:p>
    <w:p w14:paraId="7A3B1D56" w14:textId="77777777" w:rsidR="00293675" w:rsidRDefault="00000000">
      <w:pPr>
        <w:pStyle w:val="2"/>
      </w:pPr>
      <w:proofErr w:type="gramStart"/>
      <w:r>
        <w:t>5.2  Phase</w:t>
      </w:r>
      <w:proofErr w:type="gramEnd"/>
      <w:r>
        <w:t xml:space="preserve"> 2: Supply Baseline — </w:t>
      </w:r>
      <w:proofErr w:type="spellStart"/>
      <w:r>
        <w:t>Utilisation</w:t>
      </w:r>
      <w:proofErr w:type="spellEnd"/>
      <w:r>
        <w:t>-Adjusted Effective Capacity</w:t>
      </w:r>
    </w:p>
    <w:p w14:paraId="0CD04EBB" w14:textId="1D13AEFD" w:rsidR="00293675" w:rsidRDefault="00000000" w:rsidP="00757418">
      <w:pPr>
        <w:spacing w:before="60" w:after="80"/>
        <w:jc w:val="both"/>
      </w:pPr>
      <w:r>
        <w:rPr>
          <w:rFonts w:eastAsia="Calibri"/>
          <w:color w:val="1A1A1A"/>
        </w:rPr>
        <w:t xml:space="preserve">He et al. (2022, P002) identified incorporating "actual charger </w:t>
      </w:r>
      <w:proofErr w:type="spellStart"/>
      <w:r>
        <w:rPr>
          <w:rFonts w:eastAsia="Calibri"/>
          <w:color w:val="1A1A1A"/>
        </w:rPr>
        <w:t>utilisation</w:t>
      </w:r>
      <w:proofErr w:type="spellEnd"/>
      <w:r>
        <w:rPr>
          <w:rFonts w:eastAsia="Calibri"/>
          <w:color w:val="1A1A1A"/>
        </w:rPr>
        <w:t xml:space="preserve"> schedules" as a key limitation of connector-count-based supply measurement. This dissertation addresses that limitation directly using join_august2025.csv.</w:t>
      </w:r>
    </w:p>
    <w:p w14:paraId="2E6916FA" w14:textId="02174FC5" w:rsidR="00293675" w:rsidRDefault="00BB7E1E">
      <w:pPr>
        <w:spacing w:before="100" w:after="40"/>
        <w:jc w:val="center"/>
      </w:pPr>
      <w:r w:rsidRPr="00BB7E1E">
        <w:rPr>
          <w:noProof/>
        </w:rPr>
        <w:drawing>
          <wp:inline distT="0" distB="0" distL="0" distR="0" wp14:anchorId="1951B4EF" wp14:editId="298583A0">
            <wp:extent cx="6188710" cy="1758315"/>
            <wp:effectExtent l="0" t="0" r="0" b="0"/>
            <wp:docPr id="892692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92190" name=""/>
                    <pic:cNvPicPr/>
                  </pic:nvPicPr>
                  <pic:blipFill>
                    <a:blip r:embed="rId10"/>
                    <a:stretch>
                      <a:fillRect/>
                    </a:stretch>
                  </pic:blipFill>
                  <pic:spPr>
                    <a:xfrm>
                      <a:off x="0" y="0"/>
                      <a:ext cx="6188710" cy="1758315"/>
                    </a:xfrm>
                    <a:prstGeom prst="rect">
                      <a:avLst/>
                    </a:prstGeom>
                  </pic:spPr>
                </pic:pic>
              </a:graphicData>
            </a:graphic>
          </wp:inline>
        </w:drawing>
      </w:r>
    </w:p>
    <w:p w14:paraId="10A353C2" w14:textId="77777777" w:rsidR="00293675" w:rsidRDefault="00000000">
      <w:pPr>
        <w:spacing w:before="20" w:after="140"/>
        <w:jc w:val="center"/>
      </w:pPr>
      <w:r>
        <w:rPr>
          <w:rFonts w:eastAsia="Calibri"/>
          <w:color w:val="555555"/>
          <w:sz w:val="18"/>
          <w:szCs w:val="18"/>
        </w:rPr>
        <w:t xml:space="preserve">Figure 4: Four-step computation of </w:t>
      </w:r>
      <w:proofErr w:type="spellStart"/>
      <w:r>
        <w:rPr>
          <w:rFonts w:eastAsia="Calibri"/>
          <w:color w:val="555555"/>
          <w:sz w:val="18"/>
          <w:szCs w:val="18"/>
        </w:rPr>
        <w:t>utilisation</w:t>
      </w:r>
      <w:proofErr w:type="spellEnd"/>
      <w:r>
        <w:rPr>
          <w:rFonts w:eastAsia="Calibri"/>
          <w:color w:val="555555"/>
          <w:sz w:val="18"/>
          <w:szCs w:val="18"/>
        </w:rPr>
        <w:t>-adjusted effective supply Sᵢᵉᶠᶠ</w:t>
      </w:r>
    </w:p>
    <w:p w14:paraId="64D0F245" w14:textId="77777777" w:rsidR="00293675" w:rsidRDefault="00293675">
      <w:pPr>
        <w:spacing w:after="60"/>
      </w:pPr>
    </w:p>
    <w:p w14:paraId="3EEB3521" w14:textId="77777777" w:rsidR="00293675" w:rsidRDefault="00000000">
      <w:pPr>
        <w:spacing w:before="60" w:after="80"/>
        <w:jc w:val="both"/>
      </w:pPr>
      <w:r>
        <w:rPr>
          <w:rFonts w:eastAsia="Calibri"/>
          <w:color w:val="1A1A1A"/>
        </w:rPr>
        <w:t xml:space="preserve">Following the time-based </w:t>
      </w:r>
      <w:proofErr w:type="spellStart"/>
      <w:r>
        <w:rPr>
          <w:rFonts w:eastAsia="Calibri"/>
          <w:color w:val="1A1A1A"/>
        </w:rPr>
        <w:t>utilisation</w:t>
      </w:r>
      <w:proofErr w:type="spellEnd"/>
      <w:r>
        <w:rPr>
          <w:rFonts w:eastAsia="Calibri"/>
          <w:color w:val="1A1A1A"/>
        </w:rPr>
        <w:t xml:space="preserve"> definition </w:t>
      </w:r>
      <w:proofErr w:type="spellStart"/>
      <w:r>
        <w:rPr>
          <w:rFonts w:eastAsia="Calibri"/>
          <w:color w:val="1A1A1A"/>
        </w:rPr>
        <w:t>formalised</w:t>
      </w:r>
      <w:proofErr w:type="spellEnd"/>
      <w:r>
        <w:rPr>
          <w:rFonts w:eastAsia="Calibri"/>
          <w:color w:val="1A1A1A"/>
        </w:rPr>
        <w:t xml:space="preserve"> by Borlaug et al. (2023, Transportation Research Part D), who note that time-based </w:t>
      </w:r>
      <w:proofErr w:type="spellStart"/>
      <w:r>
        <w:rPr>
          <w:rFonts w:eastAsia="Calibri"/>
          <w:color w:val="1A1A1A"/>
        </w:rPr>
        <w:t>utilisation</w:t>
      </w:r>
      <w:proofErr w:type="spellEnd"/>
      <w:r>
        <w:rPr>
          <w:rFonts w:eastAsia="Calibri"/>
          <w:color w:val="1A1A1A"/>
        </w:rPr>
        <w:t xml:space="preserve"> "may be better suited for certain applications (e.g., determining resource availability)":</w:t>
      </w:r>
    </w:p>
    <w:p w14:paraId="60621AB0" w14:textId="77777777" w:rsidR="00293675" w:rsidRDefault="00293675">
      <w:pPr>
        <w:spacing w:after="40"/>
      </w:pPr>
    </w:p>
    <w:p w14:paraId="2EA6BAC3" w14:textId="1DA16E34" w:rsidR="00293675" w:rsidRDefault="00000000">
      <w:pPr>
        <w:spacing w:before="120" w:after="120"/>
        <w:jc w:val="center"/>
      </w:pPr>
      <w:proofErr w:type="spellStart"/>
      <w:r>
        <w:rPr>
          <w:rFonts w:eastAsia="Calibri"/>
          <w:b/>
          <w:bCs/>
          <w:color w:val="111111"/>
          <w:sz w:val="26"/>
          <w:szCs w:val="26"/>
        </w:rPr>
        <w:t>ur_</w:t>
      </w:r>
      <w:proofErr w:type="gramStart"/>
      <w:r>
        <w:rPr>
          <w:rFonts w:eastAsia="Calibri"/>
          <w:b/>
          <w:bCs/>
          <w:color w:val="111111"/>
          <w:sz w:val="26"/>
          <w:szCs w:val="26"/>
        </w:rPr>
        <w:t>j</w:t>
      </w:r>
      <w:proofErr w:type="spellEnd"/>
      <w:r>
        <w:rPr>
          <w:rFonts w:eastAsia="Calibri"/>
          <w:b/>
          <w:bCs/>
          <w:color w:val="111111"/>
          <w:sz w:val="26"/>
          <w:szCs w:val="26"/>
        </w:rPr>
        <w:t xml:space="preserve">  =</w:t>
      </w:r>
      <w:proofErr w:type="gramEnd"/>
      <w:r>
        <w:rPr>
          <w:rFonts w:eastAsia="Calibri"/>
          <w:b/>
          <w:bCs/>
          <w:color w:val="111111"/>
          <w:sz w:val="26"/>
          <w:szCs w:val="26"/>
        </w:rPr>
        <w:t xml:space="preserve">  Σ </w:t>
      </w:r>
      <w:proofErr w:type="spellStart"/>
      <w:r>
        <w:rPr>
          <w:rFonts w:eastAsia="Calibri"/>
          <w:b/>
          <w:bCs/>
          <w:color w:val="111111"/>
          <w:sz w:val="26"/>
          <w:szCs w:val="26"/>
        </w:rPr>
        <w:t>charging_duration_</w:t>
      </w:r>
      <w:proofErr w:type="gramStart"/>
      <w:r>
        <w:rPr>
          <w:rFonts w:eastAsia="Calibri"/>
          <w:b/>
          <w:bCs/>
          <w:color w:val="111111"/>
          <w:sz w:val="26"/>
          <w:szCs w:val="26"/>
        </w:rPr>
        <w:t>j</w:t>
      </w:r>
      <w:proofErr w:type="spellEnd"/>
      <w:r>
        <w:rPr>
          <w:rFonts w:eastAsia="Calibri"/>
          <w:b/>
          <w:bCs/>
          <w:color w:val="111111"/>
          <w:sz w:val="26"/>
          <w:szCs w:val="26"/>
        </w:rPr>
        <w:t xml:space="preserve">  /</w:t>
      </w:r>
      <w:proofErr w:type="gramEnd"/>
      <w:r>
        <w:rPr>
          <w:rFonts w:eastAsia="Calibri"/>
          <w:b/>
          <w:bCs/>
          <w:color w:val="111111"/>
          <w:sz w:val="26"/>
          <w:szCs w:val="26"/>
        </w:rPr>
        <w:t xml:space="preserve">  (7</w:t>
      </w:r>
      <w:r w:rsidR="006918AE">
        <w:rPr>
          <w:rFonts w:eastAsia="Calibri" w:hint="eastAsia"/>
          <w:b/>
          <w:bCs/>
          <w:color w:val="111111"/>
          <w:sz w:val="26"/>
          <w:szCs w:val="26"/>
        </w:rPr>
        <w:t>days</w:t>
      </w:r>
      <w:r>
        <w:rPr>
          <w:rFonts w:eastAsia="Calibri"/>
          <w:b/>
          <w:bCs/>
          <w:color w:val="111111"/>
          <w:sz w:val="26"/>
          <w:szCs w:val="26"/>
        </w:rPr>
        <w:t xml:space="preserve"> × 24</w:t>
      </w:r>
      <w:r w:rsidR="006918AE">
        <w:rPr>
          <w:rFonts w:eastAsia="Calibri" w:hint="eastAsia"/>
          <w:b/>
          <w:bCs/>
          <w:color w:val="111111"/>
          <w:sz w:val="26"/>
          <w:szCs w:val="26"/>
        </w:rPr>
        <w:t>h</w:t>
      </w:r>
      <w:r>
        <w:rPr>
          <w:rFonts w:eastAsia="Calibri"/>
          <w:b/>
          <w:bCs/>
          <w:color w:val="111111"/>
          <w:sz w:val="26"/>
          <w:szCs w:val="26"/>
        </w:rPr>
        <w:t xml:space="preserve"> × 60</w:t>
      </w:r>
      <w:proofErr w:type="gramStart"/>
      <w:r w:rsidR="006918AE">
        <w:rPr>
          <w:rFonts w:eastAsia="Calibri"/>
          <w:b/>
          <w:bCs/>
          <w:color w:val="111111"/>
          <w:sz w:val="26"/>
          <w:szCs w:val="26"/>
        </w:rPr>
        <w:t>min</w:t>
      </w:r>
      <w:r>
        <w:rPr>
          <w:rFonts w:eastAsia="Calibri"/>
          <w:b/>
          <w:bCs/>
          <w:color w:val="111111"/>
          <w:sz w:val="26"/>
          <w:szCs w:val="26"/>
        </w:rPr>
        <w:t>)  =</w:t>
      </w:r>
      <w:proofErr w:type="gramEnd"/>
      <w:r>
        <w:rPr>
          <w:rFonts w:eastAsia="Calibri"/>
          <w:b/>
          <w:bCs/>
          <w:color w:val="111111"/>
          <w:sz w:val="26"/>
          <w:szCs w:val="26"/>
        </w:rPr>
        <w:t xml:space="preserve">  Σ </w:t>
      </w:r>
      <w:proofErr w:type="spellStart"/>
      <w:r>
        <w:rPr>
          <w:rFonts w:eastAsia="Calibri"/>
          <w:b/>
          <w:bCs/>
          <w:color w:val="111111"/>
          <w:sz w:val="26"/>
          <w:szCs w:val="26"/>
        </w:rPr>
        <w:t>duration_</w:t>
      </w:r>
      <w:proofErr w:type="gramStart"/>
      <w:r>
        <w:rPr>
          <w:rFonts w:eastAsia="Calibri"/>
          <w:b/>
          <w:bCs/>
          <w:color w:val="111111"/>
          <w:sz w:val="26"/>
          <w:szCs w:val="26"/>
        </w:rPr>
        <w:t>j</w:t>
      </w:r>
      <w:proofErr w:type="spellEnd"/>
      <w:r>
        <w:rPr>
          <w:rFonts w:eastAsia="Calibri"/>
          <w:b/>
          <w:bCs/>
          <w:color w:val="111111"/>
          <w:sz w:val="26"/>
          <w:szCs w:val="26"/>
        </w:rPr>
        <w:t xml:space="preserve">  /</w:t>
      </w:r>
      <w:proofErr w:type="gramEnd"/>
      <w:r>
        <w:rPr>
          <w:rFonts w:eastAsia="Calibri"/>
          <w:b/>
          <w:bCs/>
          <w:color w:val="111111"/>
          <w:sz w:val="26"/>
          <w:szCs w:val="26"/>
        </w:rPr>
        <w:t xml:space="preserve">  10,080 min</w:t>
      </w:r>
    </w:p>
    <w:p w14:paraId="4D57A919" w14:textId="77777777" w:rsidR="00293675" w:rsidRDefault="00293675">
      <w:pPr>
        <w:spacing w:after="40"/>
      </w:pPr>
    </w:p>
    <w:p w14:paraId="36FF1141" w14:textId="77777777" w:rsidR="00293675" w:rsidRDefault="00000000">
      <w:pPr>
        <w:spacing w:before="60" w:after="80"/>
        <w:jc w:val="both"/>
      </w:pPr>
      <w:r>
        <w:rPr>
          <w:rFonts w:eastAsia="Calibri"/>
          <w:color w:val="1A1A1A"/>
        </w:rPr>
        <w:t xml:space="preserve">where the denominator is the total observation window (7 days × 1,440 min/day). Equivalent definitions are used by </w:t>
      </w:r>
      <w:proofErr w:type="spellStart"/>
      <w:r>
        <w:rPr>
          <w:rFonts w:eastAsia="Calibri"/>
          <w:color w:val="1A1A1A"/>
        </w:rPr>
        <w:t>Gellrich</w:t>
      </w:r>
      <w:proofErr w:type="spellEnd"/>
      <w:r>
        <w:rPr>
          <w:rFonts w:eastAsia="Calibri"/>
          <w:color w:val="1A1A1A"/>
        </w:rPr>
        <w:t xml:space="preserve"> et al. (2022, Switzerland nationwide case study) and </w:t>
      </w:r>
      <w:proofErr w:type="spellStart"/>
      <w:r>
        <w:rPr>
          <w:rFonts w:eastAsia="Calibri"/>
          <w:color w:val="1A1A1A"/>
        </w:rPr>
        <w:t>Hardinghaus</w:t>
      </w:r>
      <w:proofErr w:type="spellEnd"/>
      <w:r>
        <w:rPr>
          <w:rFonts w:eastAsia="Calibri"/>
          <w:color w:val="1A1A1A"/>
        </w:rPr>
        <w:t xml:space="preserve"> et al. (2020). Topal (2025, IJLCT) applies the same socket-level session data structure (start time + duration) to compute capacity </w:t>
      </w:r>
      <w:proofErr w:type="spellStart"/>
      <w:r>
        <w:rPr>
          <w:rFonts w:eastAsia="Calibri"/>
          <w:color w:val="1A1A1A"/>
        </w:rPr>
        <w:t>utilisation</w:t>
      </w:r>
      <w:proofErr w:type="spellEnd"/>
      <w:r>
        <w:rPr>
          <w:rFonts w:eastAsia="Calibri"/>
          <w:color w:val="1A1A1A"/>
        </w:rPr>
        <w:t xml:space="preserve"> rates.</w:t>
      </w:r>
    </w:p>
    <w:p w14:paraId="7245B70A" w14:textId="77777777" w:rsidR="00293675" w:rsidRDefault="00293675">
      <w:pPr>
        <w:spacing w:after="60"/>
      </w:pPr>
    </w:p>
    <w:p w14:paraId="778BDEF5" w14:textId="77777777" w:rsidR="00293675" w:rsidRDefault="00000000">
      <w:pPr>
        <w:spacing w:before="60" w:after="80"/>
        <w:jc w:val="both"/>
      </w:pPr>
      <w:r>
        <w:rPr>
          <w:rFonts w:eastAsia="Calibri"/>
          <w:color w:val="1A1A1A"/>
        </w:rPr>
        <w:t xml:space="preserve">The residual effective supply per connector (1 − </w:t>
      </w:r>
      <w:proofErr w:type="spellStart"/>
      <w:r>
        <w:rPr>
          <w:rFonts w:eastAsia="Calibri"/>
          <w:color w:val="1A1A1A"/>
        </w:rPr>
        <w:t>ur_j</w:t>
      </w:r>
      <w:proofErr w:type="spellEnd"/>
      <w:r>
        <w:rPr>
          <w:rFonts w:eastAsia="Calibri"/>
          <w:color w:val="1A1A1A"/>
        </w:rPr>
        <w:t>) is aggregated to LSOA level:</w:t>
      </w:r>
    </w:p>
    <w:p w14:paraId="4BF56599" w14:textId="77777777" w:rsidR="00293675" w:rsidRDefault="00293675">
      <w:pPr>
        <w:spacing w:after="40"/>
      </w:pPr>
    </w:p>
    <w:p w14:paraId="20477D85" w14:textId="77777777" w:rsidR="00293675" w:rsidRDefault="00000000">
      <w:pPr>
        <w:spacing w:before="120" w:after="120"/>
        <w:jc w:val="center"/>
      </w:pPr>
      <w:proofErr w:type="gramStart"/>
      <w:r>
        <w:rPr>
          <w:rFonts w:eastAsia="Calibri"/>
          <w:b/>
          <w:bCs/>
          <w:color w:val="111111"/>
          <w:sz w:val="26"/>
          <w:szCs w:val="26"/>
        </w:rPr>
        <w:t>Sᵢᵉᶠᶠ  =</w:t>
      </w:r>
      <w:proofErr w:type="gramEnd"/>
      <w:r>
        <w:rPr>
          <w:rFonts w:eastAsia="Calibri"/>
          <w:b/>
          <w:bCs/>
          <w:color w:val="111111"/>
          <w:sz w:val="26"/>
          <w:szCs w:val="26"/>
        </w:rPr>
        <w:t xml:space="preserve">  Σⱼ∈</w:t>
      </w:r>
      <w:proofErr w:type="spellStart"/>
      <w:r>
        <w:rPr>
          <w:rFonts w:eastAsia="Calibri"/>
          <w:b/>
          <w:bCs/>
          <w:color w:val="111111"/>
          <w:sz w:val="26"/>
          <w:szCs w:val="26"/>
        </w:rPr>
        <w:t>LSOA_</w:t>
      </w:r>
      <w:proofErr w:type="gramStart"/>
      <w:r>
        <w:rPr>
          <w:rFonts w:eastAsia="Calibri"/>
          <w:b/>
          <w:bCs/>
          <w:color w:val="111111"/>
          <w:sz w:val="26"/>
          <w:szCs w:val="26"/>
        </w:rPr>
        <w:t>i</w:t>
      </w:r>
      <w:proofErr w:type="spellEnd"/>
      <w:r>
        <w:rPr>
          <w:rFonts w:eastAsia="Calibri"/>
          <w:b/>
          <w:bCs/>
          <w:color w:val="111111"/>
          <w:sz w:val="26"/>
          <w:szCs w:val="26"/>
        </w:rPr>
        <w:t xml:space="preserve">  (</w:t>
      </w:r>
      <w:proofErr w:type="gramEnd"/>
      <w:r>
        <w:rPr>
          <w:rFonts w:eastAsia="Calibri"/>
          <w:b/>
          <w:bCs/>
          <w:color w:val="111111"/>
          <w:sz w:val="26"/>
          <w:szCs w:val="26"/>
        </w:rPr>
        <w:t xml:space="preserve">1 − </w:t>
      </w:r>
      <w:proofErr w:type="spellStart"/>
      <w:r>
        <w:rPr>
          <w:rFonts w:eastAsia="Calibri"/>
          <w:b/>
          <w:bCs/>
          <w:color w:val="111111"/>
          <w:sz w:val="26"/>
          <w:szCs w:val="26"/>
        </w:rPr>
        <w:t>ur_j</w:t>
      </w:r>
      <w:proofErr w:type="spellEnd"/>
      <w:r>
        <w:rPr>
          <w:rFonts w:eastAsia="Calibri"/>
          <w:b/>
          <w:bCs/>
          <w:color w:val="111111"/>
          <w:sz w:val="26"/>
          <w:szCs w:val="26"/>
        </w:rPr>
        <w:t>)</w:t>
      </w:r>
    </w:p>
    <w:p w14:paraId="71A7101C" w14:textId="77777777" w:rsidR="00293675" w:rsidRDefault="00293675">
      <w:pPr>
        <w:spacing w:after="60"/>
      </w:pPr>
    </w:p>
    <w:p w14:paraId="504277D3" w14:textId="77777777" w:rsidR="000D27D5" w:rsidRDefault="000D27D5">
      <w:pPr>
        <w:spacing w:before="60" w:after="80"/>
        <w:jc w:val="both"/>
        <w:rPr>
          <w:rFonts w:eastAsia="Calibri"/>
          <w:color w:val="1A1A1A"/>
        </w:rPr>
      </w:pPr>
    </w:p>
    <w:p w14:paraId="3121F63D" w14:textId="4276525C" w:rsidR="00293675" w:rsidRDefault="00000000">
      <w:pPr>
        <w:spacing w:before="60" w:after="80"/>
        <w:jc w:val="both"/>
      </w:pPr>
      <w:r>
        <w:rPr>
          <w:rFonts w:eastAsia="Calibri"/>
          <w:color w:val="1A1A1A"/>
        </w:rPr>
        <w:lastRenderedPageBreak/>
        <w:t>Interpretation:</w:t>
      </w:r>
    </w:p>
    <w:p w14:paraId="7EF04392" w14:textId="77777777" w:rsidR="00293675" w:rsidRDefault="00000000">
      <w:pPr>
        <w:pStyle w:val="a4"/>
        <w:numPr>
          <w:ilvl w:val="0"/>
          <w:numId w:val="2"/>
        </w:numPr>
        <w:spacing w:before="30" w:after="50"/>
      </w:pPr>
      <w:proofErr w:type="spellStart"/>
      <w:r>
        <w:rPr>
          <w:rFonts w:eastAsia="Calibri"/>
          <w:color w:val="1A1A1A"/>
        </w:rPr>
        <w:t>ur</w:t>
      </w:r>
      <w:proofErr w:type="spellEnd"/>
      <w:r>
        <w:rPr>
          <w:rFonts w:eastAsia="Calibri"/>
          <w:color w:val="1A1A1A"/>
        </w:rPr>
        <w:t>ⱼ = 0.90 (saturated) → contributes 0.10 units of effective supply</w:t>
      </w:r>
    </w:p>
    <w:p w14:paraId="625D27D5" w14:textId="77777777" w:rsidR="00293675" w:rsidRDefault="00000000">
      <w:pPr>
        <w:pStyle w:val="a4"/>
        <w:numPr>
          <w:ilvl w:val="0"/>
          <w:numId w:val="2"/>
        </w:numPr>
        <w:spacing w:before="30" w:after="50"/>
      </w:pPr>
      <w:proofErr w:type="spellStart"/>
      <w:r>
        <w:rPr>
          <w:rFonts w:eastAsia="Calibri"/>
          <w:color w:val="1A1A1A"/>
        </w:rPr>
        <w:t>ur</w:t>
      </w:r>
      <w:proofErr w:type="spellEnd"/>
      <w:r>
        <w:rPr>
          <w:rFonts w:eastAsia="Calibri"/>
          <w:color w:val="1A1A1A"/>
        </w:rPr>
        <w:t>ⱼ = 0.10 (underused) → contributes 0.90 units of effective supply</w:t>
      </w:r>
    </w:p>
    <w:p w14:paraId="3990E580" w14:textId="19FCD6D5" w:rsidR="00293675" w:rsidRDefault="000D0E87">
      <w:pPr>
        <w:spacing w:after="60"/>
        <w:rPr>
          <w:rFonts w:eastAsia="Calibri"/>
          <w:color w:val="1A1A1A"/>
        </w:rPr>
      </w:pPr>
      <w:r w:rsidRPr="000D0E87">
        <w:rPr>
          <w:rFonts w:eastAsia="Calibri"/>
          <w:color w:val="1A1A1A"/>
        </w:rPr>
        <w:t xml:space="preserve">An EVSE present in </w:t>
      </w:r>
      <w:proofErr w:type="spellStart"/>
      <w:r w:rsidRPr="000D0E87">
        <w:rPr>
          <w:rFonts w:eastAsia="Calibri"/>
          <w:color w:val="1A1A1A"/>
        </w:rPr>
        <w:t>OpenStreetEV_GLA</w:t>
      </w:r>
      <w:proofErr w:type="spellEnd"/>
      <w:r w:rsidRPr="000D0E87">
        <w:rPr>
          <w:rFonts w:eastAsia="Calibri"/>
          <w:color w:val="1A1A1A"/>
        </w:rPr>
        <w:t xml:space="preserve"> but absent from join_august2025.csv is treated as having zero observed sessions during the reference </w:t>
      </w:r>
      <w:proofErr w:type="gramStart"/>
      <w:r w:rsidRPr="000D0E87">
        <w:rPr>
          <w:rFonts w:eastAsia="Calibri"/>
          <w:color w:val="1A1A1A"/>
        </w:rPr>
        <w:t>week, and</w:t>
      </w:r>
      <w:proofErr w:type="gramEnd"/>
      <w:r w:rsidRPr="000D0E87">
        <w:rPr>
          <w:rFonts w:eastAsia="Calibri"/>
          <w:color w:val="1A1A1A"/>
        </w:rPr>
        <w:t xml:space="preserve"> thus contributes 1.00 unit of residual capacity. This is a conservative upper-bound assumption; absence from the session table may reflect genuine zero usage, incomplete CPO data reporting, or a join mismatch — declared as a data completeness limitation.</w:t>
      </w:r>
    </w:p>
    <w:p w14:paraId="47B7A463" w14:textId="77777777" w:rsidR="000D0E87" w:rsidRDefault="000D0E87">
      <w:pPr>
        <w:spacing w:after="60"/>
      </w:pPr>
    </w:p>
    <w:p w14:paraId="06C12869" w14:textId="77777777" w:rsidR="00293675" w:rsidRDefault="00000000">
      <w:pPr>
        <w:spacing w:before="60" w:after="80"/>
        <w:jc w:val="both"/>
      </w:pPr>
      <w:r>
        <w:rPr>
          <w:rFonts w:eastAsia="Calibri"/>
          <w:b/>
          <w:bCs/>
          <w:color w:val="111111"/>
        </w:rPr>
        <w:t>Two roles of Sᵢᵉᶠᶠ in the dissertation:</w:t>
      </w:r>
    </w:p>
    <w:p w14:paraId="3B37ED81" w14:textId="77777777" w:rsidR="00293675" w:rsidRDefault="00000000">
      <w:pPr>
        <w:pStyle w:val="a4"/>
        <w:numPr>
          <w:ilvl w:val="0"/>
          <w:numId w:val="2"/>
        </w:numPr>
        <w:spacing w:before="30" w:after="50"/>
      </w:pPr>
      <w:r>
        <w:rPr>
          <w:rFonts w:eastAsia="Calibri"/>
          <w:color w:val="1A1A1A"/>
        </w:rPr>
        <w:t xml:space="preserve">EDA and supply </w:t>
      </w:r>
      <w:proofErr w:type="spellStart"/>
      <w:r>
        <w:rPr>
          <w:rFonts w:eastAsia="Calibri"/>
          <w:color w:val="1A1A1A"/>
        </w:rPr>
        <w:t>characterisation</w:t>
      </w:r>
      <w:proofErr w:type="spellEnd"/>
      <w:r>
        <w:rPr>
          <w:rFonts w:eastAsia="Calibri"/>
          <w:color w:val="1A1A1A"/>
        </w:rPr>
        <w:t>: spatial distribution, identification of charging deserts (Sᵢᵉᶠᶠ ≈ 0), and correlation with income deprivation decile.</w:t>
      </w:r>
    </w:p>
    <w:p w14:paraId="6B9F51E4" w14:textId="77777777" w:rsidR="00293675" w:rsidRDefault="00000000">
      <w:pPr>
        <w:pStyle w:val="a4"/>
        <w:numPr>
          <w:ilvl w:val="0"/>
          <w:numId w:val="2"/>
        </w:numPr>
        <w:spacing w:before="30" w:after="50"/>
      </w:pPr>
      <w:r>
        <w:rPr>
          <w:rFonts w:eastAsia="Calibri"/>
          <w:color w:val="1A1A1A"/>
        </w:rPr>
        <w:t>Post-hoc evaluation: cross-reference with p-median outputs to assess whether selected sites serve previously undersupplied areas.</w:t>
      </w:r>
    </w:p>
    <w:p w14:paraId="5A158479" w14:textId="77777777" w:rsidR="00293675" w:rsidRDefault="00293675">
      <w:pPr>
        <w:spacing w:after="60"/>
      </w:pPr>
    </w:p>
    <w:p w14:paraId="0687FE56" w14:textId="77777777" w:rsidR="00293675" w:rsidRDefault="00000000">
      <w:pPr>
        <w:spacing w:before="60" w:after="80"/>
        <w:jc w:val="both"/>
      </w:pPr>
      <w:r>
        <w:rPr>
          <w:rFonts w:eastAsia="Calibri"/>
          <w:b/>
          <w:bCs/>
          <w:color w:val="111111"/>
        </w:rPr>
        <w:t>Why Sᵢᵉᶠᶠ does not enter the objective function:</w:t>
      </w:r>
      <w:r>
        <w:rPr>
          <w:rFonts w:eastAsia="Calibri"/>
          <w:color w:val="1A1A1A"/>
        </w:rPr>
        <w:t xml:space="preserve"> Dᵢ is a population-based demand index (units: weighted persons); Sᵢᵉᶠᶠ is a residual-capacity index (units: effective connectors). Combining them in a single expression without a dimensionally consistent conversion factor would produce a mathematically computable but substantively uninterpretable weight. The decision preserves internal consistency of the mathematical formulation.</w:t>
      </w:r>
    </w:p>
    <w:p w14:paraId="2A34DDB2" w14:textId="77777777" w:rsidR="00293675" w:rsidRDefault="00293675">
      <w:pPr>
        <w:spacing w:after="80"/>
      </w:pPr>
    </w:p>
    <w:p w14:paraId="4929AED6" w14:textId="77777777" w:rsidR="00293675" w:rsidRDefault="00000000">
      <w:pPr>
        <w:pStyle w:val="2"/>
      </w:pPr>
      <w:proofErr w:type="gramStart"/>
      <w:r>
        <w:t>5.3  Phase</w:t>
      </w:r>
      <w:proofErr w:type="gramEnd"/>
      <w:r>
        <w:t xml:space="preserve"> 3: Candidate Site Generation — On-Street Only</w:t>
      </w:r>
    </w:p>
    <w:p w14:paraId="2C2D5DD5" w14:textId="266B82BA" w:rsidR="00293675" w:rsidRDefault="001F69FA">
      <w:pPr>
        <w:spacing w:after="60"/>
      </w:pPr>
      <w:r w:rsidRPr="001F69FA">
        <w:rPr>
          <w:rFonts w:eastAsia="Calibri"/>
          <w:color w:val="1A1A1A"/>
        </w:rPr>
        <w:t xml:space="preserve">New </w:t>
      </w:r>
      <w:proofErr w:type="spellStart"/>
      <w:r w:rsidRPr="001F69FA">
        <w:rPr>
          <w:rFonts w:eastAsia="Calibri"/>
          <w:color w:val="1A1A1A"/>
        </w:rPr>
        <w:t>chargepoints</w:t>
      </w:r>
      <w:proofErr w:type="spellEnd"/>
      <w:r w:rsidRPr="001F69FA">
        <w:rPr>
          <w:rFonts w:eastAsia="Calibri"/>
          <w:color w:val="1A1A1A"/>
        </w:rPr>
        <w:t xml:space="preserve"> in this dissertation are strictly on-street installations: equipment mounted </w:t>
      </w:r>
      <w:proofErr w:type="spellStart"/>
      <w:r w:rsidRPr="001F69FA">
        <w:rPr>
          <w:rFonts w:eastAsia="Calibri"/>
          <w:color w:val="1A1A1A"/>
        </w:rPr>
        <w:t>kerbside</w:t>
      </w:r>
      <w:proofErr w:type="spellEnd"/>
      <w:r w:rsidRPr="001F69FA">
        <w:rPr>
          <w:rFonts w:eastAsia="Calibri"/>
          <w:color w:val="1A1A1A"/>
        </w:rPr>
        <w:t xml:space="preserve"> adjacent to on-street parking bays, or on existing lamp posts, within the public highway reserve. This excludes dedicated surface car parks and private off-street parking areas. Candidate sites are generated from one primary source (OSM highway network), with </w:t>
      </w:r>
      <w:proofErr w:type="spellStart"/>
      <w:r w:rsidRPr="001F69FA">
        <w:rPr>
          <w:rFonts w:eastAsia="Calibri"/>
          <w:color w:val="1A1A1A"/>
        </w:rPr>
        <w:t>OpenStreetEV_GLA</w:t>
      </w:r>
      <w:proofErr w:type="spellEnd"/>
      <w:r w:rsidRPr="001F69FA">
        <w:rPr>
          <w:rFonts w:eastAsia="Calibri"/>
          <w:color w:val="1A1A1A"/>
        </w:rPr>
        <w:t xml:space="preserve"> serving as an exclusion reference rather than a candidate source.</w:t>
      </w:r>
    </w:p>
    <w:p w14:paraId="637578B6" w14:textId="727E44D0" w:rsidR="00293675" w:rsidRDefault="0067072C">
      <w:pPr>
        <w:spacing w:before="100" w:after="40"/>
        <w:jc w:val="center"/>
      </w:pPr>
      <w:r w:rsidRPr="0067072C">
        <w:rPr>
          <w:noProof/>
        </w:rPr>
        <w:drawing>
          <wp:inline distT="0" distB="0" distL="0" distR="0" wp14:anchorId="3665D2CA" wp14:editId="7122DC04">
            <wp:extent cx="4991100" cy="3558248"/>
            <wp:effectExtent l="0" t="0" r="0" b="0"/>
            <wp:docPr id="1736802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02368" name=""/>
                    <pic:cNvPicPr/>
                  </pic:nvPicPr>
                  <pic:blipFill>
                    <a:blip r:embed="rId11"/>
                    <a:stretch>
                      <a:fillRect/>
                    </a:stretch>
                  </pic:blipFill>
                  <pic:spPr>
                    <a:xfrm>
                      <a:off x="0" y="0"/>
                      <a:ext cx="5001038" cy="3565333"/>
                    </a:xfrm>
                    <a:prstGeom prst="rect">
                      <a:avLst/>
                    </a:prstGeom>
                  </pic:spPr>
                </pic:pic>
              </a:graphicData>
            </a:graphic>
          </wp:inline>
        </w:drawing>
      </w:r>
    </w:p>
    <w:p w14:paraId="2CA4D122" w14:textId="55611928" w:rsidR="00293675" w:rsidRDefault="00000000">
      <w:pPr>
        <w:spacing w:before="20" w:after="140"/>
        <w:jc w:val="center"/>
      </w:pPr>
      <w:r>
        <w:rPr>
          <w:rFonts w:eastAsia="Calibri"/>
          <w:color w:val="555555"/>
          <w:sz w:val="18"/>
          <w:szCs w:val="18"/>
        </w:rPr>
        <w:t xml:space="preserve">Figure 5: Candidate site generation </w:t>
      </w:r>
    </w:p>
    <w:p w14:paraId="47A26B31" w14:textId="77777777" w:rsidR="00A11FB4" w:rsidRDefault="00A11FB4">
      <w:pPr>
        <w:spacing w:before="60" w:after="80"/>
        <w:jc w:val="both"/>
      </w:pPr>
    </w:p>
    <w:p w14:paraId="756C200F" w14:textId="77777777" w:rsidR="000D27D5" w:rsidRDefault="000D27D5">
      <w:pPr>
        <w:spacing w:before="60" w:after="80"/>
        <w:jc w:val="both"/>
        <w:rPr>
          <w:rFonts w:eastAsia="Calibri"/>
          <w:b/>
          <w:bCs/>
          <w:color w:val="111111"/>
        </w:rPr>
      </w:pPr>
    </w:p>
    <w:p w14:paraId="144AD5BE" w14:textId="20FBC2C7" w:rsidR="00293675" w:rsidRDefault="00000000">
      <w:pPr>
        <w:spacing w:before="60" w:after="80"/>
        <w:jc w:val="both"/>
      </w:pPr>
      <w:proofErr w:type="gramStart"/>
      <w:r>
        <w:rPr>
          <w:rFonts w:eastAsia="Calibri"/>
          <w:b/>
          <w:bCs/>
          <w:color w:val="111111"/>
        </w:rPr>
        <w:lastRenderedPageBreak/>
        <w:t>Source :</w:t>
      </w:r>
      <w:proofErr w:type="gramEnd"/>
      <w:r>
        <w:rPr>
          <w:rFonts w:eastAsia="Calibri"/>
          <w:b/>
          <w:bCs/>
          <w:color w:val="111111"/>
        </w:rPr>
        <w:t xml:space="preserve"> OSM Highway Network (</w:t>
      </w:r>
      <w:proofErr w:type="spellStart"/>
      <w:r>
        <w:rPr>
          <w:rFonts w:eastAsia="Calibri"/>
          <w:b/>
          <w:bCs/>
          <w:color w:val="111111"/>
        </w:rPr>
        <w:t>Geofabrik</w:t>
      </w:r>
      <w:proofErr w:type="spellEnd"/>
      <w:r>
        <w:rPr>
          <w:rFonts w:eastAsia="Calibri"/>
          <w:b/>
          <w:bCs/>
          <w:color w:val="111111"/>
        </w:rPr>
        <w:t xml:space="preserve"> London 2024)</w:t>
      </w:r>
    </w:p>
    <w:p w14:paraId="15F6A973" w14:textId="77777777" w:rsidR="00293675" w:rsidRDefault="00000000">
      <w:pPr>
        <w:pStyle w:val="a4"/>
        <w:numPr>
          <w:ilvl w:val="0"/>
          <w:numId w:val="2"/>
        </w:numPr>
        <w:spacing w:before="30" w:after="50"/>
      </w:pPr>
      <w:r>
        <w:rPr>
          <w:rFonts w:eastAsia="Calibri"/>
          <w:color w:val="1A1A1A"/>
        </w:rPr>
        <w:t>Filter highway types: residential, tertiary, secondary, unclassified.</w:t>
      </w:r>
    </w:p>
    <w:p w14:paraId="32CF68EF" w14:textId="77777777" w:rsidR="00293675" w:rsidRDefault="00000000">
      <w:pPr>
        <w:pStyle w:val="a4"/>
        <w:numPr>
          <w:ilvl w:val="0"/>
          <w:numId w:val="2"/>
        </w:numPr>
        <w:spacing w:before="30" w:after="50"/>
      </w:pPr>
      <w:r>
        <w:rPr>
          <w:rFonts w:eastAsia="Calibri"/>
          <w:color w:val="1A1A1A"/>
        </w:rPr>
        <w:t xml:space="preserve">Filter: </w:t>
      </w:r>
      <w:proofErr w:type="spellStart"/>
      <w:proofErr w:type="gramStart"/>
      <w:r>
        <w:rPr>
          <w:rFonts w:eastAsia="Calibri"/>
          <w:color w:val="1A1A1A"/>
        </w:rPr>
        <w:t>parking:lane</w:t>
      </w:r>
      <w:proofErr w:type="gramEnd"/>
      <w:r>
        <w:rPr>
          <w:rFonts w:eastAsia="Calibri"/>
          <w:color w:val="1A1A1A"/>
        </w:rPr>
        <w:t>:both</w:t>
      </w:r>
      <w:proofErr w:type="spellEnd"/>
      <w:r>
        <w:rPr>
          <w:rFonts w:eastAsia="Calibri"/>
          <w:color w:val="1A1A1A"/>
        </w:rPr>
        <w:t xml:space="preserve"> / left / right = parallel / diagonal / perpendicular. These tags confirm existing on-street parking on that segment — establishing physical compatibility with </w:t>
      </w:r>
      <w:proofErr w:type="spellStart"/>
      <w:r>
        <w:rPr>
          <w:rFonts w:eastAsia="Calibri"/>
          <w:color w:val="1A1A1A"/>
        </w:rPr>
        <w:t>chargepoint</w:t>
      </w:r>
      <w:proofErr w:type="spellEnd"/>
      <w:r>
        <w:rPr>
          <w:rFonts w:eastAsia="Calibri"/>
          <w:color w:val="1A1A1A"/>
        </w:rPr>
        <w:t xml:space="preserve"> installation.</w:t>
      </w:r>
    </w:p>
    <w:p w14:paraId="59F96F97" w14:textId="239E2151" w:rsidR="00293675" w:rsidRDefault="00000000">
      <w:pPr>
        <w:pStyle w:val="a4"/>
        <w:numPr>
          <w:ilvl w:val="0"/>
          <w:numId w:val="2"/>
        </w:numPr>
        <w:spacing w:before="30" w:after="50"/>
      </w:pPr>
      <w:r>
        <w:rPr>
          <w:rFonts w:eastAsia="Calibri"/>
          <w:color w:val="1A1A1A"/>
        </w:rPr>
        <w:t xml:space="preserve">Sample candidate points at 150 m intervals along road </w:t>
      </w:r>
      <w:proofErr w:type="spellStart"/>
      <w:r>
        <w:rPr>
          <w:rFonts w:eastAsia="Calibri"/>
          <w:color w:val="1A1A1A"/>
        </w:rPr>
        <w:t>centrelines</w:t>
      </w:r>
      <w:proofErr w:type="spellEnd"/>
      <w:r>
        <w:rPr>
          <w:rFonts w:eastAsia="Calibri"/>
          <w:color w:val="1A1A1A"/>
        </w:rPr>
        <w:t xml:space="preserve"> using </w:t>
      </w:r>
      <w:proofErr w:type="spellStart"/>
      <w:proofErr w:type="gramStart"/>
      <w:r>
        <w:rPr>
          <w:rFonts w:eastAsia="Calibri"/>
          <w:color w:val="1A1A1A"/>
        </w:rPr>
        <w:t>geometry.interpolate</w:t>
      </w:r>
      <w:proofErr w:type="spellEnd"/>
      <w:proofErr w:type="gramEnd"/>
      <w:r>
        <w:rPr>
          <w:rFonts w:eastAsia="Calibri"/>
          <w:color w:val="1A1A1A"/>
        </w:rPr>
        <w:t xml:space="preserve">(d) in </w:t>
      </w:r>
      <w:proofErr w:type="spellStart"/>
      <w:r>
        <w:rPr>
          <w:rFonts w:eastAsia="Calibri"/>
          <w:color w:val="1A1A1A"/>
        </w:rPr>
        <w:t>geopandas</w:t>
      </w:r>
      <w:proofErr w:type="spellEnd"/>
      <w:r>
        <w:rPr>
          <w:rFonts w:eastAsia="Calibri"/>
          <w:color w:val="1A1A1A"/>
        </w:rPr>
        <w:t xml:space="preserve">. </w:t>
      </w:r>
      <w:r w:rsidR="006C0E8F" w:rsidRPr="006C0E8F">
        <w:rPr>
          <w:rFonts w:eastAsia="Calibri"/>
          <w:color w:val="1A1A1A"/>
        </w:rPr>
        <w:t>The 150 m sampling interval ensures adequate spatial coverage of candidate points without generating an excessively large candidate set that would impede MILP tractability.</w:t>
      </w:r>
    </w:p>
    <w:p w14:paraId="513ADABB" w14:textId="77777777" w:rsidR="00293675" w:rsidRDefault="00000000">
      <w:pPr>
        <w:pStyle w:val="a4"/>
        <w:numPr>
          <w:ilvl w:val="0"/>
          <w:numId w:val="2"/>
        </w:numPr>
        <w:spacing w:before="30" w:after="50"/>
      </w:pPr>
      <w:r>
        <w:rPr>
          <w:rFonts w:eastAsia="Calibri"/>
          <w:color w:val="1A1A1A"/>
        </w:rPr>
        <w:t xml:space="preserve">Fallback if </w:t>
      </w:r>
      <w:proofErr w:type="spellStart"/>
      <w:proofErr w:type="gramStart"/>
      <w:r>
        <w:rPr>
          <w:rFonts w:eastAsia="Calibri"/>
          <w:color w:val="1A1A1A"/>
        </w:rPr>
        <w:t>parking:lane</w:t>
      </w:r>
      <w:proofErr w:type="spellEnd"/>
      <w:proofErr w:type="gramEnd"/>
      <w:r>
        <w:rPr>
          <w:rFonts w:eastAsia="Calibri"/>
          <w:color w:val="1A1A1A"/>
        </w:rPr>
        <w:t xml:space="preserve"> coverage insufficient: retain residential roads &lt; 500 m length (declared as Limitation L2).</w:t>
      </w:r>
    </w:p>
    <w:p w14:paraId="59E620D5" w14:textId="77777777" w:rsidR="00293675" w:rsidRDefault="00293675">
      <w:pPr>
        <w:spacing w:after="60"/>
      </w:pPr>
    </w:p>
    <w:p w14:paraId="6C86709B" w14:textId="6E8EB1A0" w:rsidR="00293675" w:rsidRDefault="00000000">
      <w:pPr>
        <w:spacing w:before="60" w:after="80"/>
        <w:jc w:val="both"/>
        <w:rPr>
          <w:rFonts w:eastAsia="Calibri"/>
          <w:color w:val="1A1A1A"/>
        </w:rPr>
      </w:pPr>
      <w:r>
        <w:rPr>
          <w:rFonts w:eastAsia="Calibri"/>
          <w:b/>
          <w:bCs/>
          <w:color w:val="111111"/>
        </w:rPr>
        <w:t>Post-merge step:</w:t>
      </w:r>
      <w:r>
        <w:rPr>
          <w:rFonts w:eastAsia="Calibri"/>
          <w:color w:val="1A1A1A"/>
        </w:rPr>
        <w:t xml:space="preserve"> </w:t>
      </w:r>
      <w:r w:rsidR="00A11FB4" w:rsidRPr="00A11FB4">
        <w:rPr>
          <w:rFonts w:eastAsia="Calibri"/>
          <w:color w:val="1A1A1A"/>
        </w:rPr>
        <w:t xml:space="preserve">A 50 m exclusion buffer is applied around all on-street charging locations recorded in </w:t>
      </w:r>
      <w:proofErr w:type="spellStart"/>
      <w:r w:rsidR="00A11FB4" w:rsidRPr="00A11FB4">
        <w:rPr>
          <w:rFonts w:eastAsia="Calibri"/>
          <w:color w:val="1A1A1A"/>
        </w:rPr>
        <w:t>OpenStreetEV_GLA</w:t>
      </w:r>
      <w:proofErr w:type="spellEnd"/>
      <w:r w:rsidR="00A11FB4" w:rsidRPr="00A11FB4">
        <w:rPr>
          <w:rFonts w:eastAsia="Calibri"/>
          <w:color w:val="1A1A1A"/>
        </w:rPr>
        <w:t xml:space="preserve"> (</w:t>
      </w:r>
      <w:proofErr w:type="spellStart"/>
      <w:r w:rsidR="00A11FB4" w:rsidRPr="00A11FB4">
        <w:rPr>
          <w:rFonts w:eastAsia="Calibri"/>
          <w:color w:val="1A1A1A"/>
        </w:rPr>
        <w:t>location_category</w:t>
      </w:r>
      <w:proofErr w:type="spellEnd"/>
      <w:r w:rsidR="00A11FB4" w:rsidRPr="00A11FB4">
        <w:rPr>
          <w:rFonts w:eastAsia="Calibri"/>
          <w:color w:val="1A1A1A"/>
        </w:rPr>
        <w:t xml:space="preserve"> = 'On-Street'), regardless of their activity level during the observation window. Candidate points within this buffer are removed. This prevents selecting locations already in immediate proximity to existing provision. The output is the candidate site set J in EPSG:27700.</w:t>
      </w:r>
    </w:p>
    <w:p w14:paraId="5F28FAE9" w14:textId="77777777" w:rsidR="00A11FB4" w:rsidRDefault="00A11FB4">
      <w:pPr>
        <w:spacing w:before="60" w:after="80"/>
        <w:jc w:val="both"/>
        <w:rPr>
          <w:rFonts w:eastAsia="Calibri"/>
          <w:color w:val="1A1A1A"/>
        </w:rPr>
      </w:pPr>
    </w:p>
    <w:p w14:paraId="6429AA13" w14:textId="042A2062" w:rsidR="00A11FB4" w:rsidRPr="00A11FB4" w:rsidRDefault="00A11FB4">
      <w:pPr>
        <w:spacing w:before="60" w:after="80"/>
        <w:jc w:val="both"/>
        <w:rPr>
          <w:rFonts w:eastAsia="Calibri"/>
          <w:b/>
          <w:bCs/>
          <w:color w:val="111111"/>
        </w:rPr>
      </w:pPr>
      <w:r w:rsidRPr="00A11FB4">
        <w:rPr>
          <w:rFonts w:eastAsia="Calibri"/>
          <w:b/>
          <w:bCs/>
          <w:color w:val="111111"/>
        </w:rPr>
        <w:t>Computational Tractability</w:t>
      </w:r>
    </w:p>
    <w:p w14:paraId="041C50B2" w14:textId="087160DA" w:rsidR="00A11FB4" w:rsidRDefault="00A11FB4">
      <w:pPr>
        <w:spacing w:before="60" w:after="80"/>
        <w:jc w:val="both"/>
      </w:pPr>
      <w:r w:rsidRPr="00A11FB4">
        <w:t>To ensure computational tractability at Greater London scale (~4,994 LSOAs), a k-nearest-</w:t>
      </w:r>
      <w:proofErr w:type="spellStart"/>
      <w:r w:rsidRPr="00A11FB4">
        <w:t>neighbour</w:t>
      </w:r>
      <w:proofErr w:type="spellEnd"/>
      <w:r w:rsidRPr="00A11FB4">
        <w:t xml:space="preserve"> pruning strategy is applied prior to </w:t>
      </w:r>
      <w:proofErr w:type="spellStart"/>
      <w:r w:rsidRPr="00A11FB4">
        <w:t>optimisation</w:t>
      </w:r>
      <w:proofErr w:type="spellEnd"/>
      <w:r w:rsidRPr="00A11FB4">
        <w:t xml:space="preserve">. For each LSOA centroid </w:t>
      </w:r>
      <w:proofErr w:type="spellStart"/>
      <w:r w:rsidRPr="00A11FB4">
        <w:t>i</w:t>
      </w:r>
      <w:proofErr w:type="spellEnd"/>
      <w:r w:rsidRPr="00A11FB4">
        <w:t>, only the k = 30 nearest candidate sites are retained as feasible assignment options, yielding a sparse distance matrix of approximately 150,000 binary assignment variables. This pruning is theoretically justified: the p-median optimal assignment never allocates a demand node to a distant facility when a nearer open facility exists (Daskin, 1995). Sensitivity to k is tested at k = 20 and k = 40.</w:t>
      </w:r>
    </w:p>
    <w:p w14:paraId="7C9AD35B" w14:textId="77777777" w:rsidR="00293675" w:rsidRDefault="00293675">
      <w:pPr>
        <w:spacing w:after="80"/>
      </w:pPr>
    </w:p>
    <w:p w14:paraId="5AAB3D39" w14:textId="77777777" w:rsidR="00293675" w:rsidRDefault="00000000">
      <w:pPr>
        <w:pStyle w:val="2"/>
      </w:pPr>
      <w:proofErr w:type="gramStart"/>
      <w:r>
        <w:t>5.4  Phase</w:t>
      </w:r>
      <w:proofErr w:type="gramEnd"/>
      <w:r>
        <w:t xml:space="preserve"> 4: P-Median Location-Allocation Model</w:t>
      </w:r>
    </w:p>
    <w:p w14:paraId="76589496" w14:textId="77777777" w:rsidR="00293675" w:rsidRDefault="00000000">
      <w:pPr>
        <w:spacing w:before="60" w:after="80"/>
        <w:jc w:val="both"/>
      </w:pPr>
      <w:r>
        <w:rPr>
          <w:rFonts w:eastAsia="Calibri"/>
          <w:color w:val="1A1A1A"/>
        </w:rPr>
        <w:t xml:space="preserve">The location-allocation problem is formulated as a p-median Mixed Integer Linear </w:t>
      </w:r>
      <w:proofErr w:type="spellStart"/>
      <w:r>
        <w:rPr>
          <w:rFonts w:eastAsia="Calibri"/>
          <w:color w:val="1A1A1A"/>
        </w:rPr>
        <w:t>Programme</w:t>
      </w:r>
      <w:proofErr w:type="spellEnd"/>
      <w:r>
        <w:rPr>
          <w:rFonts w:eastAsia="Calibri"/>
          <w:color w:val="1A1A1A"/>
        </w:rPr>
        <w:t xml:space="preserve"> (MILP).</w:t>
      </w:r>
    </w:p>
    <w:p w14:paraId="44E6D265" w14:textId="77777777" w:rsidR="00293675" w:rsidRDefault="00293675">
      <w:pPr>
        <w:spacing w:after="40"/>
      </w:pPr>
    </w:p>
    <w:p w14:paraId="5A5A6C16" w14:textId="77777777" w:rsidR="00974F2C" w:rsidRDefault="00000000">
      <w:pPr>
        <w:spacing w:before="60" w:after="80"/>
        <w:jc w:val="both"/>
        <w:rPr>
          <w:rFonts w:eastAsia="Calibri"/>
          <w:color w:val="1A1A1A"/>
        </w:rPr>
      </w:pPr>
      <w:r>
        <w:rPr>
          <w:rFonts w:eastAsia="Calibri"/>
          <w:b/>
          <w:bCs/>
          <w:color w:val="111111"/>
        </w:rPr>
        <w:t xml:space="preserve">Parameters: </w:t>
      </w:r>
      <w:r w:rsidR="00974F2C" w:rsidRPr="00974F2C">
        <w:rPr>
          <w:rFonts w:eastAsia="Calibri"/>
          <w:color w:val="1A1A1A"/>
        </w:rPr>
        <w:t xml:space="preserve">p (number of sites to open): set to 5 for the Camden toy model; tested at p </w:t>
      </w:r>
      <w:r w:rsidR="00974F2C" w:rsidRPr="00974F2C">
        <w:rPr>
          <w:rFonts w:ascii="Cambria Math" w:eastAsia="Calibri" w:hAnsi="Cambria Math" w:cs="Cambria Math"/>
          <w:color w:val="1A1A1A"/>
        </w:rPr>
        <w:t>∈</w:t>
      </w:r>
      <w:r w:rsidR="00974F2C" w:rsidRPr="00974F2C">
        <w:rPr>
          <w:rFonts w:eastAsia="Calibri"/>
          <w:color w:val="1A1A1A"/>
        </w:rPr>
        <w:t xml:space="preserve"> {100, 250, 500} for Greater London, representing low, medium, and high investment scenarios respectively. For context, London's 2030 target requires approximately 17,500–25,500 additional public </w:t>
      </w:r>
      <w:proofErr w:type="spellStart"/>
      <w:r w:rsidR="00974F2C" w:rsidRPr="00974F2C">
        <w:rPr>
          <w:rFonts w:eastAsia="Calibri"/>
          <w:color w:val="1A1A1A"/>
        </w:rPr>
        <w:t>chargepoints</w:t>
      </w:r>
      <w:proofErr w:type="spellEnd"/>
      <w:r w:rsidR="00974F2C" w:rsidRPr="00974F2C">
        <w:rPr>
          <w:rFonts w:eastAsia="Calibri"/>
          <w:color w:val="1A1A1A"/>
        </w:rPr>
        <w:t xml:space="preserve"> beyond the current stock of 25,500 (TfL/GLA 2025, R005); p = 500 represents a strategic on-street pilot rather than full-gap closure. The dissertation </w:t>
      </w:r>
      <w:proofErr w:type="spellStart"/>
      <w:r w:rsidR="00974F2C" w:rsidRPr="00974F2C">
        <w:rPr>
          <w:rFonts w:eastAsia="Calibri"/>
          <w:color w:val="1A1A1A"/>
        </w:rPr>
        <w:t>optimises</w:t>
      </w:r>
      <w:proofErr w:type="spellEnd"/>
      <w:r w:rsidR="00974F2C" w:rsidRPr="00974F2C">
        <w:rPr>
          <w:rFonts w:eastAsia="Calibri"/>
          <w:color w:val="1A1A1A"/>
        </w:rPr>
        <w:t xml:space="preserve"> spatial placement rather than final installed connector capacity — one selected candidate point represents one new on-street charging location.</w:t>
      </w:r>
    </w:p>
    <w:p w14:paraId="24A37CAA" w14:textId="77777777" w:rsidR="00293675" w:rsidRDefault="00293675">
      <w:pPr>
        <w:spacing w:after="60"/>
      </w:pPr>
    </w:p>
    <w:p w14:paraId="2EF24A78" w14:textId="77777777" w:rsidR="00293675" w:rsidRDefault="00000000">
      <w:pPr>
        <w:spacing w:before="60" w:after="80"/>
        <w:jc w:val="both"/>
      </w:pPr>
      <w:bookmarkStart w:id="0" w:name="OLE_LINK1"/>
      <w:r>
        <w:rPr>
          <w:rFonts w:eastAsia="Calibri"/>
          <w:b/>
          <w:bCs/>
          <w:color w:val="111111"/>
        </w:rPr>
        <w:t>Objective function (</w:t>
      </w:r>
      <w:proofErr w:type="spellStart"/>
      <w:r>
        <w:rPr>
          <w:rFonts w:eastAsia="Calibri"/>
          <w:b/>
          <w:bCs/>
          <w:color w:val="111111"/>
        </w:rPr>
        <w:t>minimise</w:t>
      </w:r>
      <w:proofErr w:type="spellEnd"/>
      <w:r>
        <w:rPr>
          <w:rFonts w:eastAsia="Calibri"/>
          <w:b/>
          <w:bCs/>
          <w:color w:val="111111"/>
        </w:rPr>
        <w:t xml:space="preserve"> total demand-weighted distance):</w:t>
      </w:r>
    </w:p>
    <w:bookmarkEnd w:id="0"/>
    <w:p w14:paraId="201FA6BA" w14:textId="77777777" w:rsidR="00293675" w:rsidRDefault="00000000">
      <w:pPr>
        <w:spacing w:before="120" w:after="120"/>
        <w:jc w:val="center"/>
      </w:pPr>
      <w:r>
        <w:rPr>
          <w:rFonts w:eastAsia="Calibri"/>
          <w:b/>
          <w:bCs/>
          <w:color w:val="111111"/>
          <w:sz w:val="26"/>
          <w:szCs w:val="26"/>
        </w:rPr>
        <w:t>min   Σᵢ∈</w:t>
      </w:r>
      <w:proofErr w:type="gramStart"/>
      <w:r>
        <w:rPr>
          <w:rFonts w:eastAsia="Calibri"/>
          <w:b/>
          <w:bCs/>
          <w:color w:val="111111"/>
          <w:sz w:val="26"/>
          <w:szCs w:val="26"/>
        </w:rPr>
        <w:t>I  Σ</w:t>
      </w:r>
      <w:proofErr w:type="gramEnd"/>
      <w:r>
        <w:rPr>
          <w:rFonts w:eastAsia="Calibri"/>
          <w:b/>
          <w:bCs/>
          <w:color w:val="111111"/>
          <w:sz w:val="26"/>
          <w:szCs w:val="26"/>
        </w:rPr>
        <w:t>ⱼ∈</w:t>
      </w:r>
      <w:proofErr w:type="gramStart"/>
      <w:r>
        <w:rPr>
          <w:rFonts w:eastAsia="Calibri"/>
          <w:b/>
          <w:bCs/>
          <w:color w:val="111111"/>
          <w:sz w:val="26"/>
          <w:szCs w:val="26"/>
        </w:rPr>
        <w:t>J  Dᵢ</w:t>
      </w:r>
      <w:proofErr w:type="gramEnd"/>
      <w:r>
        <w:rPr>
          <w:rFonts w:eastAsia="Calibri"/>
          <w:b/>
          <w:bCs/>
          <w:color w:val="111111"/>
          <w:sz w:val="26"/>
          <w:szCs w:val="26"/>
        </w:rPr>
        <w:t xml:space="preserve"> · dᵢⱼ · yᵢⱼ</w:t>
      </w:r>
    </w:p>
    <w:p w14:paraId="794BEBD5" w14:textId="77777777" w:rsidR="00293675" w:rsidRDefault="00293675">
      <w:pPr>
        <w:spacing w:after="60"/>
      </w:pPr>
    </w:p>
    <w:p w14:paraId="659EF476" w14:textId="2D90BBDB" w:rsidR="00631CE7" w:rsidRPr="00631CE7" w:rsidRDefault="00631CE7" w:rsidP="00631CE7">
      <w:pPr>
        <w:spacing w:after="60"/>
        <w:rPr>
          <w:b/>
          <w:bCs/>
        </w:rPr>
      </w:pPr>
      <w:r w:rsidRPr="00631CE7">
        <w:rPr>
          <w:b/>
          <w:bCs/>
        </w:rPr>
        <w:t>variable definitions:</w:t>
      </w:r>
    </w:p>
    <w:p w14:paraId="1E154BF4" w14:textId="77777777" w:rsidR="00631CE7" w:rsidRDefault="00631CE7" w:rsidP="00631CE7">
      <w:pPr>
        <w:spacing w:after="60"/>
      </w:pPr>
      <w:r>
        <w:t>I = set of all LSOA demand nodes; |I| = 130 (Camden toy model) or ~4,994 (Greater London)</w:t>
      </w:r>
    </w:p>
    <w:p w14:paraId="320F977F" w14:textId="77777777" w:rsidR="00631CE7" w:rsidRDefault="00631CE7" w:rsidP="00631CE7">
      <w:pPr>
        <w:spacing w:after="60"/>
      </w:pPr>
      <w:r>
        <w:t xml:space="preserve">J = set of all candidate on-street sites generated from OSM highway + </w:t>
      </w:r>
      <w:proofErr w:type="spellStart"/>
      <w:proofErr w:type="gramStart"/>
      <w:r>
        <w:t>parking:lane</w:t>
      </w:r>
      <w:proofErr w:type="spellEnd"/>
      <w:proofErr w:type="gramEnd"/>
      <w:r>
        <w:t xml:space="preserve"> tags, after 50 m exclusion buffer; |J| pruned to k = 30 nearest per LSOA before </w:t>
      </w:r>
      <w:proofErr w:type="spellStart"/>
      <w:r>
        <w:t>optimisation</w:t>
      </w:r>
      <w:proofErr w:type="spellEnd"/>
    </w:p>
    <w:p w14:paraId="1B33C465" w14:textId="77777777" w:rsidR="00631CE7" w:rsidRDefault="00631CE7" w:rsidP="00631CE7">
      <w:pPr>
        <w:spacing w:after="60"/>
      </w:pPr>
      <w:r>
        <w:t xml:space="preserve">Dᵢ = equity-adjusted demand weight for LSOA </w:t>
      </w:r>
      <w:proofErr w:type="spellStart"/>
      <w:r>
        <w:t>i</w:t>
      </w:r>
      <w:proofErr w:type="spellEnd"/>
      <w:r>
        <w:t xml:space="preserve"> = Pᵢ × Pd × </w:t>
      </w:r>
      <w:proofErr w:type="spellStart"/>
      <w:r>
        <w:t>Ppub</w:t>
      </w:r>
      <w:proofErr w:type="spellEnd"/>
      <w:r>
        <w:t xml:space="preserve"> × (1 + α × IMDᵢ). Because Pd and </w:t>
      </w:r>
      <w:proofErr w:type="spellStart"/>
      <w:r>
        <w:t>Ppub</w:t>
      </w:r>
      <w:proofErr w:type="spellEnd"/>
      <w:r>
        <w:t xml:space="preserve"> are constants identical across all LSOAs, they do not affect which sites are selected — only Pᵢ and (1 + α × IMDᵢ) determine the spatial ranking of demand. Dᵢ is a planning need weight, not a forecast of observed charging sessions.</w:t>
      </w:r>
    </w:p>
    <w:p w14:paraId="2C0227B1" w14:textId="77777777" w:rsidR="00631CE7" w:rsidRDefault="00631CE7" w:rsidP="00631CE7">
      <w:pPr>
        <w:spacing w:after="60"/>
      </w:pPr>
      <w:r>
        <w:t xml:space="preserve">dᵢⱼ = Euclidean distance in </w:t>
      </w:r>
      <w:proofErr w:type="spellStart"/>
      <w:r>
        <w:t>metres</w:t>
      </w:r>
      <w:proofErr w:type="spellEnd"/>
      <w:r>
        <w:t xml:space="preserve"> between the centroid of LSOA </w:t>
      </w:r>
      <w:proofErr w:type="spellStart"/>
      <w:r>
        <w:t>i</w:t>
      </w:r>
      <w:proofErr w:type="spellEnd"/>
      <w:r>
        <w:t xml:space="preserve"> and candidate site j, computed in EPSG:27700 (British National Grid). Used as a proxy for walking distance. All distances are pre-computed into a sparse |I| × k matrix before the solver is called.</w:t>
      </w:r>
    </w:p>
    <w:p w14:paraId="69B97256" w14:textId="77777777" w:rsidR="00631CE7" w:rsidRDefault="00631CE7" w:rsidP="00631CE7">
      <w:pPr>
        <w:spacing w:after="60"/>
      </w:pPr>
      <w:r>
        <w:lastRenderedPageBreak/>
        <w:t xml:space="preserve">yᵢⱼ </w:t>
      </w:r>
      <w:r>
        <w:rPr>
          <w:rFonts w:hint="eastAsia"/>
        </w:rPr>
        <w:t>∈</w:t>
      </w:r>
      <w:r>
        <w:t xml:space="preserve"> {0, 1} = assignment variable; yᵢⱼ = 1 if LSOA </w:t>
      </w:r>
      <w:proofErr w:type="spellStart"/>
      <w:r>
        <w:t>i</w:t>
      </w:r>
      <w:proofErr w:type="spellEnd"/>
      <w:r>
        <w:t xml:space="preserve"> is assigned to candidate site j in the optimal solution, 0 otherwise. Each LSOA is assigned to exactly one open site (constraint C2).</w:t>
      </w:r>
    </w:p>
    <w:p w14:paraId="0A64408F" w14:textId="77777777" w:rsidR="00631CE7" w:rsidRDefault="00631CE7" w:rsidP="00631CE7">
      <w:pPr>
        <w:spacing w:after="60"/>
      </w:pPr>
      <w:r>
        <w:t xml:space="preserve">xⱼ </w:t>
      </w:r>
      <w:r>
        <w:rPr>
          <w:rFonts w:hint="eastAsia"/>
        </w:rPr>
        <w:t>∈</w:t>
      </w:r>
      <w:r>
        <w:t xml:space="preserve"> {0, 1} = site selection variable; xⱼ = 1 if candidate site j is selected (opened), 0 otherwise. Exactly p sites are opened (constraint C3).</w:t>
      </w:r>
    </w:p>
    <w:p w14:paraId="430D7655" w14:textId="77777777" w:rsidR="00631CE7" w:rsidRDefault="00631CE7" w:rsidP="00631CE7">
      <w:pPr>
        <w:spacing w:after="60"/>
      </w:pPr>
    </w:p>
    <w:p w14:paraId="2E17D8C8" w14:textId="7681602F" w:rsidR="00631CE7" w:rsidRDefault="00631CE7" w:rsidP="00631CE7">
      <w:pPr>
        <w:spacing w:after="60"/>
      </w:pPr>
      <w:r>
        <w:t xml:space="preserve">The objective </w:t>
      </w:r>
      <w:proofErr w:type="spellStart"/>
      <w:r>
        <w:t>minimises</w:t>
      </w:r>
      <w:proofErr w:type="spellEnd"/>
      <w:r>
        <w:t xml:space="preserve"> the sum of demand-weighted distances across all LSOAs to their assigned sites. Because Dᵢ is higher for income-deprived LSOAs when α &gt; 0, the solver is implicitly </w:t>
      </w:r>
      <w:proofErr w:type="spellStart"/>
      <w:r>
        <w:t>penalised</w:t>
      </w:r>
      <w:proofErr w:type="spellEnd"/>
      <w:r>
        <w:t xml:space="preserve"> more for leaving deprived areas far from selected sites — this is how equity weighting enters the </w:t>
      </w:r>
      <w:proofErr w:type="spellStart"/>
      <w:r>
        <w:t>optimisation</w:t>
      </w:r>
      <w:proofErr w:type="spellEnd"/>
      <w:r>
        <w:t xml:space="preserve"> without requiring a separate objective term.</w:t>
      </w:r>
    </w:p>
    <w:p w14:paraId="43EEAB24" w14:textId="77777777" w:rsidR="00631CE7" w:rsidRDefault="00631CE7">
      <w:pPr>
        <w:spacing w:after="60"/>
      </w:pPr>
    </w:p>
    <w:p w14:paraId="70A34868" w14:textId="77777777" w:rsidR="00293675" w:rsidRDefault="00000000">
      <w:pPr>
        <w:spacing w:before="60" w:after="80"/>
        <w:jc w:val="both"/>
      </w:pPr>
      <w:r>
        <w:rPr>
          <w:rFonts w:eastAsia="Calibri"/>
          <w:b/>
          <w:bCs/>
          <w:color w:val="111111"/>
        </w:rPr>
        <w:t>Constraints:</w:t>
      </w:r>
    </w:p>
    <w:p w14:paraId="431DAB8D" w14:textId="77777777" w:rsidR="00293675" w:rsidRDefault="00000000">
      <w:pPr>
        <w:pStyle w:val="a4"/>
        <w:numPr>
          <w:ilvl w:val="0"/>
          <w:numId w:val="2"/>
        </w:numPr>
        <w:spacing w:before="30" w:after="50"/>
      </w:pPr>
      <w:r>
        <w:rPr>
          <w:rFonts w:eastAsia="Calibri"/>
          <w:color w:val="1A1A1A"/>
        </w:rPr>
        <w:t xml:space="preserve">C1: yᵢⱼ ≤ </w:t>
      </w:r>
      <w:proofErr w:type="gramStart"/>
      <w:r>
        <w:rPr>
          <w:rFonts w:eastAsia="Calibri"/>
          <w:color w:val="1A1A1A"/>
        </w:rPr>
        <w:t>xⱼ  ∀</w:t>
      </w:r>
      <w:proofErr w:type="spellStart"/>
      <w:proofErr w:type="gramEnd"/>
      <w:r>
        <w:rPr>
          <w:rFonts w:eastAsia="Calibri"/>
          <w:color w:val="1A1A1A"/>
        </w:rPr>
        <w:t>i</w:t>
      </w:r>
      <w:proofErr w:type="spellEnd"/>
      <w:r>
        <w:rPr>
          <w:rFonts w:eastAsia="Calibri"/>
          <w:color w:val="1A1A1A"/>
        </w:rPr>
        <w:t xml:space="preserve">, </w:t>
      </w:r>
      <w:proofErr w:type="gramStart"/>
      <w:r>
        <w:rPr>
          <w:rFonts w:eastAsia="Calibri"/>
          <w:color w:val="1A1A1A"/>
        </w:rPr>
        <w:t>j  —</w:t>
      </w:r>
      <w:proofErr w:type="gramEnd"/>
      <w:r>
        <w:rPr>
          <w:rFonts w:eastAsia="Calibri"/>
          <w:color w:val="1A1A1A"/>
        </w:rPr>
        <w:t xml:space="preserve"> demand assigned only to open sites.</w:t>
      </w:r>
    </w:p>
    <w:p w14:paraId="644B1E1B" w14:textId="77777777" w:rsidR="00293675" w:rsidRDefault="00000000">
      <w:pPr>
        <w:pStyle w:val="a4"/>
        <w:numPr>
          <w:ilvl w:val="0"/>
          <w:numId w:val="2"/>
        </w:numPr>
        <w:spacing w:before="30" w:after="50"/>
      </w:pPr>
      <w:r>
        <w:rPr>
          <w:rFonts w:eastAsia="Calibri"/>
          <w:color w:val="1A1A1A"/>
        </w:rPr>
        <w:t xml:space="preserve">C2: Σⱼ yᵢⱼ = </w:t>
      </w:r>
      <w:proofErr w:type="gramStart"/>
      <w:r>
        <w:rPr>
          <w:rFonts w:eastAsia="Calibri"/>
          <w:color w:val="1A1A1A"/>
        </w:rPr>
        <w:t>1  ∀</w:t>
      </w:r>
      <w:proofErr w:type="spellStart"/>
      <w:r>
        <w:rPr>
          <w:rFonts w:eastAsia="Calibri"/>
          <w:color w:val="1A1A1A"/>
        </w:rPr>
        <w:t>i</w:t>
      </w:r>
      <w:proofErr w:type="spellEnd"/>
      <w:r>
        <w:rPr>
          <w:rFonts w:eastAsia="Calibri"/>
          <w:color w:val="1A1A1A"/>
        </w:rPr>
        <w:t xml:space="preserve">  —</w:t>
      </w:r>
      <w:proofErr w:type="gramEnd"/>
      <w:r>
        <w:rPr>
          <w:rFonts w:eastAsia="Calibri"/>
          <w:color w:val="1A1A1A"/>
        </w:rPr>
        <w:t xml:space="preserve"> each LSOA assigned to exactly one site.</w:t>
      </w:r>
    </w:p>
    <w:p w14:paraId="30CEE281" w14:textId="77777777" w:rsidR="00293675" w:rsidRDefault="00000000">
      <w:pPr>
        <w:pStyle w:val="a4"/>
        <w:numPr>
          <w:ilvl w:val="0"/>
          <w:numId w:val="2"/>
        </w:numPr>
        <w:spacing w:before="30" w:after="50"/>
      </w:pPr>
      <w:r>
        <w:rPr>
          <w:rFonts w:eastAsia="Calibri"/>
          <w:color w:val="1A1A1A"/>
        </w:rPr>
        <w:t xml:space="preserve">C3: Σⱼ xⱼ = </w:t>
      </w:r>
      <w:proofErr w:type="gramStart"/>
      <w:r>
        <w:rPr>
          <w:rFonts w:eastAsia="Calibri"/>
          <w:color w:val="1A1A1A"/>
        </w:rPr>
        <w:t>p  —</w:t>
      </w:r>
      <w:proofErr w:type="gramEnd"/>
      <w:r>
        <w:rPr>
          <w:rFonts w:eastAsia="Calibri"/>
          <w:color w:val="1A1A1A"/>
        </w:rPr>
        <w:t xml:space="preserve"> exactly p sites opened.</w:t>
      </w:r>
    </w:p>
    <w:p w14:paraId="0BD42989" w14:textId="1D86AD85" w:rsidR="00293675" w:rsidRDefault="00000000">
      <w:pPr>
        <w:pStyle w:val="a4"/>
        <w:numPr>
          <w:ilvl w:val="0"/>
          <w:numId w:val="2"/>
        </w:numPr>
        <w:spacing w:before="30" w:after="50"/>
      </w:pPr>
      <w:r>
        <w:rPr>
          <w:rFonts w:eastAsia="Calibri"/>
          <w:color w:val="1A1A1A"/>
        </w:rPr>
        <w:t>C</w:t>
      </w:r>
      <w:r w:rsidR="006C0E8F">
        <w:rPr>
          <w:rFonts w:eastAsia="Calibri"/>
          <w:color w:val="1A1A1A"/>
        </w:rPr>
        <w:t>4</w:t>
      </w:r>
      <w:r>
        <w:rPr>
          <w:rFonts w:eastAsia="Calibri"/>
          <w:color w:val="1A1A1A"/>
        </w:rPr>
        <w:t>: xⱼ, yᵢⱼ ∈ {0,1</w:t>
      </w:r>
      <w:proofErr w:type="gramStart"/>
      <w:r>
        <w:rPr>
          <w:rFonts w:eastAsia="Calibri"/>
          <w:color w:val="1A1A1A"/>
        </w:rPr>
        <w:t>}  —</w:t>
      </w:r>
      <w:proofErr w:type="gramEnd"/>
      <w:r>
        <w:rPr>
          <w:rFonts w:eastAsia="Calibri"/>
          <w:color w:val="1A1A1A"/>
        </w:rPr>
        <w:t xml:space="preserve"> binary integrality.</w:t>
      </w:r>
    </w:p>
    <w:p w14:paraId="654A28DC" w14:textId="52BB76F8" w:rsidR="00293675" w:rsidRDefault="00000000">
      <w:pPr>
        <w:pStyle w:val="a4"/>
        <w:numPr>
          <w:ilvl w:val="0"/>
          <w:numId w:val="2"/>
        </w:numPr>
        <w:spacing w:before="30" w:after="50"/>
      </w:pPr>
      <w:r>
        <w:rPr>
          <w:rFonts w:eastAsia="Calibri"/>
          <w:color w:val="1A1A1A"/>
        </w:rPr>
        <w:t>C5</w:t>
      </w:r>
      <w:r w:rsidR="006C0E8F">
        <w:rPr>
          <w:rFonts w:eastAsia="Calibri"/>
          <w:color w:val="1A1A1A"/>
        </w:rPr>
        <w:t>:</w:t>
      </w:r>
      <w:r>
        <w:rPr>
          <w:rFonts w:eastAsia="Calibri"/>
          <w:color w:val="1A1A1A"/>
        </w:rPr>
        <w:t xml:space="preserve"> (optional): yᵢⱼ = 0 if dᵢⱼ &gt; r = 800 </w:t>
      </w:r>
      <w:proofErr w:type="gramStart"/>
      <w:r>
        <w:rPr>
          <w:rFonts w:eastAsia="Calibri"/>
          <w:color w:val="1A1A1A"/>
        </w:rPr>
        <w:t>m  —</w:t>
      </w:r>
      <w:proofErr w:type="gramEnd"/>
      <w:r>
        <w:rPr>
          <w:rFonts w:eastAsia="Calibri"/>
          <w:color w:val="1A1A1A"/>
        </w:rPr>
        <w:t xml:space="preserve"> service radius; tested in Phase 2 of the toy model.</w:t>
      </w:r>
    </w:p>
    <w:p w14:paraId="690E73AF" w14:textId="77777777" w:rsidR="00293675" w:rsidRDefault="00293675">
      <w:pPr>
        <w:spacing w:after="60"/>
      </w:pPr>
    </w:p>
    <w:p w14:paraId="6A78F2C3" w14:textId="77777777" w:rsidR="00293675" w:rsidRDefault="00000000">
      <w:pPr>
        <w:spacing w:before="60" w:after="80"/>
        <w:jc w:val="both"/>
      </w:pPr>
      <w:r>
        <w:rPr>
          <w:rFonts w:eastAsia="Calibri"/>
          <w:b/>
          <w:bCs/>
          <w:color w:val="111111"/>
        </w:rPr>
        <w:t>Why p-median (not MCLP):</w:t>
      </w:r>
      <w:r>
        <w:rPr>
          <w:rFonts w:eastAsia="Calibri"/>
          <w:color w:val="1A1A1A"/>
        </w:rPr>
        <w:t xml:space="preserve"> P012 (He, Kuo and Wu 2016) demonstrates that PMP achieves 35.74% lower demand-weighted distance vs MCLP in an EV charging context. The PMP's structural tendency to under-serve low-demand (often deprived) areas is precisely what the IMD equity multiplier counteracts. Solver: </w:t>
      </w:r>
      <w:proofErr w:type="spellStart"/>
      <w:r>
        <w:rPr>
          <w:rFonts w:eastAsia="Calibri"/>
          <w:color w:val="1A1A1A"/>
        </w:rPr>
        <w:t>PuLP</w:t>
      </w:r>
      <w:proofErr w:type="spellEnd"/>
      <w:r>
        <w:rPr>
          <w:rFonts w:eastAsia="Calibri"/>
          <w:color w:val="1A1A1A"/>
        </w:rPr>
        <w:t>/CBC (open-source MILP).</w:t>
      </w:r>
    </w:p>
    <w:p w14:paraId="3D061C26" w14:textId="77777777" w:rsidR="00293675" w:rsidRDefault="00293675">
      <w:pPr>
        <w:spacing w:after="60"/>
      </w:pPr>
    </w:p>
    <w:p w14:paraId="2E72BA91" w14:textId="77777777" w:rsidR="00293675" w:rsidRDefault="00000000">
      <w:pPr>
        <w:spacing w:before="60" w:after="80"/>
        <w:jc w:val="both"/>
      </w:pPr>
      <w:r>
        <w:rPr>
          <w:rFonts w:eastAsia="Calibri"/>
          <w:b/>
          <w:bCs/>
          <w:color w:val="111111"/>
        </w:rPr>
        <w:t>No capacity constraint in core model:</w:t>
      </w:r>
      <w:r>
        <w:rPr>
          <w:rFonts w:eastAsia="Calibri"/>
          <w:color w:val="1A1A1A"/>
        </w:rPr>
        <w:t xml:space="preserve"> A meaningful capacity constraint requires converting demand weight units (population-based) to service-capacity units (charging events per connector per day). This conversion depends on </w:t>
      </w:r>
      <w:proofErr w:type="spellStart"/>
      <w:r>
        <w:rPr>
          <w:rFonts w:eastAsia="Calibri"/>
          <w:color w:val="1A1A1A"/>
        </w:rPr>
        <w:t>utilisation</w:t>
      </w:r>
      <w:proofErr w:type="spellEnd"/>
      <w:r>
        <w:rPr>
          <w:rFonts w:eastAsia="Calibri"/>
          <w:color w:val="1A1A1A"/>
        </w:rPr>
        <w:t xml:space="preserve"> data, which is now available via join_august2025.csv — but the conversion introduces a unit-consistency dependency between the supply baseline and the objective function. Capacity constraints are declared as a future extension (Limitation L3).</w:t>
      </w:r>
    </w:p>
    <w:p w14:paraId="026C2193" w14:textId="77777777" w:rsidR="00293675" w:rsidRDefault="00293675">
      <w:pPr>
        <w:spacing w:after="80"/>
      </w:pPr>
    </w:p>
    <w:p w14:paraId="0950B02A" w14:textId="77777777" w:rsidR="00293675" w:rsidRDefault="00000000">
      <w:pPr>
        <w:pStyle w:val="2"/>
      </w:pPr>
      <w:proofErr w:type="gramStart"/>
      <w:r>
        <w:t>5.5  Phase</w:t>
      </w:r>
      <w:proofErr w:type="gramEnd"/>
      <w:r>
        <w:t xml:space="preserve"> 5: Scenario Analysis</w:t>
      </w:r>
    </w:p>
    <w:p w14:paraId="5E997278" w14:textId="77777777" w:rsidR="00293675" w:rsidRDefault="0029367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461"/>
        <w:gridCol w:w="1804"/>
        <w:gridCol w:w="840"/>
        <w:gridCol w:w="5357"/>
      </w:tblGrid>
      <w:tr w:rsidR="00293675" w14:paraId="026F155B" w14:textId="77777777" w:rsidTr="00716B76">
        <w:trPr>
          <w:tblHeader/>
        </w:trPr>
        <w:tc>
          <w:tcPr>
            <w:tcW w:w="898"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FC94893" w14:textId="77777777" w:rsidR="00293675" w:rsidRPr="00297F50" w:rsidRDefault="00000000">
            <w:pPr>
              <w:rPr>
                <w:color w:val="000000" w:themeColor="text1"/>
              </w:rPr>
            </w:pPr>
            <w:r w:rsidRPr="00297F50">
              <w:rPr>
                <w:rFonts w:eastAsia="Calibri"/>
                <w:b/>
                <w:bCs/>
                <w:color w:val="000000" w:themeColor="text1"/>
                <w:sz w:val="19"/>
                <w:szCs w:val="19"/>
              </w:rPr>
              <w:t>Scenario</w:t>
            </w:r>
          </w:p>
        </w:tc>
        <w:tc>
          <w:tcPr>
            <w:tcW w:w="461"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27F20738" w14:textId="77777777" w:rsidR="00293675" w:rsidRPr="00297F50" w:rsidRDefault="00000000">
            <w:pPr>
              <w:rPr>
                <w:color w:val="000000" w:themeColor="text1"/>
              </w:rPr>
            </w:pPr>
            <w:r w:rsidRPr="00297F50">
              <w:rPr>
                <w:rFonts w:eastAsia="Calibri"/>
                <w:b/>
                <w:bCs/>
                <w:color w:val="000000" w:themeColor="text1"/>
                <w:sz w:val="19"/>
                <w:szCs w:val="19"/>
              </w:rPr>
              <w:t>α</w:t>
            </w:r>
          </w:p>
        </w:tc>
        <w:tc>
          <w:tcPr>
            <w:tcW w:w="1804"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B0BC4B1" w14:textId="77777777" w:rsidR="00293675" w:rsidRPr="00297F50" w:rsidRDefault="00000000">
            <w:pPr>
              <w:rPr>
                <w:color w:val="000000" w:themeColor="text1"/>
              </w:rPr>
            </w:pPr>
            <w:r w:rsidRPr="00297F50">
              <w:rPr>
                <w:rFonts w:eastAsia="Calibri"/>
                <w:b/>
                <w:bCs/>
                <w:color w:val="000000" w:themeColor="text1"/>
                <w:sz w:val="19"/>
                <w:szCs w:val="19"/>
              </w:rPr>
              <w:t>Label</w:t>
            </w:r>
          </w:p>
        </w:tc>
        <w:tc>
          <w:tcPr>
            <w:tcW w:w="84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D856981" w14:textId="77777777" w:rsidR="00293675" w:rsidRPr="00297F50" w:rsidRDefault="00000000">
            <w:pPr>
              <w:rPr>
                <w:color w:val="000000" w:themeColor="text1"/>
              </w:rPr>
            </w:pPr>
            <w:r w:rsidRPr="00297F50">
              <w:rPr>
                <w:rFonts w:eastAsia="Calibri"/>
                <w:b/>
                <w:bCs/>
                <w:color w:val="000000" w:themeColor="text1"/>
                <w:sz w:val="19"/>
                <w:szCs w:val="19"/>
              </w:rPr>
              <w:t>Max Uplift</w:t>
            </w:r>
          </w:p>
        </w:tc>
        <w:tc>
          <w:tcPr>
            <w:tcW w:w="5357"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22D6456" w14:textId="77777777" w:rsidR="00293675" w:rsidRPr="00297F50" w:rsidRDefault="00000000">
            <w:pPr>
              <w:rPr>
                <w:color w:val="000000" w:themeColor="text1"/>
              </w:rPr>
            </w:pPr>
            <w:r w:rsidRPr="00297F50">
              <w:rPr>
                <w:rFonts w:eastAsia="Calibri"/>
                <w:b/>
                <w:bCs/>
                <w:color w:val="000000" w:themeColor="text1"/>
                <w:sz w:val="19"/>
                <w:szCs w:val="19"/>
              </w:rPr>
              <w:t>Primary Purpose</w:t>
            </w:r>
          </w:p>
        </w:tc>
      </w:tr>
      <w:tr w:rsidR="00293675" w14:paraId="0995B3FD" w14:textId="77777777" w:rsidTr="00716B76">
        <w:tc>
          <w:tcPr>
            <w:tcW w:w="898"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A92FCED" w14:textId="77777777" w:rsidR="00293675" w:rsidRDefault="00000000">
            <w:r>
              <w:rPr>
                <w:rFonts w:eastAsia="Calibri"/>
                <w:color w:val="1A1A1A"/>
                <w:sz w:val="19"/>
                <w:szCs w:val="19"/>
              </w:rPr>
              <w:t>A</w:t>
            </w:r>
          </w:p>
        </w:tc>
        <w:tc>
          <w:tcPr>
            <w:tcW w:w="461"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3FE0B21" w14:textId="77777777" w:rsidR="00293675" w:rsidRDefault="00000000">
            <w:r>
              <w:rPr>
                <w:rFonts w:eastAsia="Calibri"/>
                <w:color w:val="1A1A1A"/>
                <w:sz w:val="19"/>
                <w:szCs w:val="19"/>
              </w:rPr>
              <w:t>0</w:t>
            </w:r>
          </w:p>
        </w:tc>
        <w:tc>
          <w:tcPr>
            <w:tcW w:w="1804"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3FDEB7E" w14:textId="77777777" w:rsidR="00293675" w:rsidRDefault="00000000">
            <w:r>
              <w:rPr>
                <w:rFonts w:eastAsia="Calibri"/>
                <w:color w:val="1A1A1A"/>
                <w:sz w:val="19"/>
                <w:szCs w:val="19"/>
              </w:rPr>
              <w:t>Efficiency Baseline</w:t>
            </w:r>
          </w:p>
        </w:tc>
        <w:tc>
          <w:tcPr>
            <w:tcW w:w="84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F404060" w14:textId="77777777" w:rsidR="00293675" w:rsidRDefault="00000000">
            <w:r>
              <w:rPr>
                <w:rFonts w:eastAsia="Calibri"/>
                <w:color w:val="1A1A1A"/>
                <w:sz w:val="19"/>
                <w:szCs w:val="19"/>
              </w:rPr>
              <w:t>0%</w:t>
            </w:r>
          </w:p>
        </w:tc>
        <w:tc>
          <w:tcPr>
            <w:tcW w:w="535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EF2899B" w14:textId="043223BF" w:rsidR="00293675" w:rsidRDefault="003E245B">
            <w:r w:rsidRPr="003E245B">
              <w:rPr>
                <w:rFonts w:eastAsia="Calibri"/>
                <w:color w:val="1A1A1A"/>
                <w:sz w:val="19"/>
                <w:szCs w:val="19"/>
              </w:rPr>
              <w:t xml:space="preserve">Dᵢ = Pᵢ × Pd × </w:t>
            </w:r>
            <w:proofErr w:type="spellStart"/>
            <w:r w:rsidRPr="003E245B">
              <w:rPr>
                <w:rFonts w:eastAsia="Calibri"/>
                <w:color w:val="1A1A1A"/>
                <w:sz w:val="19"/>
                <w:szCs w:val="19"/>
              </w:rPr>
              <w:t>Ppub</w:t>
            </w:r>
            <w:proofErr w:type="spellEnd"/>
            <w:r w:rsidRPr="003E245B">
              <w:rPr>
                <w:rFonts w:eastAsia="Calibri"/>
                <w:color w:val="1A1A1A"/>
                <w:sz w:val="19"/>
                <w:szCs w:val="19"/>
              </w:rPr>
              <w:t xml:space="preserve">. Demand weight = driving-age population only; Pd and </w:t>
            </w:r>
            <w:proofErr w:type="spellStart"/>
            <w:r w:rsidRPr="003E245B">
              <w:rPr>
                <w:rFonts w:eastAsia="Calibri"/>
                <w:color w:val="1A1A1A"/>
                <w:sz w:val="19"/>
                <w:szCs w:val="19"/>
              </w:rPr>
              <w:t>Ppub</w:t>
            </w:r>
            <w:proofErr w:type="spellEnd"/>
            <w:r w:rsidRPr="003E245B">
              <w:rPr>
                <w:rFonts w:eastAsia="Calibri"/>
                <w:color w:val="1A1A1A"/>
                <w:sz w:val="19"/>
                <w:szCs w:val="19"/>
              </w:rPr>
              <w:t xml:space="preserve"> cancel out in spatial ranking. Replicates unweighted p-median (P012). Benchmark for all metrics.</w:t>
            </w:r>
          </w:p>
        </w:tc>
      </w:tr>
      <w:tr w:rsidR="00293675" w14:paraId="7C70B037" w14:textId="77777777" w:rsidTr="00716B76">
        <w:tc>
          <w:tcPr>
            <w:tcW w:w="898"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F26989F" w14:textId="77777777" w:rsidR="00293675" w:rsidRDefault="00000000">
            <w:r>
              <w:rPr>
                <w:rFonts w:eastAsia="Calibri"/>
                <w:color w:val="1A1A1A"/>
                <w:sz w:val="19"/>
                <w:szCs w:val="19"/>
              </w:rPr>
              <w:t>B</w:t>
            </w:r>
          </w:p>
        </w:tc>
        <w:tc>
          <w:tcPr>
            <w:tcW w:w="461"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6B9EFF2" w14:textId="77777777" w:rsidR="00293675" w:rsidRDefault="00000000">
            <w:r>
              <w:rPr>
                <w:rFonts w:eastAsia="Calibri"/>
                <w:color w:val="1A1A1A"/>
                <w:sz w:val="19"/>
                <w:szCs w:val="19"/>
              </w:rPr>
              <w:t>0.1</w:t>
            </w:r>
          </w:p>
        </w:tc>
        <w:tc>
          <w:tcPr>
            <w:tcW w:w="1804"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636C4C4" w14:textId="77777777" w:rsidR="00293675" w:rsidRDefault="00000000">
            <w:r>
              <w:rPr>
                <w:rFonts w:eastAsia="Calibri"/>
                <w:color w:val="1A1A1A"/>
                <w:sz w:val="19"/>
                <w:szCs w:val="19"/>
              </w:rPr>
              <w:t>Mild Equity</w:t>
            </w:r>
          </w:p>
        </w:tc>
        <w:tc>
          <w:tcPr>
            <w:tcW w:w="84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E2799B3" w14:textId="77777777" w:rsidR="00293675" w:rsidRDefault="00000000">
            <w:r>
              <w:rPr>
                <w:rFonts w:eastAsia="Calibri"/>
                <w:color w:val="1A1A1A"/>
                <w:sz w:val="19"/>
                <w:szCs w:val="19"/>
              </w:rPr>
              <w:t>10%</w:t>
            </w:r>
          </w:p>
        </w:tc>
        <w:tc>
          <w:tcPr>
            <w:tcW w:w="535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04043AA" w14:textId="77777777" w:rsidR="00293675" w:rsidRDefault="00000000">
            <w:r>
              <w:rPr>
                <w:rFonts w:eastAsia="Calibri"/>
                <w:color w:val="1A1A1A"/>
                <w:sz w:val="19"/>
                <w:szCs w:val="19"/>
              </w:rPr>
              <w:t>Tests lower boundary of equity–efficiency trade-off. Modest shift toward more deprived LSOAs.</w:t>
            </w:r>
          </w:p>
        </w:tc>
      </w:tr>
      <w:tr w:rsidR="00293675" w14:paraId="00A22425" w14:textId="77777777" w:rsidTr="00716B76">
        <w:tc>
          <w:tcPr>
            <w:tcW w:w="898"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A25178F" w14:textId="77777777" w:rsidR="00293675" w:rsidRDefault="00000000">
            <w:r>
              <w:rPr>
                <w:rFonts w:eastAsia="Calibri"/>
                <w:color w:val="1A1A1A"/>
                <w:sz w:val="19"/>
                <w:szCs w:val="19"/>
              </w:rPr>
              <w:t>C</w:t>
            </w:r>
          </w:p>
        </w:tc>
        <w:tc>
          <w:tcPr>
            <w:tcW w:w="461"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C0579E1" w14:textId="77777777" w:rsidR="00293675" w:rsidRDefault="00000000">
            <w:r>
              <w:rPr>
                <w:rFonts w:eastAsia="Calibri"/>
                <w:color w:val="1A1A1A"/>
                <w:sz w:val="19"/>
                <w:szCs w:val="19"/>
              </w:rPr>
              <w:t>0.3</w:t>
            </w:r>
          </w:p>
        </w:tc>
        <w:tc>
          <w:tcPr>
            <w:tcW w:w="1804"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92177AC" w14:textId="77777777" w:rsidR="00293675" w:rsidRDefault="00000000">
            <w:r>
              <w:rPr>
                <w:rFonts w:eastAsia="Calibri"/>
                <w:color w:val="1A1A1A"/>
                <w:sz w:val="19"/>
                <w:szCs w:val="19"/>
              </w:rPr>
              <w:t>Moderate Equity (Primary)</w:t>
            </w:r>
          </w:p>
        </w:tc>
        <w:tc>
          <w:tcPr>
            <w:tcW w:w="84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3F8A72C" w14:textId="77777777" w:rsidR="00293675" w:rsidRDefault="00000000">
            <w:r>
              <w:rPr>
                <w:rFonts w:eastAsia="Calibri"/>
                <w:color w:val="1A1A1A"/>
                <w:sz w:val="19"/>
                <w:szCs w:val="19"/>
              </w:rPr>
              <w:t>30%</w:t>
            </w:r>
          </w:p>
        </w:tc>
        <w:tc>
          <w:tcPr>
            <w:tcW w:w="535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5322AD6" w14:textId="77777777" w:rsidR="00293675" w:rsidRDefault="00000000">
            <w:r>
              <w:rPr>
                <w:rFonts w:eastAsia="Calibri"/>
                <w:color w:val="1A1A1A"/>
                <w:sz w:val="19"/>
                <w:szCs w:val="19"/>
              </w:rPr>
              <w:t>Central methodological contribution. Most income-deprived LSOA receives 30% demand uplift vs least deprived.</w:t>
            </w:r>
          </w:p>
        </w:tc>
      </w:tr>
      <w:tr w:rsidR="00293675" w14:paraId="4F80E75B" w14:textId="77777777" w:rsidTr="00716B76">
        <w:tc>
          <w:tcPr>
            <w:tcW w:w="898"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7514F18" w14:textId="77777777" w:rsidR="00293675" w:rsidRDefault="00000000">
            <w:r>
              <w:rPr>
                <w:rFonts w:eastAsia="Calibri"/>
                <w:color w:val="1A1A1A"/>
                <w:sz w:val="19"/>
                <w:szCs w:val="19"/>
              </w:rPr>
              <w:t>D</w:t>
            </w:r>
          </w:p>
        </w:tc>
        <w:tc>
          <w:tcPr>
            <w:tcW w:w="461"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55439A4" w14:textId="77777777" w:rsidR="00293675" w:rsidRDefault="00000000">
            <w:r>
              <w:rPr>
                <w:rFonts w:eastAsia="Calibri"/>
                <w:color w:val="1A1A1A"/>
                <w:sz w:val="19"/>
                <w:szCs w:val="19"/>
              </w:rPr>
              <w:t>0.5</w:t>
            </w:r>
          </w:p>
        </w:tc>
        <w:tc>
          <w:tcPr>
            <w:tcW w:w="1804"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B34196C" w14:textId="77777777" w:rsidR="00293675" w:rsidRDefault="00000000">
            <w:r>
              <w:rPr>
                <w:rFonts w:eastAsia="Calibri"/>
                <w:color w:val="1A1A1A"/>
                <w:sz w:val="19"/>
                <w:szCs w:val="19"/>
              </w:rPr>
              <w:t>Strong Equity</w:t>
            </w:r>
          </w:p>
        </w:tc>
        <w:tc>
          <w:tcPr>
            <w:tcW w:w="84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8C04411" w14:textId="77777777" w:rsidR="00293675" w:rsidRDefault="00000000">
            <w:r>
              <w:rPr>
                <w:rFonts w:eastAsia="Calibri"/>
                <w:color w:val="1A1A1A"/>
                <w:sz w:val="19"/>
                <w:szCs w:val="19"/>
              </w:rPr>
              <w:t>50%</w:t>
            </w:r>
          </w:p>
        </w:tc>
        <w:tc>
          <w:tcPr>
            <w:tcW w:w="535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2FFEF02" w14:textId="77777777" w:rsidR="00293675" w:rsidRDefault="00000000">
            <w:r>
              <w:rPr>
                <w:rFonts w:eastAsia="Calibri"/>
                <w:color w:val="1A1A1A"/>
                <w:sz w:val="19"/>
                <w:szCs w:val="19"/>
              </w:rPr>
              <w:t>Upper boundary test. Determines whether equity gains continue or plateau beyond α = 0.3.</w:t>
            </w:r>
          </w:p>
        </w:tc>
      </w:tr>
    </w:tbl>
    <w:p w14:paraId="1F3880C7" w14:textId="19734126" w:rsidR="00293675" w:rsidRDefault="00716B76">
      <w:pPr>
        <w:spacing w:after="80"/>
      </w:pPr>
      <w:r w:rsidRPr="00716B76">
        <w:t>For Greater London, each of the four α scenarios is run under three values of p (100, 250, 500), yielding 12 model configurations in total. The Camden toy model uses p = 5 across all four α values for pipeline validation.</w:t>
      </w:r>
    </w:p>
    <w:p w14:paraId="3F531DE7" w14:textId="77777777" w:rsidR="00716B76" w:rsidRPr="00716B76" w:rsidRDefault="00716B76">
      <w:pPr>
        <w:spacing w:after="80"/>
      </w:pPr>
    </w:p>
    <w:p w14:paraId="0E9C9790" w14:textId="77777777" w:rsidR="00804D56" w:rsidRDefault="00804D56">
      <w:pPr>
        <w:pStyle w:val="2"/>
      </w:pPr>
    </w:p>
    <w:p w14:paraId="55B1094A" w14:textId="18DDC35D" w:rsidR="00293675" w:rsidRDefault="00000000">
      <w:pPr>
        <w:pStyle w:val="2"/>
      </w:pPr>
      <w:proofErr w:type="gramStart"/>
      <w:r>
        <w:lastRenderedPageBreak/>
        <w:t>5.6  Phase</w:t>
      </w:r>
      <w:proofErr w:type="gramEnd"/>
      <w:r>
        <w:t xml:space="preserve"> 6: Evaluation Framework — Four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4819"/>
        <w:gridCol w:w="1701"/>
        <w:gridCol w:w="1427"/>
      </w:tblGrid>
      <w:tr w:rsidR="00293675" w:rsidRPr="001273BE" w14:paraId="6E2740FC" w14:textId="77777777" w:rsidTr="00906DCA">
        <w:trPr>
          <w:tblHeader/>
        </w:trPr>
        <w:tc>
          <w:tcPr>
            <w:tcW w:w="1413"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3BE422A" w14:textId="77777777" w:rsidR="00293675" w:rsidRPr="001273BE" w:rsidRDefault="00000000">
            <w:pPr>
              <w:rPr>
                <w:color w:val="000000" w:themeColor="text1"/>
              </w:rPr>
            </w:pPr>
            <w:r w:rsidRPr="001273BE">
              <w:rPr>
                <w:rFonts w:eastAsia="Calibri"/>
                <w:b/>
                <w:bCs/>
                <w:color w:val="000000" w:themeColor="text1"/>
                <w:sz w:val="19"/>
                <w:szCs w:val="19"/>
              </w:rPr>
              <w:t>Metric</w:t>
            </w:r>
          </w:p>
        </w:tc>
        <w:tc>
          <w:tcPr>
            <w:tcW w:w="4819"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4FCF669" w14:textId="77777777" w:rsidR="00293675" w:rsidRPr="001273BE" w:rsidRDefault="00000000">
            <w:pPr>
              <w:rPr>
                <w:color w:val="000000" w:themeColor="text1"/>
              </w:rPr>
            </w:pPr>
            <w:r w:rsidRPr="001273BE">
              <w:rPr>
                <w:rFonts w:eastAsia="Calibri"/>
                <w:b/>
                <w:bCs/>
                <w:color w:val="000000" w:themeColor="text1"/>
                <w:sz w:val="19"/>
                <w:szCs w:val="19"/>
              </w:rPr>
              <w:t>Definition</w:t>
            </w:r>
          </w:p>
        </w:tc>
        <w:tc>
          <w:tcPr>
            <w:tcW w:w="1701"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785F9FA" w14:textId="77777777" w:rsidR="00293675" w:rsidRPr="001273BE" w:rsidRDefault="00000000">
            <w:pPr>
              <w:rPr>
                <w:color w:val="000000" w:themeColor="text1"/>
              </w:rPr>
            </w:pPr>
            <w:r w:rsidRPr="001273BE">
              <w:rPr>
                <w:rFonts w:eastAsia="Calibri"/>
                <w:b/>
                <w:bCs/>
                <w:color w:val="000000" w:themeColor="text1"/>
                <w:sz w:val="19"/>
                <w:szCs w:val="19"/>
              </w:rPr>
              <w:t>Focus</w:t>
            </w:r>
          </w:p>
        </w:tc>
        <w:tc>
          <w:tcPr>
            <w:tcW w:w="1427"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19D3D1E0" w14:textId="77777777" w:rsidR="00293675" w:rsidRPr="001273BE" w:rsidRDefault="00000000">
            <w:pPr>
              <w:rPr>
                <w:color w:val="000000" w:themeColor="text1"/>
              </w:rPr>
            </w:pPr>
            <w:r w:rsidRPr="001273BE">
              <w:rPr>
                <w:rFonts w:eastAsia="Calibri"/>
                <w:b/>
                <w:bCs/>
                <w:color w:val="000000" w:themeColor="text1"/>
                <w:sz w:val="19"/>
                <w:szCs w:val="19"/>
              </w:rPr>
              <w:t>Lit. Basis</w:t>
            </w:r>
          </w:p>
        </w:tc>
      </w:tr>
      <w:tr w:rsidR="00293675" w14:paraId="6B6468D0" w14:textId="77777777" w:rsidTr="00906DCA">
        <w:tc>
          <w:tcPr>
            <w:tcW w:w="141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2F4EFBE" w14:textId="77777777" w:rsidR="00293675" w:rsidRDefault="00000000">
            <w:r>
              <w:rPr>
                <w:rFonts w:eastAsia="Calibri"/>
                <w:color w:val="1A1A1A"/>
                <w:sz w:val="19"/>
                <w:szCs w:val="19"/>
              </w:rPr>
              <w:t>M1 Avg Dist.</w:t>
            </w:r>
          </w:p>
        </w:tc>
        <w:tc>
          <w:tcPr>
            <w:tcW w:w="4819"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99E30F4" w14:textId="661CC912" w:rsidR="00293675" w:rsidRDefault="00415F40">
            <w:r w:rsidRPr="00415F40">
              <w:rPr>
                <w:rFonts w:eastAsia="Calibri"/>
                <w:color w:val="1A1A1A"/>
                <w:sz w:val="19"/>
                <w:szCs w:val="19"/>
              </w:rPr>
              <w:t xml:space="preserve">M1 = </w:t>
            </w:r>
            <w:proofErr w:type="gramStart"/>
            <w:r w:rsidRPr="00415F40">
              <w:rPr>
                <w:rFonts w:eastAsia="Calibri"/>
                <w:color w:val="1A1A1A"/>
                <w:sz w:val="19"/>
                <w:szCs w:val="19"/>
              </w:rPr>
              <w:t>( Σ</w:t>
            </w:r>
            <w:proofErr w:type="gramEnd"/>
            <w:r w:rsidRPr="00415F40">
              <w:rPr>
                <w:rFonts w:eastAsia="Calibri"/>
                <w:color w:val="1A1A1A"/>
                <w:sz w:val="19"/>
                <w:szCs w:val="19"/>
              </w:rPr>
              <w:t>ᵢ Pᵢ · dᵢⱼ*(α</w:t>
            </w:r>
            <w:proofErr w:type="gramStart"/>
            <w:r w:rsidRPr="00415F40">
              <w:rPr>
                <w:rFonts w:eastAsia="Calibri"/>
                <w:color w:val="1A1A1A"/>
                <w:sz w:val="19"/>
                <w:szCs w:val="19"/>
              </w:rPr>
              <w:t>) )</w:t>
            </w:r>
            <w:proofErr w:type="gramEnd"/>
            <w:r w:rsidRPr="00415F40">
              <w:rPr>
                <w:rFonts w:eastAsia="Calibri"/>
                <w:color w:val="1A1A1A"/>
                <w:sz w:val="19"/>
                <w:szCs w:val="19"/>
              </w:rPr>
              <w:t xml:space="preserve"> / </w:t>
            </w:r>
            <w:proofErr w:type="gramStart"/>
            <w:r w:rsidRPr="00415F40">
              <w:rPr>
                <w:rFonts w:eastAsia="Calibri"/>
                <w:color w:val="1A1A1A"/>
                <w:sz w:val="19"/>
                <w:szCs w:val="19"/>
              </w:rPr>
              <w:t>( Σ</w:t>
            </w:r>
            <w:proofErr w:type="gramEnd"/>
            <w:r w:rsidRPr="00415F40">
              <w:rPr>
                <w:rFonts w:eastAsia="Calibri"/>
                <w:color w:val="1A1A1A"/>
                <w:sz w:val="19"/>
                <w:szCs w:val="19"/>
              </w:rPr>
              <w:t xml:space="preserve">ᵢ </w:t>
            </w:r>
            <w:proofErr w:type="gramStart"/>
            <w:r w:rsidRPr="00415F40">
              <w:rPr>
                <w:rFonts w:eastAsia="Calibri"/>
                <w:color w:val="1A1A1A"/>
                <w:sz w:val="19"/>
                <w:szCs w:val="19"/>
              </w:rPr>
              <w:t>Pᵢ )</w:t>
            </w:r>
            <w:proofErr w:type="gramEnd"/>
            <w:r w:rsidR="00716B76" w:rsidRPr="00716B76">
              <w:rPr>
                <w:rFonts w:eastAsia="Calibri"/>
                <w:color w:val="1A1A1A"/>
                <w:sz w:val="19"/>
                <w:szCs w:val="19"/>
              </w:rPr>
              <w:t xml:space="preserve"> Population-weighted mean distance (m) using fixed Pᵢ weights across all scenarios.</w:t>
            </w:r>
          </w:p>
        </w:tc>
        <w:tc>
          <w:tcPr>
            <w:tcW w:w="1701"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4C8CDE5" w14:textId="77777777" w:rsidR="00293675" w:rsidRDefault="00000000">
            <w:r>
              <w:rPr>
                <w:rFonts w:eastAsia="Calibri"/>
                <w:color w:val="1A1A1A"/>
                <w:sz w:val="19"/>
                <w:szCs w:val="19"/>
              </w:rPr>
              <w:t>Efficiency</w:t>
            </w:r>
          </w:p>
        </w:tc>
        <w:tc>
          <w:tcPr>
            <w:tcW w:w="14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68F8816" w14:textId="77777777" w:rsidR="00293675" w:rsidRDefault="00000000">
            <w:r>
              <w:rPr>
                <w:rFonts w:eastAsia="Calibri"/>
                <w:color w:val="1A1A1A"/>
                <w:sz w:val="19"/>
                <w:szCs w:val="19"/>
              </w:rPr>
              <w:t>P012, P002</w:t>
            </w:r>
          </w:p>
        </w:tc>
      </w:tr>
      <w:tr w:rsidR="00293675" w14:paraId="680C936A" w14:textId="77777777" w:rsidTr="00906DCA">
        <w:tc>
          <w:tcPr>
            <w:tcW w:w="141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615F5F1" w14:textId="77777777" w:rsidR="00293675" w:rsidRDefault="00000000">
            <w:r>
              <w:rPr>
                <w:rFonts w:eastAsia="Calibri"/>
                <w:color w:val="1A1A1A"/>
                <w:sz w:val="19"/>
                <w:szCs w:val="19"/>
              </w:rPr>
              <w:t>M2 Coverage</w:t>
            </w:r>
          </w:p>
        </w:tc>
        <w:tc>
          <w:tcPr>
            <w:tcW w:w="4819"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388D421" w14:textId="77777777" w:rsidR="00293675" w:rsidRDefault="00000000">
            <w:r>
              <w:rPr>
                <w:rFonts w:eastAsia="Calibri"/>
                <w:color w:val="1A1A1A"/>
                <w:sz w:val="19"/>
                <w:szCs w:val="19"/>
              </w:rPr>
              <w:t>Σᵢ Pᵢ</w:t>
            </w:r>
            <w:proofErr w:type="gramStart"/>
            <w:r>
              <w:rPr>
                <w:rFonts w:eastAsia="Calibri"/>
                <w:color w:val="1A1A1A"/>
                <w:sz w:val="19"/>
                <w:szCs w:val="19"/>
              </w:rPr>
              <w:t>·[</w:t>
            </w:r>
            <w:proofErr w:type="gramEnd"/>
            <w:r>
              <w:rPr>
                <w:rFonts w:eastAsia="Calibri"/>
                <w:color w:val="1A1A1A"/>
                <w:sz w:val="19"/>
                <w:szCs w:val="19"/>
              </w:rPr>
              <w:t>dᵢⱼ* &lt; 800 m] / Σᵢ Pᵢ Driving-age pop. fraction within 800 m</w:t>
            </w:r>
          </w:p>
        </w:tc>
        <w:tc>
          <w:tcPr>
            <w:tcW w:w="1701"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33EA499" w14:textId="77777777" w:rsidR="00293675" w:rsidRDefault="00000000">
            <w:r>
              <w:rPr>
                <w:rFonts w:eastAsia="Calibri"/>
                <w:color w:val="1A1A1A"/>
                <w:sz w:val="19"/>
                <w:szCs w:val="19"/>
              </w:rPr>
              <w:t>Reach</w:t>
            </w:r>
          </w:p>
        </w:tc>
        <w:tc>
          <w:tcPr>
            <w:tcW w:w="14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53D3450" w14:textId="77777777" w:rsidR="00293675" w:rsidRDefault="00000000">
            <w:r>
              <w:rPr>
                <w:rFonts w:eastAsia="Calibri"/>
                <w:color w:val="1A1A1A"/>
                <w:sz w:val="19"/>
                <w:szCs w:val="19"/>
              </w:rPr>
              <w:t>P005</w:t>
            </w:r>
          </w:p>
        </w:tc>
      </w:tr>
      <w:tr w:rsidR="00293675" w14:paraId="22C72B73" w14:textId="77777777" w:rsidTr="00906DCA">
        <w:tc>
          <w:tcPr>
            <w:tcW w:w="141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5803CBF" w14:textId="77777777" w:rsidR="00293675" w:rsidRDefault="00000000">
            <w:r>
              <w:rPr>
                <w:rFonts w:eastAsia="Calibri"/>
                <w:color w:val="1A1A1A"/>
                <w:sz w:val="19"/>
                <w:szCs w:val="19"/>
              </w:rPr>
              <w:t>M3 IMD Gap</w:t>
            </w:r>
          </w:p>
        </w:tc>
        <w:tc>
          <w:tcPr>
            <w:tcW w:w="4819"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3A75329" w14:textId="77777777" w:rsidR="00293675" w:rsidRDefault="00000000">
            <w:r>
              <w:rPr>
                <w:rFonts w:eastAsia="Calibri"/>
                <w:color w:val="1A1A1A"/>
                <w:sz w:val="19"/>
                <w:szCs w:val="19"/>
              </w:rPr>
              <w:t>Mean coverage (Decile 10) / Mean coverage (Decile 1) Ratio = 1.0 → equity; &gt; 1.0 → affluent areas better served</w:t>
            </w:r>
          </w:p>
        </w:tc>
        <w:tc>
          <w:tcPr>
            <w:tcW w:w="1701"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52E3BB1" w14:textId="77777777" w:rsidR="00293675" w:rsidRDefault="00000000">
            <w:r>
              <w:rPr>
                <w:rFonts w:eastAsia="Calibri"/>
                <w:color w:val="1A1A1A"/>
                <w:sz w:val="19"/>
                <w:szCs w:val="19"/>
              </w:rPr>
              <w:t>Income equity</w:t>
            </w:r>
          </w:p>
        </w:tc>
        <w:tc>
          <w:tcPr>
            <w:tcW w:w="14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9B4A913" w14:textId="77777777" w:rsidR="00293675" w:rsidRDefault="00000000">
            <w:r>
              <w:rPr>
                <w:rFonts w:eastAsia="Calibri"/>
                <w:color w:val="1A1A1A"/>
                <w:sz w:val="19"/>
                <w:szCs w:val="19"/>
              </w:rPr>
              <w:t>P008, P009</w:t>
            </w:r>
          </w:p>
        </w:tc>
      </w:tr>
      <w:tr w:rsidR="00293675" w14:paraId="074F344D" w14:textId="77777777" w:rsidTr="00906DCA">
        <w:tc>
          <w:tcPr>
            <w:tcW w:w="1413"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DDAA3AF" w14:textId="77777777" w:rsidR="00293675" w:rsidRDefault="00000000">
            <w:r>
              <w:rPr>
                <w:rFonts w:eastAsia="Calibri"/>
                <w:color w:val="1A1A1A"/>
                <w:sz w:val="19"/>
                <w:szCs w:val="19"/>
              </w:rPr>
              <w:t>M4 Gini</w:t>
            </w:r>
          </w:p>
        </w:tc>
        <w:tc>
          <w:tcPr>
            <w:tcW w:w="4819"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7C6404C" w14:textId="77777777" w:rsidR="00293675" w:rsidRDefault="00000000">
            <w:r>
              <w:rPr>
                <w:rFonts w:eastAsia="Calibri"/>
                <w:color w:val="1A1A1A"/>
                <w:sz w:val="19"/>
                <w:szCs w:val="19"/>
              </w:rPr>
              <w:t xml:space="preserve">Gini </w:t>
            </w:r>
            <w:proofErr w:type="spellStart"/>
            <w:r>
              <w:rPr>
                <w:rFonts w:eastAsia="Calibri"/>
                <w:color w:val="1A1A1A"/>
                <w:sz w:val="19"/>
                <w:szCs w:val="19"/>
              </w:rPr>
              <w:t>coeff</w:t>
            </w:r>
            <w:proofErr w:type="spellEnd"/>
            <w:r>
              <w:rPr>
                <w:rFonts w:eastAsia="Calibri"/>
                <w:color w:val="1A1A1A"/>
                <w:sz w:val="19"/>
                <w:szCs w:val="19"/>
              </w:rPr>
              <w:t>. of per-LSOA coverage rates 0 = perfectly equal; 1 = maximum inequality</w:t>
            </w:r>
          </w:p>
        </w:tc>
        <w:tc>
          <w:tcPr>
            <w:tcW w:w="1701"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B9D87A3" w14:textId="77777777" w:rsidR="00293675" w:rsidRDefault="00000000">
            <w:r>
              <w:rPr>
                <w:rFonts w:eastAsia="Calibri"/>
                <w:color w:val="1A1A1A"/>
                <w:sz w:val="19"/>
                <w:szCs w:val="19"/>
              </w:rPr>
              <w:t>Distribution</w:t>
            </w:r>
          </w:p>
        </w:tc>
        <w:tc>
          <w:tcPr>
            <w:tcW w:w="14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56964DD" w14:textId="77777777" w:rsidR="00293675" w:rsidRDefault="00000000">
            <w:r>
              <w:rPr>
                <w:rFonts w:eastAsia="Calibri"/>
                <w:color w:val="1A1A1A"/>
                <w:sz w:val="19"/>
                <w:szCs w:val="19"/>
              </w:rPr>
              <w:t>P009</w:t>
            </w:r>
          </w:p>
        </w:tc>
      </w:tr>
    </w:tbl>
    <w:p w14:paraId="0496226D" w14:textId="77777777" w:rsidR="00293675" w:rsidRDefault="00293675">
      <w:pPr>
        <w:spacing w:after="120"/>
      </w:pPr>
    </w:p>
    <w:p w14:paraId="32B0AFE5" w14:textId="581892B6" w:rsidR="00716B76" w:rsidRDefault="00716B76">
      <w:pPr>
        <w:spacing w:after="120"/>
      </w:pPr>
      <w:r w:rsidRPr="00716B76">
        <w:t xml:space="preserve">M1 uses fixed driving-age population weights Pᵢ rather than the equity-adjusted Dᵢ, ensuring that efficiency cost is measured on a consistent basis across scenarios with different α values. The model's </w:t>
      </w:r>
      <w:proofErr w:type="spellStart"/>
      <w:r w:rsidRPr="00716B76">
        <w:t>optimisation</w:t>
      </w:r>
      <w:proofErr w:type="spellEnd"/>
      <w:r w:rsidRPr="00716B76">
        <w:t xml:space="preserve"> objective value (Σᵢ Dᵢ · dᵢⱼ*) is reported separately as a diagnostic indicator but is not used for cross-scenario efficiency comparison, as its weighting structure changes with α.</w:t>
      </w:r>
    </w:p>
    <w:p w14:paraId="47D2E95C" w14:textId="77777777" w:rsidR="00716B76" w:rsidRDefault="00716B76">
      <w:pPr>
        <w:spacing w:after="120"/>
      </w:pPr>
    </w:p>
    <w:p w14:paraId="0EB368C5" w14:textId="77777777" w:rsidR="00293675" w:rsidRDefault="00000000">
      <w:pPr>
        <w:pStyle w:val="1"/>
        <w:spacing w:before="300" w:after="120"/>
      </w:pPr>
      <w:r>
        <w:t>6.  Expected Results</w:t>
      </w:r>
    </w:p>
    <w:p w14:paraId="13C717C0" w14:textId="77777777" w:rsidR="00293675" w:rsidRDefault="00293675">
      <w:pPr>
        <w:spacing w:after="60"/>
      </w:pPr>
    </w:p>
    <w:p w14:paraId="57E6CD7B" w14:textId="77777777" w:rsidR="00293675" w:rsidRDefault="00000000">
      <w:pPr>
        <w:spacing w:before="60" w:after="80"/>
        <w:jc w:val="both"/>
      </w:pPr>
      <w:r>
        <w:rPr>
          <w:rFonts w:eastAsia="Calibri"/>
          <w:color w:val="1A1A1A"/>
        </w:rPr>
        <w:t>Directional hypotheses derived from model logic and P012 findings — not numerically pre-specified targets:</w:t>
      </w:r>
    </w:p>
    <w:p w14:paraId="4C65D262" w14:textId="77777777" w:rsidR="00293675" w:rsidRDefault="0029367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4500"/>
        <w:gridCol w:w="3510"/>
      </w:tblGrid>
      <w:tr w:rsidR="00293675" w14:paraId="4761811F" w14:textId="77777777" w:rsidTr="001273BE">
        <w:trPr>
          <w:tblHeader/>
        </w:trPr>
        <w:tc>
          <w:tcPr>
            <w:tcW w:w="135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944C640" w14:textId="77777777" w:rsidR="00293675" w:rsidRPr="001273BE" w:rsidRDefault="00000000">
            <w:pPr>
              <w:rPr>
                <w:color w:val="000000" w:themeColor="text1"/>
              </w:rPr>
            </w:pPr>
            <w:r w:rsidRPr="001273BE">
              <w:rPr>
                <w:rFonts w:eastAsia="Calibri"/>
                <w:b/>
                <w:bCs/>
                <w:color w:val="000000" w:themeColor="text1"/>
                <w:sz w:val="19"/>
                <w:szCs w:val="19"/>
              </w:rPr>
              <w:t>Hypothesis</w:t>
            </w:r>
          </w:p>
        </w:tc>
        <w:tc>
          <w:tcPr>
            <w:tcW w:w="450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5E767E7C" w14:textId="77777777" w:rsidR="00293675" w:rsidRPr="001273BE" w:rsidRDefault="00000000">
            <w:pPr>
              <w:rPr>
                <w:color w:val="000000" w:themeColor="text1"/>
              </w:rPr>
            </w:pPr>
            <w:r w:rsidRPr="001273BE">
              <w:rPr>
                <w:rFonts w:eastAsia="Calibri"/>
                <w:b/>
                <w:bCs/>
                <w:color w:val="000000" w:themeColor="text1"/>
                <w:sz w:val="19"/>
                <w:szCs w:val="19"/>
              </w:rPr>
              <w:t>Prediction</w:t>
            </w:r>
          </w:p>
        </w:tc>
        <w:tc>
          <w:tcPr>
            <w:tcW w:w="3510"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02DF30D8" w14:textId="77777777" w:rsidR="00293675" w:rsidRPr="001273BE" w:rsidRDefault="00000000">
            <w:pPr>
              <w:rPr>
                <w:color w:val="000000" w:themeColor="text1"/>
              </w:rPr>
            </w:pPr>
            <w:r w:rsidRPr="001273BE">
              <w:rPr>
                <w:rFonts w:eastAsia="Calibri"/>
                <w:b/>
                <w:bCs/>
                <w:color w:val="000000" w:themeColor="text1"/>
                <w:sz w:val="19"/>
                <w:szCs w:val="19"/>
              </w:rPr>
              <w:t>Basis</w:t>
            </w:r>
          </w:p>
        </w:tc>
      </w:tr>
      <w:tr w:rsidR="00293675" w14:paraId="7EFF95A4" w14:textId="77777777" w:rsidTr="001273BE">
        <w:tc>
          <w:tcPr>
            <w:tcW w:w="135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2A35404" w14:textId="77777777" w:rsidR="00293675" w:rsidRDefault="00000000">
            <w:r>
              <w:rPr>
                <w:rFonts w:eastAsia="Calibri"/>
                <w:color w:val="1A1A1A"/>
                <w:sz w:val="19"/>
                <w:szCs w:val="19"/>
              </w:rPr>
              <w:t>H1 Site clustering (Scenario A)</w:t>
            </w:r>
          </w:p>
        </w:tc>
        <w:tc>
          <w:tcPr>
            <w:tcW w:w="4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EDAC816" w14:textId="77777777" w:rsidR="00293675" w:rsidRDefault="00000000">
            <w:r>
              <w:rPr>
                <w:rFonts w:eastAsia="Calibri"/>
                <w:color w:val="1A1A1A"/>
                <w:sz w:val="19"/>
                <w:szCs w:val="19"/>
              </w:rPr>
              <w:t>Sites cluster near highest driving-age population, disproportionately non-deprived areas with some existing provision. IMD Decile 1 LSOAs expected to be poorly served.</w:t>
            </w:r>
          </w:p>
        </w:tc>
        <w:tc>
          <w:tcPr>
            <w:tcW w:w="351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A3ADB65" w14:textId="77777777" w:rsidR="00293675" w:rsidRDefault="00000000">
            <w:r>
              <w:rPr>
                <w:rFonts w:eastAsia="Calibri"/>
                <w:color w:val="1A1A1A"/>
                <w:sz w:val="19"/>
                <w:szCs w:val="19"/>
              </w:rPr>
              <w:t>P012: unweighted p-median concentrates in high-density nodes.</w:t>
            </w:r>
          </w:p>
        </w:tc>
      </w:tr>
      <w:tr w:rsidR="00293675" w14:paraId="0230ED70" w14:textId="77777777" w:rsidTr="001273BE">
        <w:tc>
          <w:tcPr>
            <w:tcW w:w="135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E1CC09F" w14:textId="77777777" w:rsidR="00293675" w:rsidRDefault="00000000">
            <w:r>
              <w:rPr>
                <w:rFonts w:eastAsia="Calibri"/>
                <w:color w:val="1A1A1A"/>
                <w:sz w:val="19"/>
                <w:szCs w:val="19"/>
              </w:rPr>
              <w:t>H2 Equity shift (Scenario C)</w:t>
            </w:r>
          </w:p>
        </w:tc>
        <w:tc>
          <w:tcPr>
            <w:tcW w:w="4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01659F9" w14:textId="77777777" w:rsidR="00293675" w:rsidRDefault="00000000">
            <w:r>
              <w:rPr>
                <w:rFonts w:eastAsia="Calibri"/>
                <w:color w:val="1A1A1A"/>
                <w:sz w:val="19"/>
                <w:szCs w:val="19"/>
              </w:rPr>
              <w:t>Scenario C shifts sites toward high-population, income-deprived LSOAs. M3 (IMD gap) narrows; M4 (Gini) falls. This is the primary empirical test of the dissertation's contribution.</w:t>
            </w:r>
          </w:p>
        </w:tc>
        <w:tc>
          <w:tcPr>
            <w:tcW w:w="351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4866081" w14:textId="77777777" w:rsidR="00293675" w:rsidRDefault="00000000">
            <w:r>
              <w:rPr>
                <w:rFonts w:eastAsia="Calibri"/>
                <w:color w:val="1A1A1A"/>
                <w:sz w:val="19"/>
                <w:szCs w:val="19"/>
              </w:rPr>
              <w:t>Demand priority function (P010); equity weighting direction (P009).</w:t>
            </w:r>
          </w:p>
        </w:tc>
      </w:tr>
      <w:tr w:rsidR="00293675" w14:paraId="3C48AC1E" w14:textId="77777777" w:rsidTr="001273BE">
        <w:tc>
          <w:tcPr>
            <w:tcW w:w="135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A119A7C" w14:textId="77777777" w:rsidR="00293675" w:rsidRDefault="00000000">
            <w:r>
              <w:rPr>
                <w:rFonts w:eastAsia="Calibri"/>
                <w:color w:val="1A1A1A"/>
                <w:sz w:val="19"/>
                <w:szCs w:val="19"/>
              </w:rPr>
              <w:t>H3 Modest efficiency cost</w:t>
            </w:r>
          </w:p>
        </w:tc>
        <w:tc>
          <w:tcPr>
            <w:tcW w:w="4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06054C1" w14:textId="77777777" w:rsidR="00293675" w:rsidRDefault="00000000">
            <w:r>
              <w:rPr>
                <w:rFonts w:eastAsia="Calibri"/>
                <w:color w:val="1A1A1A"/>
                <w:sz w:val="19"/>
                <w:szCs w:val="19"/>
              </w:rPr>
              <w:t>M1 (avg distance) under Scenario C exceeds Scenario A by a limited margin. Equity redistribution achieved without dramatically increasing average travel burden.</w:t>
            </w:r>
          </w:p>
        </w:tc>
        <w:tc>
          <w:tcPr>
            <w:tcW w:w="351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AA02218" w14:textId="77777777" w:rsidR="00293675" w:rsidRDefault="00000000">
            <w:r>
              <w:rPr>
                <w:rFonts w:eastAsia="Calibri"/>
                <w:color w:val="1A1A1A"/>
                <w:sz w:val="19"/>
                <w:szCs w:val="19"/>
              </w:rPr>
              <w:t>P012 distance performance; London's dense urban network reduces equity–efficiency trade-off.</w:t>
            </w:r>
          </w:p>
        </w:tc>
      </w:tr>
      <w:tr w:rsidR="00293675" w14:paraId="2CDCC6DE" w14:textId="77777777" w:rsidTr="001273BE">
        <w:tc>
          <w:tcPr>
            <w:tcW w:w="135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AFFC1FF" w14:textId="77777777" w:rsidR="00293675" w:rsidRDefault="00000000">
            <w:r>
              <w:rPr>
                <w:rFonts w:eastAsia="Calibri"/>
                <w:color w:val="1A1A1A"/>
                <w:sz w:val="19"/>
                <w:szCs w:val="19"/>
              </w:rPr>
              <w:t>H4 α saturation (Scenario D)</w:t>
            </w:r>
          </w:p>
        </w:tc>
        <w:tc>
          <w:tcPr>
            <w:tcW w:w="450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0C22CA7" w14:textId="77777777" w:rsidR="00293675" w:rsidRDefault="00000000">
            <w:r>
              <w:rPr>
                <w:rFonts w:eastAsia="Calibri"/>
                <w:color w:val="1A1A1A"/>
                <w:sz w:val="19"/>
                <w:szCs w:val="19"/>
              </w:rPr>
              <w:t>Incremental equity gains C→D smaller than A→C. Confirms diminishing returns at α = 0.3 as near-optimal for equity–efficiency balance.</w:t>
            </w:r>
          </w:p>
        </w:tc>
        <w:tc>
          <w:tcPr>
            <w:tcW w:w="3510"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437D46A" w14:textId="77777777" w:rsidR="00293675" w:rsidRDefault="00000000">
            <w:r>
              <w:rPr>
                <w:rFonts w:eastAsia="Calibri"/>
                <w:color w:val="1A1A1A"/>
                <w:sz w:val="19"/>
                <w:szCs w:val="19"/>
              </w:rPr>
              <w:t>Marginal uplift analysis; to be confirmed empirically.</w:t>
            </w:r>
          </w:p>
        </w:tc>
      </w:tr>
    </w:tbl>
    <w:p w14:paraId="2CC5FCC1" w14:textId="77777777" w:rsidR="00293675" w:rsidRDefault="00293675">
      <w:pPr>
        <w:spacing w:after="120"/>
      </w:pPr>
    </w:p>
    <w:p w14:paraId="427E443E" w14:textId="77777777" w:rsidR="00293675" w:rsidRDefault="00000000">
      <w:pPr>
        <w:pStyle w:val="1"/>
        <w:spacing w:before="300" w:after="120"/>
      </w:pPr>
      <w:r>
        <w:t>7.  Updated EDA Approach</w:t>
      </w:r>
    </w:p>
    <w:p w14:paraId="010CC6FC" w14:textId="77777777" w:rsidR="00293675" w:rsidRDefault="00293675">
      <w:pPr>
        <w:spacing w:after="60"/>
      </w:pPr>
    </w:p>
    <w:p w14:paraId="623A5775" w14:textId="77777777" w:rsidR="00293675" w:rsidRDefault="00000000">
      <w:pPr>
        <w:spacing w:before="60" w:after="80"/>
        <w:jc w:val="both"/>
      </w:pPr>
      <w:r>
        <w:rPr>
          <w:rFonts w:eastAsia="Calibri"/>
          <w:color w:val="1A1A1A"/>
        </w:rPr>
        <w:t>The EDA will be re-run with the following changes from the previous version:</w:t>
      </w:r>
    </w:p>
    <w:p w14:paraId="733A2042" w14:textId="77198334" w:rsidR="00293675" w:rsidRDefault="00000000">
      <w:pPr>
        <w:pStyle w:val="a4"/>
        <w:numPr>
          <w:ilvl w:val="0"/>
          <w:numId w:val="2"/>
        </w:numPr>
        <w:spacing w:before="30" w:after="50"/>
      </w:pPr>
      <w:r>
        <w:rPr>
          <w:rFonts w:eastAsia="Calibri"/>
          <w:color w:val="1A1A1A"/>
        </w:rPr>
        <w:t>Switched from composite IMD rank (File 1) to income deprivation score (IoD2025 File 7, column 'Income Score (rate)'). Theoretical motivation: income deprivation is most directly relevant to EV charging access; composite IMD mixes income with crime, health, and education deprivation.</w:t>
      </w:r>
    </w:p>
    <w:p w14:paraId="17F479D7" w14:textId="28CB6504" w:rsidR="00293675" w:rsidRDefault="00000000">
      <w:pPr>
        <w:pStyle w:val="a4"/>
        <w:numPr>
          <w:ilvl w:val="0"/>
          <w:numId w:val="2"/>
        </w:numPr>
        <w:spacing w:before="30" w:after="50"/>
      </w:pPr>
      <w:r>
        <w:rPr>
          <w:rFonts w:eastAsia="Calibri"/>
          <w:color w:val="1A1A1A"/>
        </w:rPr>
        <w:t xml:space="preserve">Re-computed as Pearson r between income deprivation decile and EVSE supply metrics. The previously reported r = −0.042 (composite IMD decile vs EVSE density per km²) will be replaced. The r value is left as [TBC] pending re-execution. When supply is </w:t>
      </w:r>
      <w:proofErr w:type="spellStart"/>
      <w:r>
        <w:rPr>
          <w:rFonts w:eastAsia="Calibri"/>
          <w:color w:val="1A1A1A"/>
        </w:rPr>
        <w:t>normalised</w:t>
      </w:r>
      <w:proofErr w:type="spellEnd"/>
      <w:r>
        <w:rPr>
          <w:rFonts w:eastAsia="Calibri"/>
          <w:color w:val="1A1A1A"/>
        </w:rPr>
        <w:t xml:space="preserve"> by driving-age population (Sᵢᵉᶠᶠ per 1,000 </w:t>
      </w:r>
      <w:r>
        <w:rPr>
          <w:rFonts w:eastAsia="Calibri"/>
          <w:color w:val="1A1A1A"/>
        </w:rPr>
        <w:lastRenderedPageBreak/>
        <w:t>residents), the correlation with income deprivation is expected to be negative — i.e., more income-deprived LSOAs have lower effective supply per capita — reflecting the theoretical market-driven deployment bias.</w:t>
      </w:r>
    </w:p>
    <w:p w14:paraId="18F2FC4F" w14:textId="1DEF1F59" w:rsidR="00293675" w:rsidRDefault="00000000">
      <w:pPr>
        <w:pStyle w:val="a4"/>
        <w:numPr>
          <w:ilvl w:val="0"/>
          <w:numId w:val="2"/>
        </w:numPr>
        <w:spacing w:before="30" w:after="50"/>
      </w:pPr>
      <w:r>
        <w:rPr>
          <w:rFonts w:eastAsia="Calibri"/>
          <w:color w:val="1A1A1A"/>
        </w:rPr>
        <w:t>A choropleth map of income deprivation (IMDᵢ) overlaid with Sᵢᵉᶠᶠ across London LSOAs will be produced to show spatial correlation patterns beyond the scalar Pearson r.</w:t>
      </w:r>
    </w:p>
    <w:p w14:paraId="3CC615F3" w14:textId="500F71D1" w:rsidR="00293675" w:rsidRDefault="00000000">
      <w:pPr>
        <w:pStyle w:val="a4"/>
        <w:numPr>
          <w:ilvl w:val="0"/>
          <w:numId w:val="2"/>
        </w:numPr>
        <w:spacing w:before="30" w:after="50"/>
      </w:pPr>
      <w:r>
        <w:rPr>
          <w:rFonts w:eastAsia="Calibri"/>
          <w:color w:val="1A1A1A"/>
        </w:rPr>
        <w:t xml:space="preserve">join_august2025.csv will be cleaned and explored: </w:t>
      </w:r>
      <w:proofErr w:type="spellStart"/>
      <w:r>
        <w:rPr>
          <w:rFonts w:eastAsia="Calibri"/>
          <w:color w:val="1A1A1A"/>
        </w:rPr>
        <w:t>utilisation</w:t>
      </w:r>
      <w:proofErr w:type="spellEnd"/>
      <w:r>
        <w:rPr>
          <w:rFonts w:eastAsia="Calibri"/>
          <w:color w:val="1A1A1A"/>
        </w:rPr>
        <w:t xml:space="preserve"> rate distribution, power tier breakdown, and temporal patterns (hourly/daily).</w:t>
      </w:r>
    </w:p>
    <w:p w14:paraId="1644EE69" w14:textId="77777777" w:rsidR="00293675" w:rsidRDefault="00293675">
      <w:pPr>
        <w:spacing w:after="120"/>
      </w:pPr>
    </w:p>
    <w:p w14:paraId="6D7AF188" w14:textId="77777777" w:rsidR="00293675" w:rsidRDefault="00000000">
      <w:pPr>
        <w:pStyle w:val="1"/>
        <w:spacing w:before="300" w:after="120"/>
      </w:pPr>
      <w:r>
        <w:t>8.  Limitations</w:t>
      </w:r>
    </w:p>
    <w:p w14:paraId="2090E1DF" w14:textId="77777777" w:rsidR="00293675" w:rsidRDefault="0029367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
        <w:gridCol w:w="4527"/>
        <w:gridCol w:w="4436"/>
      </w:tblGrid>
      <w:tr w:rsidR="00293675" w14:paraId="64A52B87" w14:textId="77777777" w:rsidTr="007636D7">
        <w:trPr>
          <w:tblHeader/>
        </w:trPr>
        <w:tc>
          <w:tcPr>
            <w:tcW w:w="397"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7135FE67" w14:textId="77777777" w:rsidR="00293675" w:rsidRPr="001273BE" w:rsidRDefault="00000000">
            <w:pPr>
              <w:rPr>
                <w:color w:val="000000" w:themeColor="text1"/>
              </w:rPr>
            </w:pPr>
            <w:r w:rsidRPr="001273BE">
              <w:rPr>
                <w:rFonts w:eastAsia="Calibri"/>
                <w:b/>
                <w:bCs/>
                <w:color w:val="000000" w:themeColor="text1"/>
                <w:sz w:val="19"/>
                <w:szCs w:val="19"/>
              </w:rPr>
              <w:t>#</w:t>
            </w:r>
          </w:p>
        </w:tc>
        <w:tc>
          <w:tcPr>
            <w:tcW w:w="4527"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3F6D9FD1" w14:textId="77777777" w:rsidR="00293675" w:rsidRPr="001273BE" w:rsidRDefault="00000000">
            <w:pPr>
              <w:rPr>
                <w:color w:val="000000" w:themeColor="text1"/>
              </w:rPr>
            </w:pPr>
            <w:r w:rsidRPr="001273BE">
              <w:rPr>
                <w:rFonts w:eastAsia="Calibri"/>
                <w:b/>
                <w:bCs/>
                <w:color w:val="000000" w:themeColor="text1"/>
                <w:sz w:val="19"/>
                <w:szCs w:val="19"/>
              </w:rPr>
              <w:t>Limitation</w:t>
            </w:r>
          </w:p>
        </w:tc>
        <w:tc>
          <w:tcPr>
            <w:tcW w:w="4436" w:type="dxa"/>
            <w:tcBorders>
              <w:top w:val="single" w:sz="4" w:space="0" w:color="BBBBBB"/>
              <w:left w:val="single" w:sz="4" w:space="0" w:color="BBBBBB"/>
              <w:bottom w:val="single" w:sz="4" w:space="0" w:color="BBBBBB"/>
              <w:right w:val="single" w:sz="4" w:space="0" w:color="BBBBBB"/>
            </w:tcBorders>
            <w:tcMar>
              <w:top w:w="80" w:type="dxa"/>
              <w:left w:w="110" w:type="dxa"/>
              <w:bottom w:w="80" w:type="dxa"/>
              <w:right w:w="110" w:type="dxa"/>
            </w:tcMar>
          </w:tcPr>
          <w:p w14:paraId="6B98EC11" w14:textId="77777777" w:rsidR="00293675" w:rsidRPr="001273BE" w:rsidRDefault="00000000">
            <w:pPr>
              <w:rPr>
                <w:color w:val="000000" w:themeColor="text1"/>
              </w:rPr>
            </w:pPr>
            <w:r w:rsidRPr="001273BE">
              <w:rPr>
                <w:rFonts w:eastAsia="Calibri"/>
                <w:b/>
                <w:bCs/>
                <w:color w:val="000000" w:themeColor="text1"/>
                <w:sz w:val="19"/>
                <w:szCs w:val="19"/>
              </w:rPr>
              <w:t>Mitigation / Declaration</w:t>
            </w:r>
          </w:p>
        </w:tc>
      </w:tr>
      <w:tr w:rsidR="00293675" w14:paraId="281F87E7" w14:textId="77777777" w:rsidTr="007636D7">
        <w:tc>
          <w:tcPr>
            <w:tcW w:w="39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F83D4B4" w14:textId="77777777" w:rsidR="00293675" w:rsidRDefault="00000000">
            <w:r>
              <w:rPr>
                <w:rFonts w:eastAsia="Calibri"/>
                <w:color w:val="1A1A1A"/>
                <w:sz w:val="19"/>
                <w:szCs w:val="19"/>
              </w:rPr>
              <w:t>L1</w:t>
            </w:r>
          </w:p>
        </w:tc>
        <w:tc>
          <w:tcPr>
            <w:tcW w:w="45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F83BE20" w14:textId="77777777" w:rsidR="00293675" w:rsidRDefault="00000000">
            <w:proofErr w:type="spellStart"/>
            <w:r>
              <w:rPr>
                <w:rFonts w:eastAsia="Calibri"/>
                <w:color w:val="1A1A1A"/>
                <w:sz w:val="19"/>
                <w:szCs w:val="19"/>
              </w:rPr>
              <w:t>Ppub</w:t>
            </w:r>
            <w:proofErr w:type="spellEnd"/>
            <w:r>
              <w:rPr>
                <w:rFonts w:eastAsia="Calibri"/>
                <w:color w:val="1A1A1A"/>
                <w:sz w:val="19"/>
                <w:szCs w:val="19"/>
              </w:rPr>
              <w:t xml:space="preserve"> = 0.40 is a national average applied uniformly across all London LSOAs. Intra-urban variation (e.g. higher public charging dependency in income-deprived areas lacking home charging access) is not captured.</w:t>
            </w:r>
          </w:p>
        </w:tc>
        <w:tc>
          <w:tcPr>
            <w:tcW w:w="443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C21CF6E" w14:textId="1B0F6FE0" w:rsidR="00293675" w:rsidRDefault="00000000">
            <w:proofErr w:type="spellStart"/>
            <w:r>
              <w:rPr>
                <w:rFonts w:eastAsia="Calibri"/>
                <w:color w:val="1A1A1A"/>
                <w:sz w:val="19"/>
                <w:szCs w:val="19"/>
              </w:rPr>
              <w:t>DfT</w:t>
            </w:r>
            <w:proofErr w:type="spellEnd"/>
            <w:r>
              <w:rPr>
                <w:rFonts w:eastAsia="Calibri"/>
                <w:color w:val="1A1A1A"/>
                <w:sz w:val="19"/>
                <w:szCs w:val="19"/>
              </w:rPr>
              <w:t xml:space="preserve"> Tracker provides national, not sub-London estimates at LSOA resolution. Pd </w:t>
            </w:r>
            <w:r w:rsidR="00383128">
              <w:rPr>
                <w:rFonts w:eastAsia="Calibri"/>
                <w:color w:val="1A1A1A"/>
                <w:sz w:val="19"/>
                <w:szCs w:val="19"/>
              </w:rPr>
              <w:t>and</w:t>
            </w:r>
            <w:r>
              <w:rPr>
                <w:rFonts w:eastAsia="Calibri"/>
                <w:color w:val="1A1A1A"/>
                <w:sz w:val="19"/>
                <w:szCs w:val="19"/>
              </w:rPr>
              <w:t xml:space="preserve"> </w:t>
            </w:r>
            <w:proofErr w:type="spellStart"/>
            <w:r>
              <w:rPr>
                <w:rFonts w:eastAsia="Calibri"/>
                <w:color w:val="1A1A1A"/>
                <w:sz w:val="19"/>
                <w:szCs w:val="19"/>
              </w:rPr>
              <w:t>Ppub</w:t>
            </w:r>
            <w:proofErr w:type="spellEnd"/>
            <w:r>
              <w:rPr>
                <w:rFonts w:eastAsia="Calibri"/>
                <w:color w:val="1A1A1A"/>
                <w:sz w:val="19"/>
                <w:szCs w:val="19"/>
              </w:rPr>
              <w:t xml:space="preserve"> retained as a </w:t>
            </w:r>
            <w:proofErr w:type="spellStart"/>
            <w:r>
              <w:rPr>
                <w:rFonts w:eastAsia="Calibri"/>
                <w:color w:val="1A1A1A"/>
                <w:sz w:val="19"/>
                <w:szCs w:val="19"/>
              </w:rPr>
              <w:t>behavioural</w:t>
            </w:r>
            <w:proofErr w:type="spellEnd"/>
            <w:r>
              <w:rPr>
                <w:rFonts w:eastAsia="Calibri"/>
                <w:color w:val="1A1A1A"/>
                <w:sz w:val="19"/>
                <w:szCs w:val="19"/>
              </w:rPr>
              <w:t>-split parameter expected to be less spatially variable than frequency.</w:t>
            </w:r>
          </w:p>
        </w:tc>
      </w:tr>
      <w:tr w:rsidR="00293675" w14:paraId="7AB360A1" w14:textId="77777777" w:rsidTr="007636D7">
        <w:tc>
          <w:tcPr>
            <w:tcW w:w="39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CAD73B2" w14:textId="77777777" w:rsidR="00293675" w:rsidRDefault="00000000">
            <w:r>
              <w:rPr>
                <w:rFonts w:eastAsia="Calibri"/>
                <w:color w:val="1A1A1A"/>
                <w:sz w:val="19"/>
                <w:szCs w:val="19"/>
              </w:rPr>
              <w:t>L2</w:t>
            </w:r>
          </w:p>
        </w:tc>
        <w:tc>
          <w:tcPr>
            <w:tcW w:w="45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53C5826" w14:textId="0EAF95C6" w:rsidR="00293675" w:rsidRDefault="007636D7">
            <w:r w:rsidRPr="007636D7">
              <w:t xml:space="preserve">OSM </w:t>
            </w:r>
            <w:proofErr w:type="spellStart"/>
            <w:proofErr w:type="gramStart"/>
            <w:r w:rsidRPr="007636D7">
              <w:t>parking:lane</w:t>
            </w:r>
            <w:proofErr w:type="spellEnd"/>
            <w:proofErr w:type="gramEnd"/>
            <w:r w:rsidRPr="007636D7">
              <w:t xml:space="preserve"> tag coverage may be incomplete across London, leaving some eligible road segments without a confirmed parking status tag. Candidate points on untagged residential roads &lt; 500 m are retained as a fallback (declared conservative assumption). </w:t>
            </w:r>
            <w:proofErr w:type="spellStart"/>
            <w:r w:rsidRPr="007636D7">
              <w:t>OpenStreetEV_GLA</w:t>
            </w:r>
            <w:proofErr w:type="spellEnd"/>
            <w:r w:rsidRPr="007636D7">
              <w:t xml:space="preserve"> on-street locations partially compensate by providing verified road-segment feasibility evidence as an exclusion reference, but do not enter the candidate set directly.</w:t>
            </w:r>
          </w:p>
        </w:tc>
        <w:tc>
          <w:tcPr>
            <w:tcW w:w="443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70E4D2B" w14:textId="4AE74CED" w:rsidR="00293675" w:rsidRDefault="001D24FB">
            <w:r w:rsidRPr="001D24FB">
              <w:t xml:space="preserve">Fallback: untagged residential roads &lt; 500 m retained as conservative candidates. </w:t>
            </w:r>
            <w:proofErr w:type="spellStart"/>
            <w:r w:rsidRPr="001D24FB">
              <w:t>OpenStreetEV_GLA</w:t>
            </w:r>
            <w:proofErr w:type="spellEnd"/>
            <w:r w:rsidRPr="001D24FB">
              <w:t xml:space="preserve"> provides physical feasibility reference for exclusion buffer but does not enter candidate set.</w:t>
            </w:r>
          </w:p>
        </w:tc>
      </w:tr>
      <w:tr w:rsidR="00293675" w14:paraId="74C9B9DE" w14:textId="77777777" w:rsidTr="007636D7">
        <w:tc>
          <w:tcPr>
            <w:tcW w:w="39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E8F03FD" w14:textId="77777777" w:rsidR="00293675" w:rsidRDefault="00000000">
            <w:r>
              <w:rPr>
                <w:rFonts w:eastAsia="Calibri"/>
                <w:color w:val="1A1A1A"/>
                <w:sz w:val="19"/>
                <w:szCs w:val="19"/>
              </w:rPr>
              <w:t>L3</w:t>
            </w:r>
          </w:p>
        </w:tc>
        <w:tc>
          <w:tcPr>
            <w:tcW w:w="45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F98D25B" w14:textId="77777777" w:rsidR="00293675" w:rsidRDefault="00000000">
            <w:r>
              <w:rPr>
                <w:rFonts w:eastAsia="Calibri"/>
                <w:color w:val="1A1A1A"/>
                <w:sz w:val="19"/>
                <w:szCs w:val="19"/>
              </w:rPr>
              <w:t>No capacity constraint in the core p-median model. The unit-consistency problem between Dᵢ (population-weighted) and Sᵢᵉᶠᶠ (effective connectors) means a direct constraint would require a dimensionally consistent conversion factor.</w:t>
            </w:r>
          </w:p>
        </w:tc>
        <w:tc>
          <w:tcPr>
            <w:tcW w:w="443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4CAD7E9" w14:textId="77777777" w:rsidR="00293675" w:rsidRDefault="00000000">
            <w:r>
              <w:rPr>
                <w:rFonts w:eastAsia="Calibri"/>
                <w:color w:val="1A1A1A"/>
                <w:sz w:val="19"/>
                <w:szCs w:val="19"/>
              </w:rPr>
              <w:t>Declared as a future extension. Sᵢᵉᶠᶠ is used in evaluation and EDA rather than in the objective function.</w:t>
            </w:r>
          </w:p>
        </w:tc>
      </w:tr>
      <w:tr w:rsidR="00293675" w14:paraId="002B33A5" w14:textId="77777777" w:rsidTr="007636D7">
        <w:tc>
          <w:tcPr>
            <w:tcW w:w="39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9EC6AA3" w14:textId="77777777" w:rsidR="00293675" w:rsidRDefault="00000000">
            <w:r>
              <w:rPr>
                <w:rFonts w:eastAsia="Calibri"/>
                <w:color w:val="1A1A1A"/>
                <w:sz w:val="19"/>
                <w:szCs w:val="19"/>
              </w:rPr>
              <w:t>L4</w:t>
            </w:r>
          </w:p>
        </w:tc>
        <w:tc>
          <w:tcPr>
            <w:tcW w:w="45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DC3EC1E" w14:textId="77777777" w:rsidR="00293675" w:rsidRDefault="00000000">
            <w:r>
              <w:rPr>
                <w:rFonts w:eastAsia="Calibri"/>
                <w:color w:val="1A1A1A"/>
                <w:sz w:val="19"/>
                <w:szCs w:val="19"/>
              </w:rPr>
              <w:t>2021 Census population base used in a market evolving rapidly in 2024–2025. Direction of bias is conservative: 2021 Pᵢ likely underestimates 2025 driving-age demand.</w:t>
            </w:r>
          </w:p>
        </w:tc>
        <w:tc>
          <w:tcPr>
            <w:tcW w:w="443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6046334E" w14:textId="77777777" w:rsidR="00293675" w:rsidRDefault="00000000">
            <w:r>
              <w:rPr>
                <w:rFonts w:eastAsia="Calibri"/>
                <w:color w:val="1A1A1A"/>
                <w:sz w:val="19"/>
                <w:szCs w:val="19"/>
              </w:rPr>
              <w:t>Does not affect relative scenario comparisons, which depend on spatial ordering of Dᵢ rather than absolute demand magnitudes.</w:t>
            </w:r>
          </w:p>
        </w:tc>
      </w:tr>
      <w:tr w:rsidR="00293675" w14:paraId="76B09C64" w14:textId="77777777" w:rsidTr="007636D7">
        <w:tc>
          <w:tcPr>
            <w:tcW w:w="39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4690188" w14:textId="77777777" w:rsidR="00293675" w:rsidRDefault="00000000">
            <w:r>
              <w:rPr>
                <w:rFonts w:eastAsia="Calibri"/>
                <w:color w:val="1A1A1A"/>
                <w:sz w:val="19"/>
                <w:szCs w:val="19"/>
              </w:rPr>
              <w:t>L5</w:t>
            </w:r>
          </w:p>
        </w:tc>
        <w:tc>
          <w:tcPr>
            <w:tcW w:w="45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B6C87EA" w14:textId="77777777" w:rsidR="00293675" w:rsidRDefault="00000000">
            <w:r>
              <w:rPr>
                <w:rFonts w:eastAsia="Calibri"/>
                <w:color w:val="1A1A1A"/>
                <w:sz w:val="19"/>
                <w:szCs w:val="19"/>
              </w:rPr>
              <w:t>The (1 + α × IMDᵢ) functional form is original to this dissertation. The nearest precedent (Nazari-</w:t>
            </w:r>
            <w:proofErr w:type="spellStart"/>
            <w:r>
              <w:rPr>
                <w:rFonts w:eastAsia="Calibri"/>
                <w:color w:val="1A1A1A"/>
                <w:sz w:val="19"/>
                <w:szCs w:val="19"/>
              </w:rPr>
              <w:t>Heris</w:t>
            </w:r>
            <w:proofErr w:type="spellEnd"/>
            <w:r>
              <w:rPr>
                <w:rFonts w:eastAsia="Calibri"/>
                <w:color w:val="1A1A1A"/>
                <w:sz w:val="19"/>
                <w:szCs w:val="19"/>
              </w:rPr>
              <w:t xml:space="preserve"> 2022 via P010) uses a different specific form. Choice of α ∈ {0, 0.1, 0.3, 0.5} is not externally calibrated.</w:t>
            </w:r>
          </w:p>
        </w:tc>
        <w:tc>
          <w:tcPr>
            <w:tcW w:w="443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DA6E51F" w14:textId="77777777" w:rsidR="00293675" w:rsidRDefault="00000000">
            <w:r>
              <w:rPr>
                <w:rFonts w:eastAsia="Calibri"/>
                <w:color w:val="1A1A1A"/>
                <w:sz w:val="19"/>
                <w:szCs w:val="19"/>
              </w:rPr>
              <w:t>Explicitly framed as a methodological contribution. Sensitivity across four α values constitutes the scenario analysis addressing O4.</w:t>
            </w:r>
          </w:p>
        </w:tc>
      </w:tr>
      <w:tr w:rsidR="00293675" w14:paraId="3CBA91A4" w14:textId="77777777" w:rsidTr="007636D7">
        <w:tc>
          <w:tcPr>
            <w:tcW w:w="39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706CA921" w14:textId="77777777" w:rsidR="00293675" w:rsidRDefault="00000000">
            <w:r>
              <w:rPr>
                <w:rFonts w:eastAsia="Calibri"/>
                <w:color w:val="1A1A1A"/>
                <w:sz w:val="19"/>
                <w:szCs w:val="19"/>
              </w:rPr>
              <w:t>L6</w:t>
            </w:r>
          </w:p>
        </w:tc>
        <w:tc>
          <w:tcPr>
            <w:tcW w:w="45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3A13A1F" w14:textId="77777777" w:rsidR="00293675" w:rsidRDefault="00000000">
            <w:r>
              <w:rPr>
                <w:rFonts w:eastAsia="Calibri"/>
                <w:color w:val="1A1A1A"/>
                <w:sz w:val="19"/>
                <w:szCs w:val="19"/>
              </w:rPr>
              <w:t>GLA/</w:t>
            </w:r>
            <w:proofErr w:type="spellStart"/>
            <w:r>
              <w:rPr>
                <w:rFonts w:eastAsia="Calibri"/>
                <w:color w:val="1A1A1A"/>
                <w:sz w:val="19"/>
                <w:szCs w:val="19"/>
              </w:rPr>
              <w:t>Zapmap</w:t>
            </w:r>
            <w:proofErr w:type="spellEnd"/>
            <w:r>
              <w:rPr>
                <w:rFonts w:eastAsia="Calibri"/>
                <w:color w:val="1A1A1A"/>
                <w:sz w:val="19"/>
                <w:szCs w:val="19"/>
              </w:rPr>
              <w:t xml:space="preserve"> session data covers only 7 days (Aug 4–10, 2025). Seasonal and day-of-week variation in </w:t>
            </w:r>
            <w:proofErr w:type="spellStart"/>
            <w:r>
              <w:rPr>
                <w:rFonts w:eastAsia="Calibri"/>
                <w:color w:val="1A1A1A"/>
                <w:sz w:val="19"/>
                <w:szCs w:val="19"/>
              </w:rPr>
              <w:t>utilisation</w:t>
            </w:r>
            <w:proofErr w:type="spellEnd"/>
            <w:r>
              <w:rPr>
                <w:rFonts w:eastAsia="Calibri"/>
                <w:color w:val="1A1A1A"/>
                <w:sz w:val="19"/>
                <w:szCs w:val="19"/>
              </w:rPr>
              <w:t xml:space="preserve"> is not captured.</w:t>
            </w:r>
          </w:p>
        </w:tc>
        <w:tc>
          <w:tcPr>
            <w:tcW w:w="443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2B3F76BA" w14:textId="77777777" w:rsidR="00293675" w:rsidRDefault="00000000">
            <w:r>
              <w:rPr>
                <w:rFonts w:eastAsia="Calibri"/>
                <w:color w:val="1A1A1A"/>
                <w:sz w:val="19"/>
                <w:szCs w:val="19"/>
              </w:rPr>
              <w:t>Reference week declared explicitly. Temporal extension to longer observation windows is a natural direction for future work (Borlaug et al. 2023 cover 2.5 years).</w:t>
            </w:r>
          </w:p>
        </w:tc>
      </w:tr>
      <w:tr w:rsidR="00293675" w14:paraId="42D46302" w14:textId="77777777" w:rsidTr="007636D7">
        <w:tc>
          <w:tcPr>
            <w:tcW w:w="39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5C7212C6" w14:textId="77777777" w:rsidR="00293675" w:rsidRDefault="00000000">
            <w:r>
              <w:rPr>
                <w:rFonts w:eastAsia="Calibri"/>
                <w:color w:val="1A1A1A"/>
                <w:sz w:val="19"/>
                <w:szCs w:val="19"/>
              </w:rPr>
              <w:t>L7</w:t>
            </w:r>
          </w:p>
        </w:tc>
        <w:tc>
          <w:tcPr>
            <w:tcW w:w="45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1F4719BD" w14:textId="77777777" w:rsidR="00293675" w:rsidRDefault="00000000">
            <w:r>
              <w:rPr>
                <w:rFonts w:eastAsia="Calibri"/>
                <w:color w:val="1A1A1A"/>
                <w:sz w:val="19"/>
                <w:szCs w:val="19"/>
              </w:rPr>
              <w:t>Grid connection capacity not modelled. UKPN substation proximity and hosting capacity are real deployment barriers.</w:t>
            </w:r>
          </w:p>
        </w:tc>
        <w:tc>
          <w:tcPr>
            <w:tcW w:w="443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05B3190B" w14:textId="77777777" w:rsidR="00293675" w:rsidRDefault="00000000">
            <w:r>
              <w:rPr>
                <w:rFonts w:eastAsia="Calibri"/>
                <w:color w:val="1A1A1A"/>
                <w:sz w:val="19"/>
                <w:szCs w:val="19"/>
              </w:rPr>
              <w:t xml:space="preserve">Power tier EDA (from join_august2025.csv </w:t>
            </w:r>
            <w:proofErr w:type="spellStart"/>
            <w:r>
              <w:rPr>
                <w:rFonts w:eastAsia="Calibri"/>
                <w:color w:val="1A1A1A"/>
                <w:sz w:val="19"/>
                <w:szCs w:val="19"/>
              </w:rPr>
              <w:t>power_band</w:t>
            </w:r>
            <w:proofErr w:type="spellEnd"/>
            <w:r>
              <w:rPr>
                <w:rFonts w:eastAsia="Calibri"/>
                <w:color w:val="1A1A1A"/>
                <w:sz w:val="19"/>
                <w:szCs w:val="19"/>
              </w:rPr>
              <w:t xml:space="preserve"> field) provides descriptive context. Full grid constraint modelling deferred to future work.</w:t>
            </w:r>
          </w:p>
        </w:tc>
      </w:tr>
      <w:tr w:rsidR="007636D7" w14:paraId="28877B15" w14:textId="77777777" w:rsidTr="007636D7">
        <w:tc>
          <w:tcPr>
            <w:tcW w:w="39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0E0F9A1" w14:textId="30A9B000" w:rsidR="007636D7" w:rsidRDefault="007636D7">
            <w:pPr>
              <w:rPr>
                <w:rFonts w:eastAsia="Calibri"/>
                <w:color w:val="1A1A1A"/>
                <w:sz w:val="19"/>
                <w:szCs w:val="19"/>
              </w:rPr>
            </w:pPr>
            <w:r>
              <w:rPr>
                <w:rFonts w:eastAsia="Calibri" w:hint="eastAsia"/>
                <w:color w:val="1A1A1A"/>
                <w:sz w:val="19"/>
                <w:szCs w:val="19"/>
              </w:rPr>
              <w:t>L8</w:t>
            </w:r>
          </w:p>
        </w:tc>
        <w:tc>
          <w:tcPr>
            <w:tcW w:w="4527"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41D5546E" w14:textId="3F76FC4B" w:rsidR="007636D7" w:rsidRDefault="007636D7">
            <w:pPr>
              <w:rPr>
                <w:rFonts w:eastAsia="Calibri"/>
                <w:color w:val="1A1A1A"/>
                <w:sz w:val="19"/>
                <w:szCs w:val="19"/>
              </w:rPr>
            </w:pPr>
            <w:r w:rsidRPr="007636D7">
              <w:rPr>
                <w:rFonts w:eastAsia="Calibri"/>
                <w:color w:val="1A1A1A"/>
                <w:sz w:val="19"/>
                <w:szCs w:val="19"/>
              </w:rPr>
              <w:t xml:space="preserve">k-nearest pruning introduces a spatial constraint: LSOAs can only be assigned to sites within their k = 30 nearest candidates. If the optimal unconstrained assignment would require a farther site (e.g. in areas </w:t>
            </w:r>
            <w:r w:rsidRPr="007636D7">
              <w:rPr>
                <w:rFonts w:eastAsia="Calibri"/>
                <w:color w:val="1A1A1A"/>
                <w:sz w:val="19"/>
                <w:szCs w:val="19"/>
              </w:rPr>
              <w:lastRenderedPageBreak/>
              <w:t>with very sparse candidate coverage), pruning may marginally affect solution quality. Sensitivity is tested at k = 20 and k = 40.</w:t>
            </w:r>
          </w:p>
        </w:tc>
        <w:tc>
          <w:tcPr>
            <w:tcW w:w="4436" w:type="dxa"/>
            <w:tcBorders>
              <w:top w:val="single" w:sz="4" w:space="0" w:color="BBBBBB"/>
              <w:left w:val="single" w:sz="4" w:space="0" w:color="BBBBBB"/>
              <w:bottom w:val="single" w:sz="4" w:space="0" w:color="BBBBBB"/>
              <w:right w:val="single" w:sz="4" w:space="0" w:color="BBBBBB"/>
            </w:tcBorders>
            <w:tcMar>
              <w:top w:w="70" w:type="dxa"/>
              <w:left w:w="110" w:type="dxa"/>
              <w:bottom w:w="70" w:type="dxa"/>
              <w:right w:w="110" w:type="dxa"/>
            </w:tcMar>
          </w:tcPr>
          <w:p w14:paraId="3014C99E" w14:textId="5347347D" w:rsidR="007636D7" w:rsidRDefault="001D24FB">
            <w:pPr>
              <w:rPr>
                <w:rFonts w:eastAsia="Calibri"/>
                <w:color w:val="1A1A1A"/>
                <w:sz w:val="19"/>
                <w:szCs w:val="19"/>
              </w:rPr>
            </w:pPr>
            <w:r w:rsidRPr="001D24FB">
              <w:rPr>
                <w:rFonts w:eastAsia="Calibri"/>
                <w:color w:val="1A1A1A"/>
                <w:sz w:val="19"/>
                <w:szCs w:val="19"/>
              </w:rPr>
              <w:lastRenderedPageBreak/>
              <w:t>Sensitivity tested at k = 20 and k = 40. In dense urban London, 30 nearest candidates within typical walking distance provides sufficient local alternatives.</w:t>
            </w:r>
          </w:p>
        </w:tc>
      </w:tr>
    </w:tbl>
    <w:p w14:paraId="68E71D6A" w14:textId="77777777" w:rsidR="00293675" w:rsidRDefault="00293675">
      <w:pPr>
        <w:spacing w:after="120"/>
      </w:pPr>
    </w:p>
    <w:p w14:paraId="0560559C" w14:textId="77777777" w:rsidR="00293675" w:rsidRDefault="00000000">
      <w:pPr>
        <w:pStyle w:val="1"/>
        <w:spacing w:before="300" w:after="120"/>
      </w:pPr>
      <w:r>
        <w:t>9.  Key References</w:t>
      </w:r>
    </w:p>
    <w:p w14:paraId="5BC0FCF0" w14:textId="77777777" w:rsidR="00293675" w:rsidRDefault="00293675">
      <w:pPr>
        <w:spacing w:after="60"/>
      </w:pPr>
    </w:p>
    <w:p w14:paraId="15B47708" w14:textId="77777777" w:rsidR="00293675" w:rsidRDefault="00000000">
      <w:pPr>
        <w:spacing w:before="30" w:after="60"/>
        <w:ind w:left="440" w:hanging="440"/>
        <w:rPr>
          <w:rFonts w:eastAsia="Calibri"/>
          <w:color w:val="1A1A1A"/>
          <w:sz w:val="20"/>
          <w:szCs w:val="20"/>
        </w:rPr>
      </w:pPr>
      <w:r>
        <w:rPr>
          <w:rFonts w:eastAsia="Calibri"/>
          <w:color w:val="1A1A1A"/>
          <w:sz w:val="20"/>
          <w:szCs w:val="20"/>
        </w:rPr>
        <w:t xml:space="preserve">Borlaug, B., Yang, F., Pritchard, E., Wood, E. and Gonder, J. (2023) 'Public electric vehicle charging station utilization in the United States', Transportation Research Part D, 114, 103564. </w:t>
      </w:r>
      <w:proofErr w:type="spellStart"/>
      <w:r>
        <w:rPr>
          <w:rFonts w:eastAsia="Calibri"/>
          <w:color w:val="1A1A1A"/>
          <w:sz w:val="20"/>
          <w:szCs w:val="20"/>
        </w:rPr>
        <w:t>doi</w:t>
      </w:r>
      <w:proofErr w:type="spellEnd"/>
      <w:r>
        <w:rPr>
          <w:rFonts w:eastAsia="Calibri"/>
          <w:color w:val="1A1A1A"/>
          <w:sz w:val="20"/>
          <w:szCs w:val="20"/>
        </w:rPr>
        <w:t>: 10.1016/j.trd.2022.103564.</w:t>
      </w:r>
    </w:p>
    <w:p w14:paraId="7B19CF61" w14:textId="441C2174" w:rsidR="00C520EA" w:rsidRDefault="00C520EA">
      <w:pPr>
        <w:spacing w:before="30" w:after="60"/>
        <w:ind w:left="440" w:hanging="440"/>
      </w:pPr>
      <w:r w:rsidRPr="00C520EA">
        <w:t>Daskin, M.S. (1995) Network and Discrete Location: Models, Algorithms, and Applications. Wiley-Interscience. [Theoretical justification for k-nearest pruning in p-median models.]</w:t>
      </w:r>
    </w:p>
    <w:p w14:paraId="47471A57" w14:textId="77777777" w:rsidR="00293675" w:rsidRDefault="00000000">
      <w:pPr>
        <w:spacing w:before="30" w:after="60"/>
        <w:ind w:left="440" w:hanging="440"/>
      </w:pPr>
      <w:r>
        <w:rPr>
          <w:rFonts w:eastAsia="Calibri"/>
          <w:color w:val="1A1A1A"/>
          <w:sz w:val="20"/>
          <w:szCs w:val="20"/>
        </w:rPr>
        <w:t>Carlton, E. and Sultana, S. (2023) PRISMA-</w:t>
      </w:r>
      <w:proofErr w:type="spellStart"/>
      <w:r>
        <w:rPr>
          <w:rFonts w:eastAsia="Calibri"/>
          <w:color w:val="1A1A1A"/>
          <w:sz w:val="20"/>
          <w:szCs w:val="20"/>
        </w:rPr>
        <w:t>ScR</w:t>
      </w:r>
      <w:proofErr w:type="spellEnd"/>
      <w:r>
        <w:rPr>
          <w:rFonts w:eastAsia="Calibri"/>
          <w:color w:val="1A1A1A"/>
          <w:sz w:val="20"/>
          <w:szCs w:val="20"/>
        </w:rPr>
        <w:t xml:space="preserve"> scoping review of equity in EV charging access [P010].</w:t>
      </w:r>
    </w:p>
    <w:p w14:paraId="0DCA4A6F" w14:textId="77777777" w:rsidR="00293675" w:rsidRDefault="00000000">
      <w:pPr>
        <w:spacing w:before="30" w:after="60"/>
        <w:ind w:left="440" w:hanging="440"/>
      </w:pPr>
      <w:r>
        <w:rPr>
          <w:rFonts w:eastAsia="Calibri"/>
          <w:color w:val="1A1A1A"/>
          <w:sz w:val="20"/>
          <w:szCs w:val="20"/>
        </w:rPr>
        <w:t>Chen, X. et al. (2025) Systematic review of EV charging equity, 91 empirical studies [P009].</w:t>
      </w:r>
    </w:p>
    <w:p w14:paraId="24963B19" w14:textId="77777777" w:rsidR="00293675" w:rsidRDefault="00000000">
      <w:pPr>
        <w:spacing w:before="30" w:after="60"/>
        <w:ind w:left="440" w:hanging="440"/>
      </w:pPr>
      <w:proofErr w:type="spellStart"/>
      <w:r>
        <w:rPr>
          <w:rFonts w:eastAsia="Calibri"/>
          <w:color w:val="1A1A1A"/>
          <w:sz w:val="20"/>
          <w:szCs w:val="20"/>
        </w:rPr>
        <w:t>DfT</w:t>
      </w:r>
      <w:proofErr w:type="spellEnd"/>
      <w:r>
        <w:rPr>
          <w:rFonts w:eastAsia="Calibri"/>
          <w:color w:val="1A1A1A"/>
          <w:sz w:val="20"/>
          <w:szCs w:val="20"/>
        </w:rPr>
        <w:t xml:space="preserve"> / Ipsos (2024) EV Tracker Year 1, Section 8.5, n ≈ 627 BEV respondents [R003].</w:t>
      </w:r>
    </w:p>
    <w:p w14:paraId="3265FF75" w14:textId="77777777" w:rsidR="00293675" w:rsidRDefault="00000000">
      <w:pPr>
        <w:spacing w:before="30" w:after="60"/>
        <w:ind w:left="440" w:hanging="440"/>
      </w:pPr>
      <w:proofErr w:type="spellStart"/>
      <w:r>
        <w:rPr>
          <w:rFonts w:eastAsia="Calibri"/>
          <w:color w:val="1A1A1A"/>
          <w:sz w:val="20"/>
          <w:szCs w:val="20"/>
        </w:rPr>
        <w:t>Gellrich</w:t>
      </w:r>
      <w:proofErr w:type="spellEnd"/>
      <w:r>
        <w:rPr>
          <w:rFonts w:eastAsia="Calibri"/>
          <w:color w:val="1A1A1A"/>
          <w:sz w:val="20"/>
          <w:szCs w:val="20"/>
        </w:rPr>
        <w:t xml:space="preserve">, M., Block, A. and </w:t>
      </w:r>
      <w:proofErr w:type="spellStart"/>
      <w:r>
        <w:rPr>
          <w:rFonts w:eastAsia="Calibri"/>
          <w:color w:val="1A1A1A"/>
          <w:sz w:val="20"/>
          <w:szCs w:val="20"/>
        </w:rPr>
        <w:t>Leikert</w:t>
      </w:r>
      <w:proofErr w:type="spellEnd"/>
      <w:r>
        <w:rPr>
          <w:rFonts w:eastAsia="Calibri"/>
          <w:color w:val="1A1A1A"/>
          <w:sz w:val="20"/>
          <w:szCs w:val="20"/>
        </w:rPr>
        <w:t>-Böhm, N. (2022) 'Spatial and temporal patterns of electric vehicle charging station utilization: a nationwide case study of Switzerland', Environmental Research: Infrastructure and Sustainability.</w:t>
      </w:r>
    </w:p>
    <w:p w14:paraId="0E05E906" w14:textId="77777777" w:rsidR="00293675" w:rsidRDefault="00000000">
      <w:pPr>
        <w:spacing w:before="30" w:after="60"/>
        <w:ind w:left="440" w:hanging="440"/>
      </w:pPr>
      <w:proofErr w:type="spellStart"/>
      <w:r>
        <w:rPr>
          <w:rFonts w:eastAsia="Calibri"/>
          <w:color w:val="1A1A1A"/>
          <w:sz w:val="20"/>
          <w:szCs w:val="20"/>
        </w:rPr>
        <w:t>Hardinghaus</w:t>
      </w:r>
      <w:proofErr w:type="spellEnd"/>
      <w:r>
        <w:rPr>
          <w:rFonts w:eastAsia="Calibri"/>
          <w:color w:val="1A1A1A"/>
          <w:sz w:val="20"/>
          <w:szCs w:val="20"/>
        </w:rPr>
        <w:t>, M., Lochner, M. and Anderson, J. (2020) 'Real-world insights on public charging demand and infrastructure use from electric vehicles', Environmental Research Letters, 15(10), 104030.</w:t>
      </w:r>
    </w:p>
    <w:p w14:paraId="13C94387" w14:textId="77777777" w:rsidR="00293675" w:rsidRDefault="00000000">
      <w:pPr>
        <w:spacing w:before="30" w:after="60"/>
        <w:ind w:left="440" w:hanging="440"/>
      </w:pPr>
      <w:r>
        <w:rPr>
          <w:rFonts w:eastAsia="Calibri"/>
          <w:color w:val="1A1A1A"/>
          <w:sz w:val="20"/>
          <w:szCs w:val="20"/>
        </w:rPr>
        <w:t xml:space="preserve">He, J. et al. (2022) 'Spatial planning of public EV charging infrastructure in a high-density city using a </w:t>
      </w:r>
      <w:proofErr w:type="spellStart"/>
      <w:r>
        <w:rPr>
          <w:rFonts w:eastAsia="Calibri"/>
          <w:color w:val="1A1A1A"/>
          <w:sz w:val="20"/>
          <w:szCs w:val="20"/>
        </w:rPr>
        <w:t>contextualised</w:t>
      </w:r>
      <w:proofErr w:type="spellEnd"/>
      <w:r>
        <w:rPr>
          <w:rFonts w:eastAsia="Calibri"/>
          <w:color w:val="1A1A1A"/>
          <w:sz w:val="20"/>
          <w:szCs w:val="20"/>
        </w:rPr>
        <w:t xml:space="preserve"> location-allocation model', Transportation Research Part A, 152 [P002].</w:t>
      </w:r>
    </w:p>
    <w:p w14:paraId="2B305C4C" w14:textId="77777777" w:rsidR="00293675" w:rsidRDefault="00000000">
      <w:pPr>
        <w:spacing w:before="30" w:after="60"/>
        <w:ind w:left="440" w:hanging="440"/>
      </w:pPr>
      <w:r>
        <w:rPr>
          <w:rFonts w:eastAsia="Calibri"/>
          <w:color w:val="1A1A1A"/>
          <w:sz w:val="20"/>
          <w:szCs w:val="20"/>
        </w:rPr>
        <w:t>He, S.Y., Kuo, Y.-H. and Wu, D. (2016) 'Incorporating institutional and spatial factors in the selection of optimal locations of public electric vehicle charging facilities', Transportation Research Part C, 67, 131–148 [P012].</w:t>
      </w:r>
    </w:p>
    <w:p w14:paraId="7951A9AC" w14:textId="77777777" w:rsidR="00293675" w:rsidRDefault="00000000">
      <w:pPr>
        <w:spacing w:before="30" w:after="60"/>
        <w:ind w:left="440" w:hanging="440"/>
      </w:pPr>
      <w:r>
        <w:rPr>
          <w:rFonts w:eastAsia="Calibri"/>
          <w:color w:val="1A1A1A"/>
          <w:sz w:val="20"/>
          <w:szCs w:val="20"/>
        </w:rPr>
        <w:t>House of Commons Library (2025) Zero Emission Vehicle Mandate, CBP-7480 [R002].</w:t>
      </w:r>
    </w:p>
    <w:p w14:paraId="4CE71210" w14:textId="77777777" w:rsidR="00293675" w:rsidRDefault="00000000">
      <w:pPr>
        <w:spacing w:before="30" w:after="60"/>
        <w:ind w:left="440" w:hanging="440"/>
      </w:pPr>
      <w:proofErr w:type="spellStart"/>
      <w:r>
        <w:rPr>
          <w:rFonts w:eastAsia="Calibri"/>
          <w:color w:val="1A1A1A"/>
          <w:sz w:val="20"/>
          <w:szCs w:val="20"/>
        </w:rPr>
        <w:t>Kchaou-Boujelben</w:t>
      </w:r>
      <w:proofErr w:type="spellEnd"/>
      <w:r>
        <w:rPr>
          <w:rFonts w:eastAsia="Calibri"/>
          <w:color w:val="1A1A1A"/>
          <w:sz w:val="20"/>
          <w:szCs w:val="20"/>
        </w:rPr>
        <w:t>, M. (2021) 'Charging station location problem', Transportation Research Part C, 132 [P005].</w:t>
      </w:r>
    </w:p>
    <w:p w14:paraId="57ACBCEA" w14:textId="77777777" w:rsidR="00293675" w:rsidRDefault="00000000">
      <w:pPr>
        <w:spacing w:before="30" w:after="60"/>
        <w:ind w:left="440" w:hanging="440"/>
      </w:pPr>
      <w:r>
        <w:rPr>
          <w:rFonts w:eastAsia="Calibri"/>
          <w:color w:val="1A1A1A"/>
          <w:sz w:val="20"/>
          <w:szCs w:val="20"/>
        </w:rPr>
        <w:t>Lopane, F. and Zhong, C. (2025) SAR/GWR analysis of London EV charging equity 2021–2024 [P008].</w:t>
      </w:r>
    </w:p>
    <w:p w14:paraId="18D83354" w14:textId="77777777" w:rsidR="00293675" w:rsidRDefault="00000000">
      <w:pPr>
        <w:spacing w:before="30" w:after="60"/>
        <w:ind w:left="440" w:hanging="440"/>
      </w:pPr>
      <w:r>
        <w:rPr>
          <w:rFonts w:eastAsia="Calibri"/>
          <w:color w:val="1A1A1A"/>
          <w:sz w:val="20"/>
          <w:szCs w:val="20"/>
        </w:rPr>
        <w:t xml:space="preserve">Lu, X. et al. (2026) Dynamic </w:t>
      </w:r>
      <w:proofErr w:type="spellStart"/>
      <w:r>
        <w:rPr>
          <w:rFonts w:eastAsia="Calibri"/>
          <w:color w:val="1A1A1A"/>
          <w:sz w:val="20"/>
          <w:szCs w:val="20"/>
        </w:rPr>
        <w:t>utilisation</w:t>
      </w:r>
      <w:proofErr w:type="spellEnd"/>
      <w:r>
        <w:rPr>
          <w:rFonts w:eastAsia="Calibri"/>
          <w:color w:val="1A1A1A"/>
          <w:sz w:val="20"/>
          <w:szCs w:val="20"/>
        </w:rPr>
        <w:t xml:space="preserve"> modelling for EV charging capacity planning [P003].</w:t>
      </w:r>
    </w:p>
    <w:p w14:paraId="3935DA95" w14:textId="77777777" w:rsidR="00293675" w:rsidRDefault="00000000">
      <w:pPr>
        <w:spacing w:before="30" w:after="60"/>
        <w:ind w:left="440" w:hanging="440"/>
      </w:pPr>
      <w:r>
        <w:rPr>
          <w:rFonts w:eastAsia="Calibri"/>
          <w:color w:val="1A1A1A"/>
          <w:sz w:val="20"/>
          <w:szCs w:val="20"/>
        </w:rPr>
        <w:t>MHCLG (October 2025) Index of Deprivation 2025 (IoD2025), File 7: All Ranks, Scores, Deciles and Population Denominators. 33,755 LSOAs (2021 boundaries).</w:t>
      </w:r>
    </w:p>
    <w:p w14:paraId="620F6164" w14:textId="77777777" w:rsidR="00293675" w:rsidRDefault="00000000">
      <w:pPr>
        <w:spacing w:before="30" w:after="60"/>
        <w:ind w:left="440" w:hanging="440"/>
      </w:pPr>
      <w:r>
        <w:rPr>
          <w:rFonts w:eastAsia="Calibri"/>
          <w:color w:val="1A1A1A"/>
          <w:sz w:val="20"/>
          <w:szCs w:val="20"/>
        </w:rPr>
        <w:t>ONS (2021) Census 2021 TS007 Age by Single Year. Nomis. LSOA level.</w:t>
      </w:r>
    </w:p>
    <w:p w14:paraId="03181C50" w14:textId="77777777" w:rsidR="00293675" w:rsidRDefault="00000000">
      <w:pPr>
        <w:spacing w:before="30" w:after="60"/>
        <w:ind w:left="440" w:hanging="440"/>
      </w:pPr>
      <w:proofErr w:type="spellStart"/>
      <w:r>
        <w:rPr>
          <w:rFonts w:eastAsia="Calibri"/>
          <w:color w:val="1A1A1A"/>
          <w:sz w:val="20"/>
          <w:szCs w:val="20"/>
        </w:rPr>
        <w:t>Pagany</w:t>
      </w:r>
      <w:proofErr w:type="spellEnd"/>
      <w:r>
        <w:rPr>
          <w:rFonts w:eastAsia="Calibri"/>
          <w:color w:val="1A1A1A"/>
          <w:sz w:val="20"/>
          <w:szCs w:val="20"/>
        </w:rPr>
        <w:t>, R. (2018) 'Electric vehicle charging infrastructure review', Energies, 11(8) [P004].</w:t>
      </w:r>
    </w:p>
    <w:p w14:paraId="4F02DA84" w14:textId="77777777" w:rsidR="00293675" w:rsidRDefault="00000000">
      <w:pPr>
        <w:spacing w:before="30" w:after="60"/>
        <w:ind w:left="440" w:hanging="440"/>
      </w:pPr>
      <w:r>
        <w:rPr>
          <w:rFonts w:eastAsia="Calibri"/>
          <w:color w:val="1A1A1A"/>
          <w:sz w:val="20"/>
          <w:szCs w:val="20"/>
        </w:rPr>
        <w:t>TfL / GLA (2025) London Electric Vehicle Infrastructure Strategy [R005].</w:t>
      </w:r>
    </w:p>
    <w:p w14:paraId="3B85CF4D" w14:textId="77777777" w:rsidR="00293675" w:rsidRDefault="00000000">
      <w:pPr>
        <w:spacing w:before="30" w:after="60"/>
        <w:ind w:left="440" w:hanging="440"/>
      </w:pPr>
      <w:r>
        <w:rPr>
          <w:rFonts w:eastAsia="Calibri"/>
          <w:color w:val="1A1A1A"/>
          <w:sz w:val="20"/>
          <w:szCs w:val="20"/>
        </w:rPr>
        <w:t xml:space="preserve">Topal, O. (2025) 'A comprehensive analysis of capacity utilization rates of fast-charging stations in shopping malls', International Journal of Low-Carbon Technologies, 20, 1646–1660. </w:t>
      </w:r>
      <w:proofErr w:type="spellStart"/>
      <w:r>
        <w:rPr>
          <w:rFonts w:eastAsia="Calibri"/>
          <w:color w:val="1A1A1A"/>
          <w:sz w:val="20"/>
          <w:szCs w:val="20"/>
        </w:rPr>
        <w:t>doi</w:t>
      </w:r>
      <w:proofErr w:type="spellEnd"/>
      <w:r>
        <w:rPr>
          <w:rFonts w:eastAsia="Calibri"/>
          <w:color w:val="1A1A1A"/>
          <w:sz w:val="20"/>
          <w:szCs w:val="20"/>
        </w:rPr>
        <w:t>: 10.1093/</w:t>
      </w:r>
      <w:proofErr w:type="spellStart"/>
      <w:r>
        <w:rPr>
          <w:rFonts w:eastAsia="Calibri"/>
          <w:color w:val="1A1A1A"/>
          <w:sz w:val="20"/>
          <w:szCs w:val="20"/>
        </w:rPr>
        <w:t>ijlct</w:t>
      </w:r>
      <w:proofErr w:type="spellEnd"/>
      <w:r>
        <w:rPr>
          <w:rFonts w:eastAsia="Calibri"/>
          <w:color w:val="1A1A1A"/>
          <w:sz w:val="20"/>
          <w:szCs w:val="20"/>
        </w:rPr>
        <w:t>/ctaf100.</w:t>
      </w:r>
    </w:p>
    <w:sectPr w:rsidR="0029367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3AB7"/>
    <w:multiLevelType w:val="multilevel"/>
    <w:tmpl w:val="7712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4904AD"/>
    <w:multiLevelType w:val="hybridMultilevel"/>
    <w:tmpl w:val="0748B7B0"/>
    <w:lvl w:ilvl="0" w:tplc="59325FE4">
      <w:start w:val="1"/>
      <w:numFmt w:val="decimal"/>
      <w:lvlText w:val="%1."/>
      <w:lvlJc w:val="left"/>
      <w:pPr>
        <w:ind w:left="520" w:hanging="260"/>
      </w:pPr>
    </w:lvl>
    <w:lvl w:ilvl="1" w:tplc="4D2296DC">
      <w:numFmt w:val="decimal"/>
      <w:lvlText w:val=""/>
      <w:lvlJc w:val="left"/>
    </w:lvl>
    <w:lvl w:ilvl="2" w:tplc="11902C22">
      <w:numFmt w:val="decimal"/>
      <w:lvlText w:val=""/>
      <w:lvlJc w:val="left"/>
    </w:lvl>
    <w:lvl w:ilvl="3" w:tplc="A3E281A4">
      <w:numFmt w:val="decimal"/>
      <w:lvlText w:val=""/>
      <w:lvlJc w:val="left"/>
    </w:lvl>
    <w:lvl w:ilvl="4" w:tplc="006C9D9E">
      <w:numFmt w:val="decimal"/>
      <w:lvlText w:val=""/>
      <w:lvlJc w:val="left"/>
    </w:lvl>
    <w:lvl w:ilvl="5" w:tplc="2CD42E64">
      <w:numFmt w:val="decimal"/>
      <w:lvlText w:val=""/>
      <w:lvlJc w:val="left"/>
    </w:lvl>
    <w:lvl w:ilvl="6" w:tplc="01C2F260">
      <w:numFmt w:val="decimal"/>
      <w:lvlText w:val=""/>
      <w:lvlJc w:val="left"/>
    </w:lvl>
    <w:lvl w:ilvl="7" w:tplc="060AF756">
      <w:numFmt w:val="decimal"/>
      <w:lvlText w:val=""/>
      <w:lvlJc w:val="left"/>
    </w:lvl>
    <w:lvl w:ilvl="8" w:tplc="2E0AAADA">
      <w:numFmt w:val="decimal"/>
      <w:lvlText w:val=""/>
      <w:lvlJc w:val="left"/>
    </w:lvl>
  </w:abstractNum>
  <w:abstractNum w:abstractNumId="2" w15:restartNumberingAfterBreak="0">
    <w:nsid w:val="3C250936"/>
    <w:multiLevelType w:val="hybridMultilevel"/>
    <w:tmpl w:val="0066B606"/>
    <w:lvl w:ilvl="0" w:tplc="7804C260">
      <w:start w:val="1"/>
      <w:numFmt w:val="bullet"/>
      <w:lvlText w:val="●"/>
      <w:lvlJc w:val="left"/>
      <w:pPr>
        <w:ind w:left="720" w:hanging="360"/>
      </w:pPr>
    </w:lvl>
    <w:lvl w:ilvl="1" w:tplc="8ABA6594">
      <w:start w:val="1"/>
      <w:numFmt w:val="bullet"/>
      <w:lvlText w:val="○"/>
      <w:lvlJc w:val="left"/>
      <w:pPr>
        <w:ind w:left="1440" w:hanging="360"/>
      </w:pPr>
    </w:lvl>
    <w:lvl w:ilvl="2" w:tplc="636A5E0A">
      <w:start w:val="1"/>
      <w:numFmt w:val="bullet"/>
      <w:lvlText w:val="■"/>
      <w:lvlJc w:val="left"/>
      <w:pPr>
        <w:ind w:left="2160" w:hanging="360"/>
      </w:pPr>
    </w:lvl>
    <w:lvl w:ilvl="3" w:tplc="23F844E8">
      <w:start w:val="1"/>
      <w:numFmt w:val="bullet"/>
      <w:lvlText w:val="●"/>
      <w:lvlJc w:val="left"/>
      <w:pPr>
        <w:ind w:left="2880" w:hanging="360"/>
      </w:pPr>
    </w:lvl>
    <w:lvl w:ilvl="4" w:tplc="FD88FFC0">
      <w:start w:val="1"/>
      <w:numFmt w:val="bullet"/>
      <w:lvlText w:val="○"/>
      <w:lvlJc w:val="left"/>
      <w:pPr>
        <w:ind w:left="3600" w:hanging="360"/>
      </w:pPr>
    </w:lvl>
    <w:lvl w:ilvl="5" w:tplc="0D78FB16">
      <w:start w:val="1"/>
      <w:numFmt w:val="bullet"/>
      <w:lvlText w:val="■"/>
      <w:lvlJc w:val="left"/>
      <w:pPr>
        <w:ind w:left="4320" w:hanging="360"/>
      </w:pPr>
    </w:lvl>
    <w:lvl w:ilvl="6" w:tplc="1AB4F5CA">
      <w:start w:val="1"/>
      <w:numFmt w:val="bullet"/>
      <w:lvlText w:val="●"/>
      <w:lvlJc w:val="left"/>
      <w:pPr>
        <w:ind w:left="5040" w:hanging="360"/>
      </w:pPr>
    </w:lvl>
    <w:lvl w:ilvl="7" w:tplc="E308582E">
      <w:start w:val="1"/>
      <w:numFmt w:val="bullet"/>
      <w:lvlText w:val="●"/>
      <w:lvlJc w:val="left"/>
      <w:pPr>
        <w:ind w:left="5760" w:hanging="360"/>
      </w:pPr>
    </w:lvl>
    <w:lvl w:ilvl="8" w:tplc="558E79AC">
      <w:start w:val="1"/>
      <w:numFmt w:val="bullet"/>
      <w:lvlText w:val="●"/>
      <w:lvlJc w:val="left"/>
      <w:pPr>
        <w:ind w:left="6480" w:hanging="360"/>
      </w:pPr>
    </w:lvl>
  </w:abstractNum>
  <w:abstractNum w:abstractNumId="3" w15:restartNumberingAfterBreak="0">
    <w:nsid w:val="56762FFB"/>
    <w:multiLevelType w:val="hybridMultilevel"/>
    <w:tmpl w:val="D376037A"/>
    <w:lvl w:ilvl="0" w:tplc="AEA80238">
      <w:start w:val="1"/>
      <w:numFmt w:val="bullet"/>
      <w:lvlText w:val="–"/>
      <w:lvlJc w:val="left"/>
      <w:pPr>
        <w:ind w:left="520" w:hanging="260"/>
      </w:pPr>
    </w:lvl>
    <w:lvl w:ilvl="1" w:tplc="6A3CDA4C">
      <w:numFmt w:val="decimal"/>
      <w:lvlText w:val=""/>
      <w:lvlJc w:val="left"/>
    </w:lvl>
    <w:lvl w:ilvl="2" w:tplc="34AAB15C">
      <w:numFmt w:val="decimal"/>
      <w:lvlText w:val=""/>
      <w:lvlJc w:val="left"/>
    </w:lvl>
    <w:lvl w:ilvl="3" w:tplc="B54A8C62">
      <w:numFmt w:val="decimal"/>
      <w:lvlText w:val=""/>
      <w:lvlJc w:val="left"/>
    </w:lvl>
    <w:lvl w:ilvl="4" w:tplc="38660276">
      <w:numFmt w:val="decimal"/>
      <w:lvlText w:val=""/>
      <w:lvlJc w:val="left"/>
    </w:lvl>
    <w:lvl w:ilvl="5" w:tplc="D5F495BC">
      <w:numFmt w:val="decimal"/>
      <w:lvlText w:val=""/>
      <w:lvlJc w:val="left"/>
    </w:lvl>
    <w:lvl w:ilvl="6" w:tplc="F34688AC">
      <w:numFmt w:val="decimal"/>
      <w:lvlText w:val=""/>
      <w:lvlJc w:val="left"/>
    </w:lvl>
    <w:lvl w:ilvl="7" w:tplc="97669A48">
      <w:numFmt w:val="decimal"/>
      <w:lvlText w:val=""/>
      <w:lvlJc w:val="left"/>
    </w:lvl>
    <w:lvl w:ilvl="8" w:tplc="68EA503E">
      <w:numFmt w:val="decimal"/>
      <w:lvlText w:val=""/>
      <w:lvlJc w:val="left"/>
    </w:lvl>
  </w:abstractNum>
  <w:num w:numId="1" w16cid:durableId="1687708867">
    <w:abstractNumId w:val="2"/>
    <w:lvlOverride w:ilvl="0">
      <w:startOverride w:val="1"/>
    </w:lvlOverride>
  </w:num>
  <w:num w:numId="2" w16cid:durableId="753473185">
    <w:abstractNumId w:val="3"/>
    <w:lvlOverride w:ilvl="0">
      <w:startOverride w:val="1"/>
    </w:lvlOverride>
  </w:num>
  <w:num w:numId="3" w16cid:durableId="778916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675"/>
    <w:rsid w:val="00004522"/>
    <w:rsid w:val="00060A97"/>
    <w:rsid w:val="0008477E"/>
    <w:rsid w:val="000B222E"/>
    <w:rsid w:val="000D0E87"/>
    <w:rsid w:val="000D27D5"/>
    <w:rsid w:val="001273BE"/>
    <w:rsid w:val="001D24FB"/>
    <w:rsid w:val="001F69FA"/>
    <w:rsid w:val="0020664F"/>
    <w:rsid w:val="00293675"/>
    <w:rsid w:val="00297F50"/>
    <w:rsid w:val="00345C95"/>
    <w:rsid w:val="00361181"/>
    <w:rsid w:val="00381296"/>
    <w:rsid w:val="00383128"/>
    <w:rsid w:val="003966C0"/>
    <w:rsid w:val="003B77F2"/>
    <w:rsid w:val="003E245B"/>
    <w:rsid w:val="003E413C"/>
    <w:rsid w:val="00415F40"/>
    <w:rsid w:val="00480C7C"/>
    <w:rsid w:val="00513F5A"/>
    <w:rsid w:val="0051657E"/>
    <w:rsid w:val="0057341E"/>
    <w:rsid w:val="005D5EBB"/>
    <w:rsid w:val="005E431B"/>
    <w:rsid w:val="00620490"/>
    <w:rsid w:val="00631CE7"/>
    <w:rsid w:val="0067072C"/>
    <w:rsid w:val="006918AE"/>
    <w:rsid w:val="006C0E8F"/>
    <w:rsid w:val="00716B76"/>
    <w:rsid w:val="007436B9"/>
    <w:rsid w:val="00757418"/>
    <w:rsid w:val="007636D7"/>
    <w:rsid w:val="00797E01"/>
    <w:rsid w:val="007B5F68"/>
    <w:rsid w:val="00804D56"/>
    <w:rsid w:val="008A3105"/>
    <w:rsid w:val="00906DCA"/>
    <w:rsid w:val="00935895"/>
    <w:rsid w:val="00974F2C"/>
    <w:rsid w:val="00A11FB4"/>
    <w:rsid w:val="00A57B98"/>
    <w:rsid w:val="00A940A6"/>
    <w:rsid w:val="00AA73EC"/>
    <w:rsid w:val="00B076AE"/>
    <w:rsid w:val="00BA2204"/>
    <w:rsid w:val="00BB7E1E"/>
    <w:rsid w:val="00C520EA"/>
    <w:rsid w:val="00CB5DE5"/>
    <w:rsid w:val="00D84AE8"/>
    <w:rsid w:val="00DD0CD8"/>
    <w:rsid w:val="00DE1833"/>
    <w:rsid w:val="00E95CE5"/>
    <w:rsid w:val="00F13A77"/>
    <w:rsid w:val="00F20598"/>
    <w:rsid w:val="00F2392D"/>
    <w:rsid w:val="00FB5E6D"/>
    <w:rsid w:val="00FE3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B3B4E"/>
  <w15:docId w15:val="{E3B8E218-B027-4C47-AC6B-4546C3F4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5E6D"/>
    <w:pPr>
      <w:widowControl w:val="0"/>
    </w:pPr>
  </w:style>
  <w:style w:type="paragraph" w:styleId="1">
    <w:name w:val="heading 1"/>
    <w:uiPriority w:val="9"/>
    <w:qFormat/>
    <w:pPr>
      <w:spacing w:before="320" w:after="140"/>
      <w:outlineLvl w:val="0"/>
    </w:pPr>
    <w:rPr>
      <w:rFonts w:eastAsia="Calibri"/>
      <w:b/>
      <w:bCs/>
      <w:color w:val="111111"/>
      <w:sz w:val="30"/>
      <w:szCs w:val="30"/>
    </w:rPr>
  </w:style>
  <w:style w:type="paragraph" w:styleId="2">
    <w:name w:val="heading 2"/>
    <w:uiPriority w:val="9"/>
    <w:unhideWhenUsed/>
    <w:qFormat/>
    <w:pPr>
      <w:spacing w:before="200" w:after="100"/>
      <w:outlineLvl w:val="1"/>
    </w:pPr>
    <w:rPr>
      <w:rFonts w:eastAsia="Calibri"/>
      <w:b/>
      <w:bCs/>
      <w:color w:val="333333"/>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4110</Words>
  <Characters>23432</Characters>
  <Application>Microsoft Office Word</Application>
  <DocSecurity>0</DocSecurity>
  <Lines>195</Lines>
  <Paragraphs>54</Paragraphs>
  <ScaleCrop>false</ScaleCrop>
  <Company/>
  <LinksUpToDate>false</LinksUpToDate>
  <CharactersWithSpaces>27488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Yuyue Xia</cp:lastModifiedBy>
  <cp:revision>62</cp:revision>
  <dcterms:created xsi:type="dcterms:W3CDTF">2026-06-29T11:46:00Z</dcterms:created>
  <dcterms:modified xsi:type="dcterms:W3CDTF">2026-06-29T16:00:00Z</dcterms:modified>
</cp:coreProperties>
</file>