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D2E47F" w14:textId="77777777" w:rsidR="006924FB" w:rsidRDefault="006924FB" w:rsidP="006924F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6924FB">
        <w:rPr>
          <w:rFonts w:ascii="Times New Roman" w:hAnsi="Times New Roman" w:cs="Times New Roman"/>
          <w:b/>
          <w:bCs/>
          <w:sz w:val="22"/>
          <w:szCs w:val="22"/>
        </w:rPr>
        <w:t>Equity-Oriented Spatial Optimi</w:t>
      </w:r>
      <w:r w:rsidRPr="006924FB">
        <w:rPr>
          <w:rFonts w:ascii="Times New Roman" w:hAnsi="Times New Roman" w:cs="Times New Roman" w:hint="eastAsia"/>
          <w:b/>
          <w:bCs/>
          <w:sz w:val="22"/>
          <w:szCs w:val="22"/>
        </w:rPr>
        <w:t>z</w:t>
      </w:r>
      <w:r w:rsidRPr="006924FB">
        <w:rPr>
          <w:rFonts w:ascii="Times New Roman" w:hAnsi="Times New Roman" w:cs="Times New Roman"/>
          <w:b/>
          <w:bCs/>
          <w:sz w:val="22"/>
          <w:szCs w:val="22"/>
        </w:rPr>
        <w:t>ation of Electric Vehicle Charging</w:t>
      </w:r>
      <w:r w:rsidRPr="006924FB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 </w:t>
      </w:r>
      <w:r w:rsidRPr="006924FB">
        <w:rPr>
          <w:rFonts w:ascii="Times New Roman" w:hAnsi="Times New Roman" w:cs="Times New Roman"/>
          <w:b/>
          <w:bCs/>
          <w:sz w:val="22"/>
          <w:szCs w:val="22"/>
        </w:rPr>
        <w:t>Infrastructure: A Scenario-Based Approach for Greater London</w:t>
      </w:r>
    </w:p>
    <w:p w14:paraId="1574E7BA" w14:textId="77777777" w:rsidR="006924FB" w:rsidRPr="00F0399D" w:rsidRDefault="006924FB" w:rsidP="006924FB">
      <w:pPr>
        <w:pStyle w:val="p1"/>
        <w:rPr>
          <w:b/>
          <w:bCs/>
        </w:rPr>
      </w:pPr>
    </w:p>
    <w:p w14:paraId="0B86DA1A" w14:textId="131B32B4" w:rsidR="006924FB" w:rsidRDefault="006924FB" w:rsidP="006924FB">
      <w:pPr>
        <w:pStyle w:val="p1"/>
        <w:rPr>
          <w:b/>
          <w:bCs/>
        </w:rPr>
      </w:pPr>
      <w:r>
        <w:rPr>
          <w:rFonts w:hint="eastAsia"/>
          <w:b/>
          <w:bCs/>
        </w:rPr>
        <w:t>Abstract</w:t>
      </w:r>
    </w:p>
    <w:p w14:paraId="5041E14E" w14:textId="35B0B10A" w:rsidR="00A86D74" w:rsidRDefault="00F12523" w:rsidP="00F0399D">
      <w:pPr>
        <w:pStyle w:val="p1"/>
      </w:pPr>
      <w:r>
        <w:t xml:space="preserve">Declaration of Authorship </w:t>
      </w:r>
    </w:p>
    <w:p w14:paraId="5CB09F03" w14:textId="072E8819" w:rsidR="00F12523" w:rsidRDefault="00F12523" w:rsidP="00F12523">
      <w:pPr>
        <w:pStyle w:val="p1"/>
      </w:pPr>
      <w:r>
        <w:t>Acknowledgements</w:t>
      </w:r>
    </w:p>
    <w:p w14:paraId="3A0C7951" w14:textId="7A1BF2B1" w:rsidR="006924FB" w:rsidRDefault="00F12523" w:rsidP="00F12523">
      <w:pPr>
        <w:pStyle w:val="p1"/>
      </w:pPr>
      <w:r>
        <w:t>List of Figures</w:t>
      </w:r>
    </w:p>
    <w:p w14:paraId="45032C12" w14:textId="1E638AFD" w:rsidR="00F12523" w:rsidRPr="006924FB" w:rsidRDefault="00F12523" w:rsidP="00F12523">
      <w:pPr>
        <w:pStyle w:val="p1"/>
      </w:pPr>
      <w:r>
        <w:rPr>
          <w:rFonts w:hint="eastAsia"/>
        </w:rPr>
        <w:t>List of</w:t>
      </w:r>
      <w:r>
        <w:t xml:space="preserve"> Tables</w:t>
      </w:r>
    </w:p>
    <w:p w14:paraId="06CDD2AE" w14:textId="77777777" w:rsidR="00D12AFE" w:rsidRDefault="00D12AFE" w:rsidP="006924FB">
      <w:pPr>
        <w:pStyle w:val="p1"/>
        <w:rPr>
          <w:b/>
          <w:bCs/>
        </w:rPr>
      </w:pPr>
    </w:p>
    <w:p w14:paraId="780D0A31" w14:textId="13001FBA" w:rsidR="006924FB" w:rsidRDefault="006924FB" w:rsidP="006924FB">
      <w:pPr>
        <w:pStyle w:val="p1"/>
      </w:pPr>
      <w:r>
        <w:rPr>
          <w:b/>
          <w:bCs/>
        </w:rPr>
        <w:t>1.</w:t>
      </w:r>
      <w:r>
        <w:rPr>
          <w:rStyle w:val="s1"/>
        </w:rPr>
        <w:t xml:space="preserve"> </w:t>
      </w:r>
      <w:r>
        <w:rPr>
          <w:b/>
          <w:bCs/>
        </w:rPr>
        <w:t>Introduction</w:t>
      </w:r>
      <w:r w:rsidR="00C766F6">
        <w:rPr>
          <w:rFonts w:hint="eastAsia"/>
          <w:b/>
          <w:bCs/>
        </w:rPr>
        <w:t xml:space="preserve"> 1000words</w:t>
      </w:r>
    </w:p>
    <w:p w14:paraId="274CF55C" w14:textId="6A76C3BE" w:rsidR="006924FB" w:rsidRDefault="006924FB" w:rsidP="006924FB">
      <w:pPr>
        <w:pStyle w:val="p2"/>
      </w:pPr>
      <w:r>
        <w:t>1.1. Background</w:t>
      </w:r>
    </w:p>
    <w:p w14:paraId="42C6843A" w14:textId="56849EFA" w:rsidR="00CE34CF" w:rsidRDefault="00CE34CF">
      <w:pPr>
        <w:pStyle w:val="p2"/>
        <w:numPr>
          <w:ilvl w:val="0"/>
          <w:numId w:val="44"/>
        </w:numPr>
      </w:pPr>
      <w:r>
        <w:t xml:space="preserve">Transport </w:t>
      </w:r>
      <w:proofErr w:type="spellStart"/>
      <w:r>
        <w:t>Decarbonisation</w:t>
      </w:r>
      <w:proofErr w:type="spellEnd"/>
      <w:r>
        <w:t xml:space="preserve"> and the Transition to Electric Mobility </w:t>
      </w:r>
      <w:r w:rsidRPr="00F0399D">
        <w:t>(</w:t>
      </w:r>
      <w:proofErr w:type="spellStart"/>
      <w:r w:rsidRPr="00F0399D">
        <w:t>HoC</w:t>
      </w:r>
      <w:proofErr w:type="spellEnd"/>
      <w:r w:rsidRPr="00F0399D">
        <w:t xml:space="preserve"> Library 2025).</w:t>
      </w:r>
    </w:p>
    <w:p w14:paraId="61DC9C16" w14:textId="203CAB4C" w:rsidR="00CE34CF" w:rsidRDefault="00CE34CF">
      <w:pPr>
        <w:pStyle w:val="p2"/>
        <w:numPr>
          <w:ilvl w:val="0"/>
          <w:numId w:val="44"/>
        </w:numPr>
        <w:rPr>
          <w:rFonts w:ascii="Noto Sans CJK SC" w:eastAsia="Noto Sans CJK SC" w:hAnsi="Noto Sans CJK SC"/>
          <w:color w:val="444444"/>
          <w:sz w:val="18"/>
        </w:rPr>
      </w:pPr>
      <w:r>
        <w:rPr>
          <w:rFonts w:ascii="Noto Sans CJK SC" w:eastAsia="Noto Sans CJK SC" w:hAnsi="Noto Sans CJK SC"/>
          <w:sz w:val="18"/>
        </w:rPr>
        <w:t>Electric mobility cannot expand without accessible and dependable charging infrastructure.</w:t>
      </w:r>
      <w:r w:rsidRPr="00CE34CF">
        <w:rPr>
          <w:rFonts w:ascii="Noto Sans CJK SC" w:eastAsia="Noto Sans CJK SC" w:hAnsi="Noto Sans CJK SC"/>
          <w:color w:val="444444"/>
          <w:sz w:val="18"/>
        </w:rPr>
        <w:t xml:space="preserve"> </w:t>
      </w:r>
    </w:p>
    <w:p w14:paraId="6ECC0EA1" w14:textId="7B6A297E" w:rsidR="0016435C" w:rsidRDefault="0016435C">
      <w:pPr>
        <w:pStyle w:val="p2"/>
        <w:numPr>
          <w:ilvl w:val="0"/>
          <w:numId w:val="44"/>
        </w:numPr>
        <w:rPr>
          <w:rFonts w:ascii="Noto Sans CJK SC" w:eastAsia="Noto Sans CJK SC" w:hAnsi="Noto Sans CJK SC"/>
          <w:color w:val="444444"/>
          <w:sz w:val="18"/>
        </w:rPr>
      </w:pPr>
      <w:r>
        <w:rPr>
          <w:rFonts w:ascii="宋体" w:hAnsi="宋体" w:cs="宋体" w:hint="eastAsia"/>
          <w:color w:val="444444"/>
          <w:sz w:val="18"/>
        </w:rPr>
        <w:t>写多少人依赖public charging</w:t>
      </w:r>
    </w:p>
    <w:p w14:paraId="69355679" w14:textId="60FBBB2B" w:rsidR="00CE34CF" w:rsidRDefault="0016435C">
      <w:pPr>
        <w:pStyle w:val="p2"/>
        <w:numPr>
          <w:ilvl w:val="0"/>
          <w:numId w:val="44"/>
        </w:numPr>
        <w:rPr>
          <w:rFonts w:ascii="Noto Sans CJK SC" w:eastAsia="Noto Sans CJK SC" w:hAnsi="Noto Sans CJK SC"/>
          <w:color w:val="444444"/>
          <w:sz w:val="18"/>
        </w:rPr>
      </w:pPr>
      <w:r>
        <w:rPr>
          <w:rFonts w:hint="eastAsia"/>
        </w:rPr>
        <w:t>T</w:t>
      </w:r>
      <w:r w:rsidR="00CE34CF" w:rsidRPr="00CE34CF">
        <w:t>he total number of chargers is not enough to describe whether residents are adequately served</w:t>
      </w:r>
      <w:r w:rsidR="00CE34CF">
        <w:t>. T</w:t>
      </w:r>
      <w:r w:rsidR="00CE34CF" w:rsidRPr="00CE34CF">
        <w:t>heir spatial distribution also matters.</w:t>
      </w:r>
      <w:r w:rsidR="00CE34CF" w:rsidRPr="00CE34CF">
        <w:rPr>
          <w:rFonts w:ascii="Noto Sans CJK SC" w:eastAsia="Noto Sans CJK SC" w:hAnsi="Noto Sans CJK SC"/>
          <w:color w:val="444444"/>
          <w:sz w:val="18"/>
        </w:rPr>
        <w:t xml:space="preserve"> </w:t>
      </w:r>
      <w:r w:rsidRPr="0016435C">
        <w:rPr>
          <w:rFonts w:ascii="Noto Sans CJK SC" w:eastAsia="Noto Sans CJK SC" w:hAnsi="Noto Sans CJK SC"/>
          <w:color w:val="444444"/>
          <w:sz w:val="18"/>
        </w:rPr>
        <w:t>charging points</w:t>
      </w:r>
      <w:r w:rsidRPr="0016435C">
        <w:rPr>
          <w:rFonts w:ascii="宋体" w:hAnsi="宋体" w:cs="宋体" w:hint="eastAsia"/>
          <w:color w:val="444444"/>
          <w:sz w:val="18"/>
        </w:rPr>
        <w:t>其实比电动车发展地快，但是</w:t>
      </w:r>
      <w:r>
        <w:rPr>
          <w:rFonts w:ascii="宋体" w:hAnsi="宋体" w:cs="宋体" w:hint="eastAsia"/>
          <w:color w:val="444444"/>
          <w:sz w:val="18"/>
        </w:rPr>
        <w:t>人们</w:t>
      </w:r>
      <w:r w:rsidRPr="0016435C">
        <w:rPr>
          <w:rFonts w:ascii="宋体" w:hAnsi="宋体" w:cs="宋体" w:hint="eastAsia"/>
          <w:color w:val="444444"/>
          <w:sz w:val="18"/>
        </w:rPr>
        <w:t>还是有抱怨</w:t>
      </w:r>
      <w:r>
        <w:rPr>
          <w:rFonts w:ascii="宋体" w:hAnsi="宋体" w:cs="宋体" w:hint="eastAsia"/>
          <w:color w:val="444444"/>
          <w:sz w:val="18"/>
        </w:rPr>
        <w:t>，</w:t>
      </w:r>
      <w:r w:rsidRPr="0016435C">
        <w:rPr>
          <w:rFonts w:ascii="宋体" w:hAnsi="宋体" w:cs="宋体"/>
          <w:color w:val="444444"/>
          <w:sz w:val="18"/>
        </w:rPr>
        <w:t>要分析谁真需要</w:t>
      </w:r>
      <w:r>
        <w:rPr>
          <w:rFonts w:ascii="宋体" w:hAnsi="宋体" w:cs="宋体" w:hint="eastAsia"/>
          <w:color w:val="444444"/>
          <w:sz w:val="18"/>
        </w:rPr>
        <w:t>。</w:t>
      </w:r>
      <w:r w:rsidRPr="0016435C">
        <w:rPr>
          <w:rFonts w:ascii="宋体" w:hAnsi="宋体" w:cs="宋体"/>
          <w:color w:val="444444"/>
          <w:sz w:val="18"/>
        </w:rPr>
        <w:t>public charging on a call</w:t>
      </w:r>
    </w:p>
    <w:p w14:paraId="0FB7813D" w14:textId="36CDC823" w:rsidR="00CE34CF" w:rsidRDefault="00CE34CF">
      <w:pPr>
        <w:pStyle w:val="p2"/>
        <w:numPr>
          <w:ilvl w:val="0"/>
          <w:numId w:val="44"/>
        </w:numPr>
        <w:rPr>
          <w:rFonts w:ascii="Noto Sans CJK SC" w:eastAsia="Noto Sans CJK SC" w:hAnsi="Noto Sans CJK SC"/>
          <w:color w:val="444444"/>
          <w:sz w:val="18"/>
        </w:rPr>
      </w:pPr>
      <w:r>
        <w:rPr>
          <w:rFonts w:ascii="Noto Sans CJK SC" w:eastAsia="Noto Sans CJK SC" w:hAnsi="Noto Sans CJK SC"/>
          <w:sz w:val="18"/>
        </w:rPr>
        <w:t>Market-led deployment may follow visible demand, current EV ownership and purchasing power, potentially reproducing existing spatial inequalities.</w:t>
      </w:r>
      <w:r w:rsidRPr="00CE34CF">
        <w:rPr>
          <w:rFonts w:ascii="Noto Sans CJK SC" w:eastAsia="Noto Sans CJK SC" w:hAnsi="Noto Sans CJK SC"/>
          <w:color w:val="444444"/>
          <w:sz w:val="18"/>
        </w:rPr>
        <w:t xml:space="preserve"> </w:t>
      </w:r>
    </w:p>
    <w:p w14:paraId="7112617A" w14:textId="067587A7" w:rsidR="000B2DFA" w:rsidRPr="00F0399D" w:rsidRDefault="000B2DFA">
      <w:pPr>
        <w:pStyle w:val="p2"/>
        <w:numPr>
          <w:ilvl w:val="0"/>
          <w:numId w:val="44"/>
        </w:numPr>
        <w:rPr>
          <w:rFonts w:ascii="Noto Sans CJK SC" w:eastAsia="Noto Sans CJK SC" w:hAnsi="Noto Sans CJK SC"/>
          <w:sz w:val="18"/>
        </w:rPr>
      </w:pPr>
      <w:r w:rsidRPr="00F0399D">
        <w:rPr>
          <w:rFonts w:ascii="Noto Sans CJK SC" w:eastAsia="Noto Sans CJK SC" w:hAnsi="Noto Sans CJK SC" w:hint="eastAsia"/>
          <w:sz w:val="18"/>
        </w:rPr>
        <w:t>E</w:t>
      </w:r>
      <w:r w:rsidRPr="00F0399D">
        <w:rPr>
          <w:rFonts w:ascii="Noto Sans CJK SC" w:eastAsia="Noto Sans CJK SC" w:hAnsi="Noto Sans CJK SC"/>
          <w:sz w:val="18"/>
        </w:rPr>
        <w:t>xisting demand is itself shaped by who already owns an EV, so a purely efficiency-driven approach can systematically under-serve deprived areas that have real, latent need but little currently visible demand.</w:t>
      </w:r>
    </w:p>
    <w:p w14:paraId="5605FA8B" w14:textId="368A8D8F" w:rsidR="00CE34CF" w:rsidRDefault="00CE34CF">
      <w:pPr>
        <w:pStyle w:val="p2"/>
        <w:numPr>
          <w:ilvl w:val="0"/>
          <w:numId w:val="44"/>
        </w:numPr>
        <w:rPr>
          <w:rFonts w:ascii="Noto Sans CJK SC" w:eastAsia="Noto Sans CJK SC" w:hAnsi="Noto Sans CJK SC"/>
          <w:color w:val="444444"/>
          <w:sz w:val="18"/>
        </w:rPr>
      </w:pPr>
      <w:r>
        <w:rPr>
          <w:rFonts w:ascii="Noto Sans CJK SC" w:eastAsia="Noto Sans CJK SC" w:hAnsi="Noto Sans CJK SC"/>
          <w:sz w:val="18"/>
        </w:rPr>
        <w:t xml:space="preserve">Planning therefore needs a framework that connects </w:t>
      </w:r>
      <w:r w:rsidR="00277250" w:rsidRPr="00277250">
        <w:rPr>
          <w:rFonts w:ascii="Noto Sans CJK SC" w:eastAsia="Noto Sans CJK SC" w:hAnsi="Noto Sans CJK SC"/>
          <w:sz w:val="18"/>
        </w:rPr>
        <w:t>cha</w:t>
      </w:r>
      <w:r w:rsidR="00277250">
        <w:rPr>
          <w:rFonts w:ascii="Noto Sans CJK SC" w:eastAsia="Noto Sans CJK SC" w:hAnsi="Noto Sans CJK SC" w:hint="eastAsia"/>
          <w:sz w:val="18"/>
        </w:rPr>
        <w:t>n</w:t>
      </w:r>
      <w:r w:rsidR="00277250" w:rsidRPr="00277250">
        <w:rPr>
          <w:rFonts w:ascii="Noto Sans CJK SC" w:eastAsia="Noto Sans CJK SC" w:hAnsi="Noto Sans CJK SC"/>
          <w:sz w:val="18"/>
        </w:rPr>
        <w:t>ging demand</w:t>
      </w:r>
      <w:r>
        <w:rPr>
          <w:rFonts w:ascii="Noto Sans CJK SC" w:eastAsia="Noto Sans CJK SC" w:hAnsi="Noto Sans CJK SC"/>
          <w:sz w:val="18"/>
        </w:rPr>
        <w:t>, existing provision, spatial allocation and equity.</w:t>
      </w:r>
    </w:p>
    <w:p w14:paraId="7039773D" w14:textId="77777777" w:rsidR="00CE34CF" w:rsidRPr="00CE34CF" w:rsidRDefault="00CE34CF" w:rsidP="006924FB">
      <w:pPr>
        <w:pStyle w:val="p2"/>
      </w:pPr>
    </w:p>
    <w:p w14:paraId="4E6D9221" w14:textId="1088C83F" w:rsidR="006924FB" w:rsidRDefault="006924FB" w:rsidP="006924FB">
      <w:pPr>
        <w:pStyle w:val="p2"/>
      </w:pPr>
      <w:r>
        <w:t>1.2. Research Question and Objectives</w:t>
      </w:r>
    </w:p>
    <w:p w14:paraId="76082978" w14:textId="77777777" w:rsidR="00133CFE" w:rsidRDefault="00FF1888" w:rsidP="00133CFE">
      <w:pPr>
        <w:pStyle w:val="p2"/>
      </w:pPr>
      <w:r>
        <w:t xml:space="preserve">Research Question: </w:t>
      </w:r>
    </w:p>
    <w:p w14:paraId="7D66C815" w14:textId="5484CDDF" w:rsidR="00FF1888" w:rsidRDefault="00A13CBC" w:rsidP="00FF1888">
      <w:pPr>
        <w:pStyle w:val="p2"/>
      </w:pPr>
      <w:r w:rsidRPr="00A13CBC">
        <w:t>How to balance spatial efficiency and deprivation-based equity within a spatial optimisation framework, using the allocation of additional public EV charging provision across Greater London LSOAs as a case study?</w:t>
      </w:r>
    </w:p>
    <w:p w14:paraId="4F148EA7" w14:textId="77777777" w:rsidR="00A13CBC" w:rsidRDefault="00A13CBC" w:rsidP="00FF1888">
      <w:pPr>
        <w:pStyle w:val="p2"/>
        <w:rPr>
          <w:rFonts w:hint="eastAsia"/>
        </w:rPr>
      </w:pPr>
    </w:p>
    <w:p w14:paraId="65A44F81" w14:textId="6834FA24" w:rsidR="00133CFE" w:rsidRDefault="00133CFE" w:rsidP="00133CFE">
      <w:pPr>
        <w:pStyle w:val="p2"/>
      </w:pPr>
      <w:r>
        <w:t>Research Objectives</w:t>
      </w:r>
    </w:p>
    <w:p w14:paraId="4E8AD3D0" w14:textId="536D2F0A" w:rsidR="00133CFE" w:rsidRDefault="00133CFE" w:rsidP="00133CFE">
      <w:pPr>
        <w:pStyle w:val="p2"/>
      </w:pPr>
      <w:r>
        <w:t>O1. Demand estimation and equity weighting</w:t>
      </w:r>
    </w:p>
    <w:p w14:paraId="4868AED9" w14:textId="23F99FF3" w:rsidR="00133CFE" w:rsidRDefault="00133CFE" w:rsidP="00133CFE">
      <w:pPr>
        <w:pStyle w:val="p2"/>
      </w:pPr>
      <w:r>
        <w:lastRenderedPageBreak/>
        <w:t>Estimate baseline EV charging demand for each LSOA in Greater London and apply alternative income-deprivation weights to construct equity-</w:t>
      </w:r>
      <w:proofErr w:type="spellStart"/>
      <w:r>
        <w:t>prioritised</w:t>
      </w:r>
      <w:proofErr w:type="spellEnd"/>
      <w:r>
        <w:t xml:space="preserve"> demand scenarios.</w:t>
      </w:r>
    </w:p>
    <w:p w14:paraId="73089139" w14:textId="77777777" w:rsidR="00133CFE" w:rsidRDefault="00133CFE" w:rsidP="00133CFE">
      <w:pPr>
        <w:pStyle w:val="p2"/>
      </w:pPr>
    </w:p>
    <w:p w14:paraId="75013CF3" w14:textId="047C8AF3" w:rsidR="00133CFE" w:rsidRPr="00133CFE" w:rsidRDefault="00133CFE" w:rsidP="00133CFE">
      <w:pPr>
        <w:pStyle w:val="p2"/>
      </w:pPr>
      <w:r>
        <w:t>O2. Existing provision and spatial mismatch</w:t>
      </w:r>
    </w:p>
    <w:p w14:paraId="6003E28B" w14:textId="3A79E061" w:rsidR="00133CFE" w:rsidRDefault="00133CFE" w:rsidP="00133CFE">
      <w:pPr>
        <w:pStyle w:val="p2"/>
      </w:pPr>
      <w:r>
        <w:t xml:space="preserve">Measure existing on-street charging provision and </w:t>
      </w:r>
      <w:proofErr w:type="spellStart"/>
      <w:proofErr w:type="gramStart"/>
      <w:r>
        <w:t>utilisation</w:t>
      </w:r>
      <w:proofErr w:type="spellEnd"/>
      <w:r>
        <w:t>, and</w:t>
      </w:r>
      <w:proofErr w:type="gramEnd"/>
      <w:r>
        <w:t xml:space="preserve"> identify spatial mismatches between estimated demand and effective charging provision.</w:t>
      </w:r>
    </w:p>
    <w:p w14:paraId="1016C5F1" w14:textId="77777777" w:rsidR="00133CFE" w:rsidRDefault="00133CFE" w:rsidP="00133CFE">
      <w:pPr>
        <w:pStyle w:val="p2"/>
      </w:pPr>
    </w:p>
    <w:p w14:paraId="54B4610D" w14:textId="5F039130" w:rsidR="00133CFE" w:rsidRDefault="00133CFE" w:rsidP="00133CFE">
      <w:pPr>
        <w:pStyle w:val="p2"/>
      </w:pPr>
      <w:r>
        <w:t xml:space="preserve">O3. </w:t>
      </w:r>
      <w:proofErr w:type="spellStart"/>
      <w:r>
        <w:t>Optimised</w:t>
      </w:r>
      <w:proofErr w:type="spellEnd"/>
      <w:r>
        <w:t xml:space="preserve"> allocation</w:t>
      </w:r>
    </w:p>
    <w:p w14:paraId="713E379D" w14:textId="70A1BE6E" w:rsidR="00133CFE" w:rsidRDefault="00133CFE" w:rsidP="00133CFE">
      <w:pPr>
        <w:pStyle w:val="p2"/>
      </w:pPr>
      <w:r>
        <w:t xml:space="preserve">Determine the optimal number of additional public </w:t>
      </w:r>
      <w:r w:rsidR="009F19AF">
        <w:rPr>
          <w:rFonts w:hint="eastAsia"/>
        </w:rPr>
        <w:t>EV</w:t>
      </w:r>
      <w:r w:rsidR="009F19AF">
        <w:t xml:space="preserve"> </w:t>
      </w:r>
      <w:r>
        <w:t xml:space="preserve">charging </w:t>
      </w:r>
      <w:r w:rsidR="009F19AF">
        <w:t>locations</w:t>
      </w:r>
      <w:r>
        <w:t xml:space="preserve"> allocated to each LSOA under each income-deprivation-weighting scenario.</w:t>
      </w:r>
      <w:r>
        <w:rPr>
          <w:rFonts w:hint="eastAsia"/>
        </w:rPr>
        <w:t xml:space="preserve"> </w:t>
      </w:r>
    </w:p>
    <w:p w14:paraId="7AE873B3" w14:textId="77777777" w:rsidR="00133CFE" w:rsidRDefault="00133CFE" w:rsidP="00133CFE">
      <w:pPr>
        <w:pStyle w:val="p2"/>
      </w:pPr>
    </w:p>
    <w:p w14:paraId="5B276075" w14:textId="77777777" w:rsidR="00133CFE" w:rsidRDefault="00133CFE" w:rsidP="00133CFE">
      <w:pPr>
        <w:pStyle w:val="p2"/>
      </w:pPr>
      <w:r>
        <w:t>O4. Efficiency–equity evaluation</w:t>
      </w:r>
    </w:p>
    <w:p w14:paraId="56A56777" w14:textId="08136FF6" w:rsidR="00133CFE" w:rsidRDefault="00133CFE" w:rsidP="00133CFE">
      <w:pPr>
        <w:pStyle w:val="p2"/>
      </w:pPr>
      <w:r>
        <w:t>Evaluate how stronger income-deprivation weighting changes spatial efficiency and distributional equity, using a consistent set of performance metrics.</w:t>
      </w:r>
      <w:r>
        <w:rPr>
          <w:rFonts w:hint="eastAsia"/>
        </w:rPr>
        <w:t xml:space="preserve"> </w:t>
      </w:r>
    </w:p>
    <w:p w14:paraId="4725D995" w14:textId="77777777" w:rsidR="00133CFE" w:rsidRPr="00133CFE" w:rsidRDefault="00133CFE" w:rsidP="00133CFE">
      <w:pPr>
        <w:pStyle w:val="p2"/>
      </w:pPr>
    </w:p>
    <w:p w14:paraId="7DF9B089" w14:textId="3F4B6C9D" w:rsidR="00B028E4" w:rsidRDefault="007D2145" w:rsidP="00FF1888">
      <w:pPr>
        <w:pStyle w:val="p2"/>
        <w:rPr>
          <w:b/>
          <w:bCs/>
        </w:rPr>
      </w:pPr>
      <w:r>
        <w:rPr>
          <w:rFonts w:hint="eastAsia"/>
        </w:rPr>
        <w:t>1.3</w:t>
      </w:r>
      <w:r>
        <w:t>.</w:t>
      </w:r>
      <w:r>
        <w:rPr>
          <w:rFonts w:hint="eastAsia"/>
        </w:rPr>
        <w:t xml:space="preserve"> </w:t>
      </w:r>
      <w:r>
        <w:rPr>
          <w:b/>
          <w:bCs/>
        </w:rPr>
        <w:t>Structure</w:t>
      </w:r>
    </w:p>
    <w:p w14:paraId="05AF60D4" w14:textId="56BE3E6B" w:rsidR="007D2145" w:rsidRDefault="007D2145" w:rsidP="007D2145">
      <w:pPr>
        <w:pStyle w:val="p2"/>
      </w:pPr>
      <w:r>
        <w:t>Chapter 2 reviews three separate bodies of literature (location-allocation optimisation, demand modelling, and equity analysis) and identifies the gap between them that this dissertation addresses.</w:t>
      </w:r>
      <w:r>
        <w:t>。</w:t>
      </w:r>
    </w:p>
    <w:p w14:paraId="5A71A829" w14:textId="11340A53" w:rsidR="007D2145" w:rsidRDefault="007D2145" w:rsidP="007D2145">
      <w:pPr>
        <w:pStyle w:val="p2"/>
      </w:pPr>
      <w:r>
        <w:t>Chapter 3 sets out the methodology used to answer O1-O4. Chapter 4 presents the results. Chapter 5 discusses what they mean. Chapter 6 concludes.</w:t>
      </w:r>
    </w:p>
    <w:p w14:paraId="7E1AF795" w14:textId="77777777" w:rsidR="00B028E4" w:rsidRPr="00FF1888" w:rsidRDefault="00B028E4" w:rsidP="00FF1888">
      <w:pPr>
        <w:pStyle w:val="p2"/>
      </w:pPr>
    </w:p>
    <w:p w14:paraId="5C8BCF4F" w14:textId="684A01AD" w:rsidR="006924FB" w:rsidRDefault="006924FB" w:rsidP="006924FB">
      <w:pPr>
        <w:pStyle w:val="p1"/>
      </w:pPr>
      <w:r>
        <w:rPr>
          <w:b/>
          <w:bCs/>
        </w:rPr>
        <w:t>2.</w:t>
      </w:r>
      <w:r>
        <w:rPr>
          <w:rStyle w:val="s1"/>
        </w:rPr>
        <w:t xml:space="preserve"> </w:t>
      </w:r>
      <w:r>
        <w:rPr>
          <w:b/>
          <w:bCs/>
        </w:rPr>
        <w:t>Literature Review</w:t>
      </w:r>
      <w:r w:rsidR="00C766F6">
        <w:rPr>
          <w:rFonts w:hint="eastAsia"/>
          <w:b/>
          <w:bCs/>
        </w:rPr>
        <w:t xml:space="preserve"> 3500words</w:t>
      </w:r>
    </w:p>
    <w:p w14:paraId="7A9CE2F0" w14:textId="4476933D" w:rsidR="006924FB" w:rsidRDefault="006924FB" w:rsidP="006924FB">
      <w:pPr>
        <w:pStyle w:val="p2"/>
      </w:pPr>
      <w:r>
        <w:t xml:space="preserve">2.1. </w:t>
      </w:r>
      <w:r w:rsidR="00510096" w:rsidRPr="00510096">
        <w:t>Stream 1: Location-Allocation Optimisation</w:t>
      </w:r>
    </w:p>
    <w:p w14:paraId="689369DC" w14:textId="2E8EEFF8" w:rsidR="00903627" w:rsidRDefault="00903627">
      <w:pPr>
        <w:pStyle w:val="p2"/>
        <w:numPr>
          <w:ilvl w:val="0"/>
          <w:numId w:val="43"/>
        </w:numPr>
      </w:pPr>
      <w:r w:rsidRPr="00903627">
        <w:t>location-allocation models determine where facilities should be located and how spatial demand should be assigned to them</w:t>
      </w:r>
      <w:r w:rsidR="00F0399D">
        <w:t>.</w:t>
      </w:r>
    </w:p>
    <w:p w14:paraId="446FB4B8" w14:textId="77777777" w:rsidR="00D03D53" w:rsidRDefault="00D03D53">
      <w:pPr>
        <w:pStyle w:val="p2"/>
        <w:numPr>
          <w:ilvl w:val="0"/>
          <w:numId w:val="43"/>
        </w:numPr>
      </w:pPr>
      <w:r>
        <w:t>Main facility-location models and their planning objectives</w:t>
      </w:r>
    </w:p>
    <w:p w14:paraId="5A82F83A" w14:textId="3D057150" w:rsidR="009A66DF" w:rsidRDefault="00D03D53">
      <w:pPr>
        <w:pStyle w:val="p2"/>
        <w:numPr>
          <w:ilvl w:val="0"/>
          <w:numId w:val="43"/>
        </w:numPr>
      </w:pPr>
      <w:r>
        <w:t>Applications to EV charging infrastructure</w:t>
      </w:r>
      <w:r w:rsidR="009A66DF">
        <w:t>, focusing on differences in demand nodes, candidate locations, distance measures, service thresholds, capacity assumptions and the treatment of existing infrastructure.</w:t>
      </w:r>
    </w:p>
    <w:p w14:paraId="47B8E293" w14:textId="318BC8BF" w:rsidR="00D03D53" w:rsidRDefault="00D03D53">
      <w:pPr>
        <w:pStyle w:val="p2"/>
        <w:numPr>
          <w:ilvl w:val="0"/>
          <w:numId w:val="43"/>
        </w:numPr>
      </w:pPr>
      <w:r>
        <w:t>Efficiency-oriented limitations</w:t>
      </w:r>
      <w:r w:rsidR="009A66DF">
        <w:t>:</w:t>
      </w:r>
      <w:r w:rsidR="009A66DF" w:rsidRPr="009A66DF">
        <w:t xml:space="preserve"> </w:t>
      </w:r>
      <w:r w:rsidR="00D7657F">
        <w:t>some areas</w:t>
      </w:r>
      <w:r w:rsidR="009A66DF" w:rsidRPr="009A66DF">
        <w:t xml:space="preserve"> may receive less attention</w:t>
      </w:r>
    </w:p>
    <w:p w14:paraId="7A655624" w14:textId="154F491C" w:rsidR="009A66DF" w:rsidRDefault="009A66DF">
      <w:pPr>
        <w:pStyle w:val="p2"/>
        <w:numPr>
          <w:ilvl w:val="0"/>
          <w:numId w:val="43"/>
        </w:numPr>
      </w:pPr>
      <w:r>
        <w:t xml:space="preserve">Optimisation results depend heavily on the demand surface </w:t>
      </w:r>
      <w:proofErr w:type="gramStart"/>
      <w:r>
        <w:t>entered into</w:t>
      </w:r>
      <w:proofErr w:type="gramEnd"/>
      <w:r>
        <w:t xml:space="preserve"> the model, creating the need to examine how EV charging demand is estimated.</w:t>
      </w:r>
    </w:p>
    <w:p w14:paraId="68CCE30E" w14:textId="77777777" w:rsidR="009A66DF" w:rsidRDefault="009A66DF" w:rsidP="009A66DF">
      <w:pPr>
        <w:pStyle w:val="p2"/>
      </w:pPr>
    </w:p>
    <w:p w14:paraId="6FBAF7D6" w14:textId="2274FE03" w:rsidR="006924FB" w:rsidRDefault="006924FB" w:rsidP="006924FB">
      <w:pPr>
        <w:pStyle w:val="p2"/>
      </w:pPr>
      <w:r>
        <w:t xml:space="preserve">2.2. </w:t>
      </w:r>
      <w:r w:rsidR="00510096" w:rsidRPr="00510096">
        <w:t>Stream 2: Demand Modelling for EV Charging</w:t>
      </w:r>
    </w:p>
    <w:p w14:paraId="4849EC57" w14:textId="77777777" w:rsidR="00D03D53" w:rsidRDefault="00D03D53">
      <w:pPr>
        <w:pStyle w:val="p2"/>
        <w:numPr>
          <w:ilvl w:val="0"/>
          <w:numId w:val="42"/>
        </w:numPr>
      </w:pPr>
      <w:r>
        <w:lastRenderedPageBreak/>
        <w:t xml:space="preserve">Definitions of </w:t>
      </w:r>
      <w:proofErr w:type="gramStart"/>
      <w:r>
        <w:t>observed,</w:t>
      </w:r>
      <w:proofErr w:type="gramEnd"/>
      <w:r>
        <w:t xml:space="preserve"> latent and future demand</w:t>
      </w:r>
    </w:p>
    <w:p w14:paraId="7BB63152" w14:textId="77777777" w:rsidR="00F0399D" w:rsidRDefault="00D03D53">
      <w:pPr>
        <w:pStyle w:val="p2"/>
        <w:numPr>
          <w:ilvl w:val="0"/>
          <w:numId w:val="42"/>
        </w:numPr>
      </w:pPr>
      <w:r>
        <w:t>Spatial demand proxies</w:t>
      </w:r>
      <w:r w:rsidR="0064610E">
        <w:rPr>
          <w:rFonts w:hint="eastAsia"/>
        </w:rPr>
        <w:t xml:space="preserve"> </w:t>
      </w:r>
      <w:r w:rsidR="0064610E">
        <w:t>(</w:t>
      </w:r>
      <w:proofErr w:type="spellStart"/>
      <w:r w:rsidR="0064610E">
        <w:rPr>
          <w:rFonts w:hint="eastAsia"/>
        </w:rPr>
        <w:t>e.</w:t>
      </w:r>
      <w:proofErr w:type="gramStart"/>
      <w:r w:rsidR="0064610E">
        <w:rPr>
          <w:rFonts w:hint="eastAsia"/>
        </w:rPr>
        <w:t>g.</w:t>
      </w:r>
      <w:r w:rsidR="0064610E" w:rsidRPr="0064610E">
        <w:rPr>
          <w:rFonts w:hint="eastAsia"/>
        </w:rPr>
        <w:t>p</w:t>
      </w:r>
      <w:r w:rsidR="0064610E" w:rsidRPr="0064610E">
        <w:t>opulation</w:t>
      </w:r>
      <w:proofErr w:type="spellEnd"/>
      <w:proofErr w:type="gramEnd"/>
      <w:r w:rsidR="0064610E" w:rsidRPr="0064610E">
        <w:t>, households, vehicle ownership, current EV ownership, travel activity, land use and observed charging sessions.</w:t>
      </w:r>
      <w:r w:rsidR="0064610E">
        <w:t>)</w:t>
      </w:r>
    </w:p>
    <w:p w14:paraId="1C847309" w14:textId="4A640F92" w:rsidR="00E31FDF" w:rsidRDefault="00E31FDF">
      <w:pPr>
        <w:pStyle w:val="p2"/>
        <w:numPr>
          <w:ilvl w:val="0"/>
          <w:numId w:val="42"/>
        </w:numPr>
      </w:pPr>
      <w:r>
        <w:t xml:space="preserve">Examine how </w:t>
      </w:r>
      <w:proofErr w:type="spellStart"/>
      <w:r>
        <w:t>behavioural</w:t>
      </w:r>
      <w:proofErr w:type="spellEnd"/>
      <w:r>
        <w:t xml:space="preserve"> parameters, such as charging frequency, public-charging share and access to home charging, are combined with spatial demand bases.</w:t>
      </w:r>
    </w:p>
    <w:p w14:paraId="5CC6D02A" w14:textId="08BD5253" w:rsidR="00D03D53" w:rsidRDefault="00E31FDF">
      <w:pPr>
        <w:pStyle w:val="p2"/>
        <w:numPr>
          <w:ilvl w:val="0"/>
          <w:numId w:val="42"/>
        </w:numPr>
      </w:pPr>
      <w:r>
        <w:t xml:space="preserve">Discuss the potential value and limitations of observed charger </w:t>
      </w:r>
      <w:proofErr w:type="spellStart"/>
      <w:r>
        <w:t>utilisation</w:t>
      </w:r>
      <w:proofErr w:type="spellEnd"/>
      <w:r>
        <w:t>: it may indicate charging pressure, but it is also influenced by existing supply, commuter activity, charger characteristics and data coverage.</w:t>
      </w:r>
    </w:p>
    <w:p w14:paraId="0968BC8C" w14:textId="77777777" w:rsidR="00E31FDF" w:rsidRDefault="00E31FDF">
      <w:pPr>
        <w:pStyle w:val="p2"/>
        <w:numPr>
          <w:ilvl w:val="0"/>
          <w:numId w:val="42"/>
        </w:numPr>
      </w:pPr>
      <w:r>
        <w:t>Conclude that demand modelling is not a neutral technical step because the selected demand proxy affects which areas receive priority in the subsequent optimisation.</w:t>
      </w:r>
    </w:p>
    <w:p w14:paraId="45CF1F60" w14:textId="77777777" w:rsidR="00E31FDF" w:rsidRDefault="00E31FDF" w:rsidP="00E31FDF">
      <w:pPr>
        <w:pStyle w:val="p2"/>
      </w:pPr>
    </w:p>
    <w:p w14:paraId="72C2C719" w14:textId="6EA7F1E0" w:rsidR="006924FB" w:rsidRDefault="006924FB" w:rsidP="006924FB">
      <w:pPr>
        <w:pStyle w:val="p2"/>
      </w:pPr>
      <w:r>
        <w:t>2.3.</w:t>
      </w:r>
      <w:r w:rsidR="00510096" w:rsidRPr="00510096">
        <w:t xml:space="preserve"> Stream 3: Equity Analysis of Charging Infrastructure</w:t>
      </w:r>
    </w:p>
    <w:p w14:paraId="2A994B3A" w14:textId="77777777" w:rsidR="00D91B0B" w:rsidRDefault="00D91B0B">
      <w:pPr>
        <w:pStyle w:val="p2"/>
        <w:numPr>
          <w:ilvl w:val="0"/>
          <w:numId w:val="41"/>
        </w:numPr>
      </w:pPr>
      <w:r>
        <w:t>Distinguish equality from equity: equal infrastructure provision does not necessarily produce equitable outcomes where communities differ in need, disadvantage or reliance on public charging.</w:t>
      </w:r>
    </w:p>
    <w:p w14:paraId="2363B14E" w14:textId="77777777" w:rsidR="0044604B" w:rsidRDefault="0044604B">
      <w:pPr>
        <w:pStyle w:val="p2"/>
        <w:numPr>
          <w:ilvl w:val="0"/>
          <w:numId w:val="41"/>
        </w:numPr>
      </w:pPr>
      <w:r>
        <w:t>Review evidence on whether charging availability and accessibility vary according to income, deprivation, housing conditions, population density and existing EV adoption.</w:t>
      </w:r>
    </w:p>
    <w:p w14:paraId="15E34C5D" w14:textId="77777777" w:rsidR="0044604B" w:rsidRDefault="0044604B">
      <w:pPr>
        <w:pStyle w:val="p2"/>
        <w:numPr>
          <w:ilvl w:val="0"/>
          <w:numId w:val="41"/>
        </w:numPr>
      </w:pPr>
      <w:r>
        <w:t>Compare common equity measures, including charger density, distance-based accessibility, population coverage, unmet demand, differences between deprivation groups and inequality indices.</w:t>
      </w:r>
    </w:p>
    <w:p w14:paraId="65E5FFCC" w14:textId="77777777" w:rsidR="0044604B" w:rsidRDefault="0044604B">
      <w:pPr>
        <w:pStyle w:val="p2"/>
        <w:numPr>
          <w:ilvl w:val="0"/>
          <w:numId w:val="41"/>
        </w:numPr>
      </w:pPr>
      <w:r>
        <w:t>Review how equity can be incorporated into infrastructure planning through post-hoc assessment, equity-weighted demand, minimum-service constraints, multi-objective optimisation or scenario analysis.</w:t>
      </w:r>
    </w:p>
    <w:p w14:paraId="663C69B5" w14:textId="620BFD5C" w:rsidR="0044604B" w:rsidRDefault="0044604B">
      <w:pPr>
        <w:pStyle w:val="p2"/>
        <w:numPr>
          <w:ilvl w:val="0"/>
          <w:numId w:val="41"/>
        </w:numPr>
      </w:pPr>
      <w:r>
        <w:t>Conclude that much of the equity literature diagnoses existing inequalities, while fewer studies translate equity evidence into an operational strategy for allocating future charging capacity.</w:t>
      </w:r>
    </w:p>
    <w:p w14:paraId="27F13250" w14:textId="77777777" w:rsidR="002438ED" w:rsidRDefault="002438ED" w:rsidP="0044604B">
      <w:pPr>
        <w:pStyle w:val="p2"/>
      </w:pPr>
    </w:p>
    <w:p w14:paraId="355CFBC0" w14:textId="00D838C3" w:rsidR="006924FB" w:rsidRDefault="006924FB" w:rsidP="006924FB">
      <w:pPr>
        <w:pStyle w:val="p2"/>
      </w:pPr>
      <w:r>
        <w:t xml:space="preserve">2.4. </w:t>
      </w:r>
      <w:r w:rsidR="00510096" w:rsidRPr="00510096">
        <w:t>The Research Gap</w:t>
      </w:r>
    </w:p>
    <w:p w14:paraId="5A3226D1" w14:textId="77777777" w:rsidR="00D03D53" w:rsidRDefault="00D03D53">
      <w:pPr>
        <w:pStyle w:val="p2"/>
        <w:numPr>
          <w:ilvl w:val="0"/>
          <w:numId w:val="45"/>
        </w:numPr>
      </w:pPr>
      <w:r>
        <w:t>Contributions of the three streams</w:t>
      </w:r>
    </w:p>
    <w:p w14:paraId="2A5A697E" w14:textId="2DD397F9" w:rsidR="001F28F7" w:rsidRDefault="001F28F7">
      <w:pPr>
        <w:pStyle w:val="p2"/>
        <w:numPr>
          <w:ilvl w:val="0"/>
          <w:numId w:val="45"/>
        </w:numPr>
      </w:pPr>
      <w:r>
        <w:t>There remains limited evidence on how income-related disadvantage can be incorporated into spatial EV charging demand and location-allocation modelling while accounting for existing provision and evaluating both efficiency and distributional outcomes.</w:t>
      </w:r>
    </w:p>
    <w:p w14:paraId="7EDBE34C" w14:textId="77777777" w:rsidR="001F28F7" w:rsidRDefault="001F28F7">
      <w:pPr>
        <w:pStyle w:val="p2"/>
        <w:numPr>
          <w:ilvl w:val="0"/>
          <w:numId w:val="45"/>
        </w:numPr>
      </w:pPr>
      <w:r>
        <w:t>This dissertation addresses the gap through a scenario-based spatial decision-support framework that connects demand estimation, additional capacity allocation and the evaluation of efficiency and income-equity outcomes across Greater London LSOAs.</w:t>
      </w:r>
    </w:p>
    <w:p w14:paraId="35820BF9" w14:textId="77777777" w:rsidR="001F28F7" w:rsidRDefault="001F28F7" w:rsidP="001F28F7">
      <w:pPr>
        <w:pStyle w:val="p2"/>
      </w:pPr>
    </w:p>
    <w:p w14:paraId="74972645" w14:textId="6B8E4A68" w:rsidR="006924FB" w:rsidRDefault="006924FB" w:rsidP="006924FB">
      <w:pPr>
        <w:pStyle w:val="p1"/>
      </w:pPr>
      <w:r>
        <w:rPr>
          <w:b/>
          <w:bCs/>
        </w:rPr>
        <w:t>3.</w:t>
      </w:r>
      <w:r>
        <w:rPr>
          <w:rStyle w:val="s1"/>
        </w:rPr>
        <w:t xml:space="preserve"> </w:t>
      </w:r>
      <w:r>
        <w:rPr>
          <w:b/>
          <w:bCs/>
        </w:rPr>
        <w:t>Methodology</w:t>
      </w:r>
      <w:r w:rsidR="00C766F6">
        <w:rPr>
          <w:rFonts w:hint="eastAsia"/>
          <w:b/>
          <w:bCs/>
        </w:rPr>
        <w:t xml:space="preserve"> 3000words</w:t>
      </w:r>
    </w:p>
    <w:p w14:paraId="63762DFC" w14:textId="606E48A0" w:rsidR="006924FB" w:rsidRDefault="006924FB" w:rsidP="006924FB">
      <w:pPr>
        <w:pStyle w:val="p2"/>
      </w:pPr>
      <w:r>
        <w:t>3.</w:t>
      </w:r>
      <w:r w:rsidR="00A363F3">
        <w:rPr>
          <w:rFonts w:hint="eastAsia"/>
        </w:rPr>
        <w:t>1</w:t>
      </w:r>
      <w:r>
        <w:t xml:space="preserve">. </w:t>
      </w:r>
      <w:r w:rsidR="00AA626C">
        <w:t xml:space="preserve">Study Area </w:t>
      </w:r>
    </w:p>
    <w:p w14:paraId="3D749A6D" w14:textId="77777777" w:rsidR="00F711E5" w:rsidRDefault="00F711E5" w:rsidP="00F711E5">
      <w:pPr>
        <w:pStyle w:val="p2"/>
      </w:pPr>
      <w:r>
        <w:lastRenderedPageBreak/>
        <w:t>●</w:t>
      </w:r>
      <w:r>
        <w:tab/>
        <w:t xml:space="preserve">The study area is Greater London, divided into 4,994 Lower Layer Super Output Areas (LSOAs) — small, </w:t>
      </w:r>
      <w:proofErr w:type="spellStart"/>
      <w:r>
        <w:t>standardised</w:t>
      </w:r>
      <w:proofErr w:type="spellEnd"/>
      <w:r>
        <w:t xml:space="preserve"> statistical units used in UK census geography, each covering roughly 1,500 residents.</w:t>
      </w:r>
    </w:p>
    <w:p w14:paraId="02BD5C39" w14:textId="2039C3DD" w:rsidR="00F711E5" w:rsidRDefault="00F711E5" w:rsidP="00F711E5">
      <w:pPr>
        <w:pStyle w:val="p2"/>
      </w:pPr>
      <w:r>
        <w:t>●</w:t>
      </w:r>
      <w:r>
        <w:tab/>
        <w:t>LSOAs are used as both the demand side (where people live and need to charge) and the supply side (where new charg</w:t>
      </w:r>
      <w:r w:rsidR="009F19AF">
        <w:t>ing locations</w:t>
      </w:r>
      <w:r>
        <w:t xml:space="preserve"> can be allocated) of the model, so the analysis operates at a consistent spatial resolution throughout.</w:t>
      </w:r>
    </w:p>
    <w:p w14:paraId="3B36622C" w14:textId="77777777" w:rsidR="00837CEC" w:rsidRDefault="00837CEC" w:rsidP="006924FB">
      <w:pPr>
        <w:pStyle w:val="p2"/>
      </w:pPr>
    </w:p>
    <w:p w14:paraId="5A8F6164" w14:textId="4847088A" w:rsidR="00AA626C" w:rsidRDefault="006924FB" w:rsidP="006924FB">
      <w:pPr>
        <w:pStyle w:val="p2"/>
      </w:pPr>
      <w:r>
        <w:t>3.</w:t>
      </w:r>
      <w:r w:rsidR="00A363F3">
        <w:rPr>
          <w:rFonts w:hint="eastAsia"/>
        </w:rPr>
        <w:t>2</w:t>
      </w:r>
      <w:r>
        <w:t xml:space="preserve">. </w:t>
      </w:r>
      <w:r w:rsidR="00AA626C">
        <w:t>Data</w:t>
      </w:r>
    </w:p>
    <w:p w14:paraId="4C6994FE" w14:textId="1B8A2FF1" w:rsidR="00130422" w:rsidRDefault="00130422" w:rsidP="006924FB">
      <w:pPr>
        <w:pStyle w:val="p2"/>
      </w:pPr>
      <w:r w:rsidRPr="00130422">
        <w:t>3.</w:t>
      </w:r>
      <w:r w:rsidR="00A363F3">
        <w:rPr>
          <w:rFonts w:hint="eastAsia"/>
        </w:rPr>
        <w:t>2</w:t>
      </w:r>
      <w:r w:rsidRPr="00130422">
        <w:t>.1 Data Sources</w:t>
      </w:r>
    </w:p>
    <w:p w14:paraId="4FD949A6" w14:textId="099F0241" w:rsidR="00E75857" w:rsidRDefault="00E75857" w:rsidP="006924FB">
      <w:pPr>
        <w:pStyle w:val="p2"/>
      </w:pPr>
      <w:r w:rsidRPr="00E75857">
        <w:t xml:space="preserve">This study combines household vehicle-ownership data, income-deprivation data, registered EV charging infrastructure, observed charging activity and spatial boundary data. These datasets differ in their original observational units and will be </w:t>
      </w:r>
      <w:proofErr w:type="spellStart"/>
      <w:r w:rsidRPr="00E75857">
        <w:t>harmonised</w:t>
      </w:r>
      <w:proofErr w:type="spellEnd"/>
      <w:r w:rsidRPr="00E75857">
        <w:t xml:space="preserve"> to the 2021 LSOA geography for subsequent analysis. Table X </w:t>
      </w:r>
      <w:proofErr w:type="spellStart"/>
      <w:r w:rsidRPr="00E75857">
        <w:t>summarises</w:t>
      </w:r>
      <w:proofErr w:type="spellEnd"/>
      <w:r w:rsidRPr="00E75857">
        <w:t xml:space="preserve"> the core data resources.</w:t>
      </w:r>
    </w:p>
    <w:p w14:paraId="2282E677" w14:textId="77777777" w:rsidR="00056EDD" w:rsidRDefault="00056EDD" w:rsidP="006924FB">
      <w:pPr>
        <w:pStyle w:val="p2"/>
      </w:pPr>
    </w:p>
    <w:p w14:paraId="5F90B141" w14:textId="5DCCB058" w:rsidR="00177067" w:rsidRDefault="00411A99" w:rsidP="006924FB">
      <w:pPr>
        <w:pStyle w:val="p2"/>
      </w:pPr>
      <w:r w:rsidRPr="00411A99">
        <w:t>Table X. Overview of core data resources</w:t>
      </w:r>
    </w:p>
    <w:tbl>
      <w:tblPr>
        <w:tblStyle w:val="21"/>
        <w:tblW w:w="8786" w:type="dxa"/>
        <w:tblLook w:val="04A0" w:firstRow="1" w:lastRow="0" w:firstColumn="1" w:lastColumn="0" w:noHBand="0" w:noVBand="1"/>
      </w:tblPr>
      <w:tblGrid>
        <w:gridCol w:w="1757"/>
        <w:gridCol w:w="2154"/>
        <w:gridCol w:w="1757"/>
        <w:gridCol w:w="1757"/>
        <w:gridCol w:w="1361"/>
      </w:tblGrid>
      <w:tr w:rsidR="002B2444" w:rsidRPr="00166FA6" w14:paraId="4F6E712C" w14:textId="77777777" w:rsidTr="00166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  <w:hideMark/>
          </w:tcPr>
          <w:p w14:paraId="2D380D91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Dataset</w:t>
            </w:r>
          </w:p>
        </w:tc>
        <w:tc>
          <w:tcPr>
            <w:tcW w:w="2154" w:type="dxa"/>
            <w:vAlign w:val="center"/>
            <w:hideMark/>
          </w:tcPr>
          <w:p w14:paraId="5A6D3516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Description</w:t>
            </w:r>
          </w:p>
        </w:tc>
        <w:tc>
          <w:tcPr>
            <w:tcW w:w="1757" w:type="dxa"/>
            <w:vAlign w:val="center"/>
            <w:hideMark/>
          </w:tcPr>
          <w:p w14:paraId="2A9A7CC9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Observation Unit</w:t>
            </w:r>
          </w:p>
        </w:tc>
        <w:tc>
          <w:tcPr>
            <w:tcW w:w="1757" w:type="dxa"/>
            <w:vAlign w:val="center"/>
            <w:hideMark/>
          </w:tcPr>
          <w:p w14:paraId="03B2052A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Source</w:t>
            </w:r>
          </w:p>
        </w:tc>
        <w:tc>
          <w:tcPr>
            <w:tcW w:w="1361" w:type="dxa"/>
            <w:vAlign w:val="center"/>
            <w:hideMark/>
          </w:tcPr>
          <w:p w14:paraId="5F7CBD13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Year / Period</w:t>
            </w:r>
          </w:p>
        </w:tc>
      </w:tr>
      <w:tr w:rsidR="002B2444" w:rsidRPr="00166FA6" w14:paraId="2B0909FA" w14:textId="77777777" w:rsidTr="0016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  <w:hideMark/>
          </w:tcPr>
          <w:p w14:paraId="5AF874B5" w14:textId="32071960" w:rsidR="002B2444" w:rsidRPr="00166FA6" w:rsidRDefault="002B2444" w:rsidP="00166FA6">
            <w:pPr>
              <w:pStyle w:val="p2"/>
              <w:spacing w:line="240" w:lineRule="atLeast"/>
              <w:jc w:val="center"/>
              <w:rPr>
                <w:b w:val="0"/>
                <w:bCs w:val="0"/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Census 2021 TS045: Car or van availability</w:t>
            </w:r>
          </w:p>
        </w:tc>
        <w:tc>
          <w:tcPr>
            <w:tcW w:w="2154" w:type="dxa"/>
            <w:vAlign w:val="center"/>
            <w:hideMark/>
          </w:tcPr>
          <w:p w14:paraId="08A227C9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Number of households with 0, 1, 2, and 3 or more cars or vans</w:t>
            </w:r>
          </w:p>
        </w:tc>
        <w:tc>
          <w:tcPr>
            <w:tcW w:w="1757" w:type="dxa"/>
            <w:vAlign w:val="center"/>
            <w:hideMark/>
          </w:tcPr>
          <w:p w14:paraId="4FDD104D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LSOA</w:t>
            </w:r>
          </w:p>
        </w:tc>
        <w:tc>
          <w:tcPr>
            <w:tcW w:w="1757" w:type="dxa"/>
            <w:vAlign w:val="center"/>
            <w:hideMark/>
          </w:tcPr>
          <w:p w14:paraId="6EC74258" w14:textId="04425FF8" w:rsidR="002B2444" w:rsidRPr="00166FA6" w:rsidRDefault="00166FA6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Office for National Statistics</w:t>
            </w:r>
            <w:r w:rsidR="00E75857">
              <w:rPr>
                <w:sz w:val="15"/>
                <w:szCs w:val="15"/>
              </w:rPr>
              <w:t xml:space="preserve"> </w:t>
            </w:r>
            <w:r w:rsidR="00E75857" w:rsidRPr="00E75857">
              <w:rPr>
                <w:sz w:val="15"/>
                <w:szCs w:val="15"/>
              </w:rPr>
              <w:t>(ONS)</w:t>
            </w:r>
          </w:p>
        </w:tc>
        <w:tc>
          <w:tcPr>
            <w:tcW w:w="1361" w:type="dxa"/>
            <w:vAlign w:val="center"/>
            <w:hideMark/>
          </w:tcPr>
          <w:p w14:paraId="6D492B25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2021</w:t>
            </w:r>
          </w:p>
        </w:tc>
      </w:tr>
      <w:tr w:rsidR="002B2444" w:rsidRPr="00166FA6" w14:paraId="1F2641ED" w14:textId="77777777" w:rsidTr="00166FA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  <w:hideMark/>
          </w:tcPr>
          <w:p w14:paraId="14D08614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IoD2025 Income Domain</w:t>
            </w:r>
          </w:p>
        </w:tc>
        <w:tc>
          <w:tcPr>
            <w:tcW w:w="2154" w:type="dxa"/>
            <w:vAlign w:val="center"/>
            <w:hideMark/>
          </w:tcPr>
          <w:p w14:paraId="1EB460F8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Income deprivation score, rank and decile for each LSOA</w:t>
            </w:r>
          </w:p>
        </w:tc>
        <w:tc>
          <w:tcPr>
            <w:tcW w:w="1757" w:type="dxa"/>
            <w:vAlign w:val="center"/>
            <w:hideMark/>
          </w:tcPr>
          <w:p w14:paraId="08F8CA50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LSOA</w:t>
            </w:r>
          </w:p>
        </w:tc>
        <w:tc>
          <w:tcPr>
            <w:tcW w:w="1757" w:type="dxa"/>
            <w:vAlign w:val="center"/>
            <w:hideMark/>
          </w:tcPr>
          <w:p w14:paraId="4B7605BA" w14:textId="09FB7484" w:rsidR="002B2444" w:rsidRPr="00166FA6" w:rsidRDefault="00166FA6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Ministry of Housing, Communities and Local Government</w:t>
            </w:r>
            <w:r w:rsidR="00E75857">
              <w:rPr>
                <w:sz w:val="15"/>
                <w:szCs w:val="15"/>
              </w:rPr>
              <w:t xml:space="preserve"> </w:t>
            </w:r>
            <w:r w:rsidR="00E75857" w:rsidRPr="00E75857">
              <w:rPr>
                <w:sz w:val="15"/>
                <w:szCs w:val="15"/>
              </w:rPr>
              <w:t>(MHCLG)</w:t>
            </w:r>
          </w:p>
        </w:tc>
        <w:tc>
          <w:tcPr>
            <w:tcW w:w="1361" w:type="dxa"/>
            <w:vAlign w:val="center"/>
            <w:hideMark/>
          </w:tcPr>
          <w:p w14:paraId="09C67FEC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2025</w:t>
            </w:r>
          </w:p>
        </w:tc>
      </w:tr>
      <w:tr w:rsidR="002B2444" w:rsidRPr="00166FA6" w14:paraId="64DD5DC8" w14:textId="77777777" w:rsidTr="0016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  <w:hideMark/>
          </w:tcPr>
          <w:p w14:paraId="19BBD5A0" w14:textId="43203176" w:rsidR="002B2444" w:rsidRPr="00166FA6" w:rsidRDefault="002B2444" w:rsidP="00166FA6">
            <w:pPr>
              <w:pStyle w:val="p2"/>
              <w:spacing w:line="240" w:lineRule="atLeast"/>
              <w:jc w:val="center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EVSE location registry</w:t>
            </w:r>
          </w:p>
        </w:tc>
        <w:tc>
          <w:tcPr>
            <w:tcW w:w="2154" w:type="dxa"/>
            <w:vAlign w:val="center"/>
            <w:hideMark/>
          </w:tcPr>
          <w:p w14:paraId="55FF1B43" w14:textId="2916E103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Registry of public charging infrastructure</w:t>
            </w:r>
          </w:p>
        </w:tc>
        <w:tc>
          <w:tcPr>
            <w:tcW w:w="1757" w:type="dxa"/>
            <w:vAlign w:val="center"/>
            <w:hideMark/>
          </w:tcPr>
          <w:p w14:paraId="36C5C5C3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Connector, EVSE and charging location</w:t>
            </w:r>
          </w:p>
        </w:tc>
        <w:tc>
          <w:tcPr>
            <w:tcW w:w="1757" w:type="dxa"/>
            <w:vAlign w:val="center"/>
            <w:hideMark/>
          </w:tcPr>
          <w:p w14:paraId="5C409D4F" w14:textId="648FF7F1" w:rsidR="002B2444" w:rsidRPr="00166FA6" w:rsidRDefault="00166FA6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proofErr w:type="spellStart"/>
            <w:r w:rsidRPr="00166FA6">
              <w:rPr>
                <w:rFonts w:hint="eastAsia"/>
                <w:sz w:val="15"/>
                <w:szCs w:val="15"/>
              </w:rPr>
              <w:t>Zapmap</w:t>
            </w:r>
            <w:proofErr w:type="spellEnd"/>
          </w:p>
        </w:tc>
        <w:tc>
          <w:tcPr>
            <w:tcW w:w="1361" w:type="dxa"/>
            <w:vAlign w:val="center"/>
            <w:hideMark/>
          </w:tcPr>
          <w:p w14:paraId="35DFC6E0" w14:textId="56CB3756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September 2025</w:t>
            </w:r>
          </w:p>
        </w:tc>
      </w:tr>
      <w:tr w:rsidR="002B2444" w:rsidRPr="00166FA6" w14:paraId="5F723809" w14:textId="77777777" w:rsidTr="00166FA6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  <w:hideMark/>
          </w:tcPr>
          <w:p w14:paraId="1B63BCC4" w14:textId="4516655E" w:rsidR="002B2444" w:rsidRPr="00166FA6" w:rsidRDefault="002B2444" w:rsidP="00166FA6">
            <w:pPr>
              <w:pStyle w:val="p2"/>
              <w:spacing w:line="240" w:lineRule="atLeast"/>
              <w:jc w:val="center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Charging activity records</w:t>
            </w:r>
          </w:p>
        </w:tc>
        <w:tc>
          <w:tcPr>
            <w:tcW w:w="2154" w:type="dxa"/>
            <w:vAlign w:val="center"/>
            <w:hideMark/>
          </w:tcPr>
          <w:p w14:paraId="5C4D6F63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Charging-session records containing EVSE identifiers, session times and durations</w:t>
            </w:r>
          </w:p>
        </w:tc>
        <w:tc>
          <w:tcPr>
            <w:tcW w:w="1757" w:type="dxa"/>
            <w:vAlign w:val="center"/>
            <w:hideMark/>
          </w:tcPr>
          <w:p w14:paraId="21B70E0C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Individual charging session</w:t>
            </w:r>
          </w:p>
        </w:tc>
        <w:tc>
          <w:tcPr>
            <w:tcW w:w="1757" w:type="dxa"/>
            <w:vAlign w:val="center"/>
            <w:hideMark/>
          </w:tcPr>
          <w:p w14:paraId="06A2971D" w14:textId="0FCC58D0" w:rsidR="002B2444" w:rsidRPr="00166FA6" w:rsidRDefault="00166FA6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proofErr w:type="spellStart"/>
            <w:r w:rsidRPr="00166FA6">
              <w:rPr>
                <w:rFonts w:hint="eastAsia"/>
                <w:sz w:val="15"/>
                <w:szCs w:val="15"/>
              </w:rPr>
              <w:t>Zapmap</w:t>
            </w:r>
            <w:proofErr w:type="spellEnd"/>
          </w:p>
        </w:tc>
        <w:tc>
          <w:tcPr>
            <w:tcW w:w="1361" w:type="dxa"/>
            <w:vAlign w:val="center"/>
            <w:hideMark/>
          </w:tcPr>
          <w:p w14:paraId="268BE238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September 2025</w:t>
            </w:r>
          </w:p>
        </w:tc>
      </w:tr>
      <w:tr w:rsidR="002B2444" w:rsidRPr="00166FA6" w14:paraId="6848D2A5" w14:textId="77777777" w:rsidTr="00166F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dxa"/>
            <w:vAlign w:val="center"/>
            <w:hideMark/>
          </w:tcPr>
          <w:p w14:paraId="3BDCAC3A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ONS 2021 LSOA boundaries</w:t>
            </w:r>
          </w:p>
        </w:tc>
        <w:tc>
          <w:tcPr>
            <w:tcW w:w="2154" w:type="dxa"/>
            <w:vAlign w:val="center"/>
            <w:hideMark/>
          </w:tcPr>
          <w:p w14:paraId="1BC809AF" w14:textId="0D429E48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Polygon boundaries and geographical identifiers</w:t>
            </w:r>
          </w:p>
        </w:tc>
        <w:tc>
          <w:tcPr>
            <w:tcW w:w="1757" w:type="dxa"/>
            <w:vAlign w:val="center"/>
            <w:hideMark/>
          </w:tcPr>
          <w:p w14:paraId="64284588" w14:textId="7C97DBF4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LSOA</w:t>
            </w:r>
          </w:p>
        </w:tc>
        <w:tc>
          <w:tcPr>
            <w:tcW w:w="1757" w:type="dxa"/>
            <w:vAlign w:val="center"/>
            <w:hideMark/>
          </w:tcPr>
          <w:p w14:paraId="78004CC4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ONS Geography</w:t>
            </w:r>
          </w:p>
        </w:tc>
        <w:tc>
          <w:tcPr>
            <w:tcW w:w="1361" w:type="dxa"/>
            <w:vAlign w:val="center"/>
            <w:hideMark/>
          </w:tcPr>
          <w:p w14:paraId="3E8DFDA7" w14:textId="77777777" w:rsidR="002B2444" w:rsidRPr="00166FA6" w:rsidRDefault="002B2444" w:rsidP="00166FA6">
            <w:pPr>
              <w:pStyle w:val="p2"/>
              <w:spacing w:line="24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166FA6">
              <w:rPr>
                <w:sz w:val="15"/>
                <w:szCs w:val="15"/>
              </w:rPr>
              <w:t>2021</w:t>
            </w:r>
          </w:p>
        </w:tc>
      </w:tr>
    </w:tbl>
    <w:p w14:paraId="596DFE08" w14:textId="77777777" w:rsidR="00E75857" w:rsidRDefault="00E75857" w:rsidP="00E75857">
      <w:pPr>
        <w:pStyle w:val="p2"/>
        <w:rPr>
          <w:b/>
          <w:bCs/>
        </w:rPr>
      </w:pPr>
    </w:p>
    <w:p w14:paraId="716476CC" w14:textId="5389682A" w:rsidR="00E75857" w:rsidRPr="00E75857" w:rsidRDefault="00E75857" w:rsidP="00E75857">
      <w:pPr>
        <w:pStyle w:val="p2"/>
        <w:rPr>
          <w:b/>
          <w:bCs/>
        </w:rPr>
      </w:pPr>
      <w:r w:rsidRPr="00E75857">
        <w:rPr>
          <w:b/>
          <w:bCs/>
        </w:rPr>
        <w:t>Parameter source</w:t>
      </w:r>
    </w:p>
    <w:p w14:paraId="6B370952" w14:textId="6C2E20C5" w:rsidR="00411A99" w:rsidRDefault="00E75857" w:rsidP="00056EDD">
      <w:pPr>
        <w:pStyle w:val="p2"/>
      </w:pPr>
      <w:r w:rsidRPr="00E75857">
        <w:t xml:space="preserve">Published aggregate statistics from the </w:t>
      </w:r>
      <w:proofErr w:type="spellStart"/>
      <w:r w:rsidRPr="00E75857">
        <w:t>DfT</w:t>
      </w:r>
      <w:proofErr w:type="spellEnd"/>
      <w:r w:rsidRPr="00E75857">
        <w:t xml:space="preserve"> EV Tracker Year 1 report are used to derive the charging-related parameters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E75857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</m:oMath>
      <w:r w:rsidRPr="00E75857">
        <w:t>. As the underlying survey microdata are not directly analysed in this study, the report is treated as a secondary parameter source rather than a core analytical dataset.</w:t>
      </w:r>
    </w:p>
    <w:p w14:paraId="543CD0D5" w14:textId="77777777" w:rsidR="00056EDD" w:rsidRPr="00E75857" w:rsidRDefault="00056EDD" w:rsidP="00056EDD">
      <w:pPr>
        <w:pStyle w:val="p2"/>
      </w:pPr>
    </w:p>
    <w:p w14:paraId="2B025685" w14:textId="77777777" w:rsidR="00441B19" w:rsidRPr="00441B19" w:rsidRDefault="00441B19" w:rsidP="00441B19">
      <w:pPr>
        <w:pStyle w:val="p2"/>
      </w:pPr>
      <w:r w:rsidRPr="00441B19">
        <w:rPr>
          <w:b/>
          <w:bCs/>
        </w:rPr>
        <w:t>The data sources support the research objectives as follows:</w:t>
      </w:r>
    </w:p>
    <w:p w14:paraId="13BDEB42" w14:textId="77777777" w:rsidR="00441B19" w:rsidRPr="00441B19" w:rsidRDefault="00441B19">
      <w:pPr>
        <w:pStyle w:val="p2"/>
        <w:numPr>
          <w:ilvl w:val="0"/>
          <w:numId w:val="1"/>
        </w:numPr>
      </w:pPr>
      <w:r w:rsidRPr="00441B19">
        <w:rPr>
          <w:b/>
          <w:bCs/>
        </w:rPr>
        <w:lastRenderedPageBreak/>
        <w:t>Census 2021 TS045</w:t>
      </w:r>
      <w:r w:rsidRPr="00441B19">
        <w:t> provides household car and van availability data used to establish the baseline vehicle-stock demand across LSOAs. </w:t>
      </w:r>
      <w:r w:rsidRPr="00441B19">
        <w:rPr>
          <w:b/>
          <w:bCs/>
        </w:rPr>
        <w:t>(Objective 1)</w:t>
      </w:r>
    </w:p>
    <w:p w14:paraId="77F70CA1" w14:textId="67F3C4E8" w:rsidR="00441B19" w:rsidRPr="00441B19" w:rsidRDefault="00441B19">
      <w:pPr>
        <w:pStyle w:val="p2"/>
        <w:numPr>
          <w:ilvl w:val="0"/>
          <w:numId w:val="1"/>
        </w:numPr>
      </w:pPr>
      <w:proofErr w:type="spellStart"/>
      <w:r w:rsidRPr="00441B19">
        <w:rPr>
          <w:b/>
          <w:bCs/>
        </w:rPr>
        <w:t>DfT</w:t>
      </w:r>
      <w:proofErr w:type="spellEnd"/>
      <w:r w:rsidRPr="00441B19">
        <w:rPr>
          <w:b/>
          <w:bCs/>
        </w:rPr>
        <w:t xml:space="preserve"> EV Tracker Year 1</w:t>
      </w:r>
      <w:r w:rsidRPr="00441B19">
        <w:t> provides published charging-frequency and location-type statistics used to derive the demand parameters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441B19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</m:oMath>
      <w:r w:rsidRPr="00441B19">
        <w:t>. </w:t>
      </w:r>
      <w:r w:rsidRPr="00441B19">
        <w:rPr>
          <w:b/>
          <w:bCs/>
        </w:rPr>
        <w:t>(Objective 1)</w:t>
      </w:r>
    </w:p>
    <w:p w14:paraId="5BAC6B88" w14:textId="77777777" w:rsidR="00441B19" w:rsidRPr="00441B19" w:rsidRDefault="00441B19">
      <w:pPr>
        <w:pStyle w:val="p2"/>
        <w:numPr>
          <w:ilvl w:val="0"/>
          <w:numId w:val="1"/>
        </w:numPr>
      </w:pPr>
      <w:r w:rsidRPr="00441B19">
        <w:rPr>
          <w:b/>
          <w:bCs/>
        </w:rPr>
        <w:t>IoD2025 Income Domain</w:t>
      </w:r>
      <w:r w:rsidRPr="00441B19">
        <w:t> provides the continuous income-deprivation score used to incorporate equity into the demand framework. </w:t>
      </w:r>
      <w:r w:rsidRPr="00441B19">
        <w:rPr>
          <w:b/>
          <w:bCs/>
        </w:rPr>
        <w:t>(Objective 1)</w:t>
      </w:r>
    </w:p>
    <w:p w14:paraId="00A62198" w14:textId="382D5625" w:rsidR="00441B19" w:rsidRPr="00441B19" w:rsidRDefault="00441B19">
      <w:pPr>
        <w:pStyle w:val="p2"/>
        <w:numPr>
          <w:ilvl w:val="0"/>
          <w:numId w:val="1"/>
        </w:numPr>
      </w:pPr>
      <w:r w:rsidRPr="00441B19">
        <w:rPr>
          <w:b/>
          <w:bCs/>
        </w:rPr>
        <w:t>EVSE location registry</w:t>
      </w:r>
      <w:r w:rsidRPr="00441B19">
        <w:t> provides the locations, characteristics and spatial distribution of existing public charging infrastructure. </w:t>
      </w:r>
      <w:r w:rsidRPr="00441B19">
        <w:rPr>
          <w:b/>
          <w:bCs/>
        </w:rPr>
        <w:t>(Objective 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and</w:t>
      </w:r>
      <w:r w:rsidRPr="00441B19">
        <w:rPr>
          <w:b/>
          <w:bCs/>
        </w:rPr>
        <w:t xml:space="preserve"> Objective 3)</w:t>
      </w:r>
    </w:p>
    <w:p w14:paraId="006367E4" w14:textId="63971E54" w:rsidR="00441B19" w:rsidRPr="00441B19" w:rsidRDefault="00441B19">
      <w:pPr>
        <w:pStyle w:val="p2"/>
        <w:numPr>
          <w:ilvl w:val="0"/>
          <w:numId w:val="1"/>
        </w:numPr>
      </w:pPr>
      <w:r w:rsidRPr="00441B19">
        <w:rPr>
          <w:b/>
          <w:bCs/>
        </w:rPr>
        <w:t>Charging-activity records</w:t>
      </w:r>
      <w:r w:rsidRPr="00441B19">
        <w:t> provide observed charging-session information used to assess the usage of existing provision. </w:t>
      </w:r>
      <w:r w:rsidRPr="00441B19">
        <w:rPr>
          <w:b/>
          <w:bCs/>
        </w:rPr>
        <w:t>(Objective 2</w:t>
      </w:r>
      <w:r>
        <w:rPr>
          <w:b/>
          <w:bCs/>
        </w:rPr>
        <w:t xml:space="preserve"> and</w:t>
      </w:r>
      <w:r w:rsidRPr="00441B19">
        <w:rPr>
          <w:b/>
          <w:bCs/>
        </w:rPr>
        <w:t xml:space="preserve"> Objective 3)</w:t>
      </w:r>
    </w:p>
    <w:p w14:paraId="009534A1" w14:textId="77777777" w:rsidR="00441B19" w:rsidRPr="00441B19" w:rsidRDefault="00441B19">
      <w:pPr>
        <w:pStyle w:val="p2"/>
        <w:numPr>
          <w:ilvl w:val="0"/>
          <w:numId w:val="1"/>
        </w:numPr>
      </w:pPr>
      <w:r w:rsidRPr="00441B19">
        <w:rPr>
          <w:b/>
          <w:bCs/>
        </w:rPr>
        <w:t>ONS 2021 LSOA boundaries</w:t>
      </w:r>
      <w:r w:rsidRPr="00441B19">
        <w:t> provide the common spatial reference for integrating all datasets and defining the spatial units used in the allocation and evaluation stages. </w:t>
      </w:r>
      <w:r w:rsidRPr="00441B19">
        <w:rPr>
          <w:b/>
          <w:bCs/>
        </w:rPr>
        <w:t>(Objectives 1–4)</w:t>
      </w:r>
    </w:p>
    <w:p w14:paraId="20012B48" w14:textId="601D5D26" w:rsidR="00562E1D" w:rsidRDefault="00562E1D" w:rsidP="006924FB">
      <w:pPr>
        <w:pStyle w:val="p2"/>
      </w:pPr>
    </w:p>
    <w:p w14:paraId="03FBEC79" w14:textId="71ED3C19" w:rsidR="00562E1D" w:rsidRDefault="00130422" w:rsidP="006924FB">
      <w:pPr>
        <w:pStyle w:val="p2"/>
      </w:pPr>
      <w:r w:rsidRPr="00130422">
        <w:t>3.</w:t>
      </w:r>
      <w:r w:rsidR="00A363F3">
        <w:rPr>
          <w:rFonts w:hint="eastAsia"/>
        </w:rPr>
        <w:t>2</w:t>
      </w:r>
      <w:r w:rsidRPr="00130422">
        <w:t>.2 Data Cleaning and Integration</w:t>
      </w:r>
    </w:p>
    <w:p w14:paraId="4CC5CE63" w14:textId="77777777" w:rsidR="00F26092" w:rsidRPr="00F26092" w:rsidRDefault="00F26092" w:rsidP="00F26092">
      <w:pPr>
        <w:pStyle w:val="p2"/>
      </w:pPr>
      <w:r w:rsidRPr="00F26092">
        <w:t>Data cleaning will include:</w:t>
      </w:r>
    </w:p>
    <w:p w14:paraId="5B8B8042" w14:textId="77777777" w:rsidR="00F26092" w:rsidRPr="00F26092" w:rsidRDefault="00F26092">
      <w:pPr>
        <w:pStyle w:val="p2"/>
        <w:numPr>
          <w:ilvl w:val="0"/>
          <w:numId w:val="2"/>
        </w:numPr>
      </w:pPr>
      <w:proofErr w:type="spellStart"/>
      <w:r w:rsidRPr="00F26092">
        <w:t>standardising</w:t>
      </w:r>
      <w:proofErr w:type="spellEnd"/>
      <w:r w:rsidRPr="00F26092">
        <w:t xml:space="preserve"> LSOA, location, EVSE and connector identifiers and validating the internal charging-infrastructure hierarchy;</w:t>
      </w:r>
    </w:p>
    <w:p w14:paraId="11C44B15" w14:textId="77777777" w:rsidR="00F26092" w:rsidRPr="00F26092" w:rsidRDefault="00F26092">
      <w:pPr>
        <w:pStyle w:val="p2"/>
        <w:numPr>
          <w:ilvl w:val="0"/>
          <w:numId w:val="2"/>
        </w:numPr>
      </w:pPr>
      <w:r w:rsidRPr="00F26092">
        <w:t>resolving inconsistent and superseded location identifiers using the EVSE-side location foreign key as the canonical assignment;</w:t>
      </w:r>
    </w:p>
    <w:p w14:paraId="328115B5" w14:textId="77777777" w:rsidR="00F26092" w:rsidRPr="00F26092" w:rsidRDefault="00F26092">
      <w:pPr>
        <w:pStyle w:val="p2"/>
        <w:numPr>
          <w:ilvl w:val="0"/>
          <w:numId w:val="2"/>
        </w:numPr>
      </w:pPr>
      <w:r w:rsidRPr="00F26092">
        <w:t>removing exact duplicate and invalid charging-session records, merging overlapping intervals and restricting activity to the September 2025 observation window;</w:t>
      </w:r>
    </w:p>
    <w:p w14:paraId="1D2A999F" w14:textId="77777777" w:rsidR="00F26092" w:rsidRPr="00F26092" w:rsidRDefault="00F26092">
      <w:pPr>
        <w:pStyle w:val="p2"/>
        <w:numPr>
          <w:ilvl w:val="0"/>
          <w:numId w:val="2"/>
        </w:numPr>
      </w:pPr>
      <w:r w:rsidRPr="00F26092">
        <w:t>retaining registered EVSEs with no observed sessions as zero-</w:t>
      </w:r>
      <w:proofErr w:type="spellStart"/>
      <w:r w:rsidRPr="00F26092">
        <w:t>utilisation</w:t>
      </w:r>
      <w:proofErr w:type="spellEnd"/>
      <w:r w:rsidRPr="00F26092">
        <w:t xml:space="preserve"> observations;</w:t>
      </w:r>
    </w:p>
    <w:p w14:paraId="06542C93" w14:textId="77777777" w:rsidR="00F26092" w:rsidRPr="00F26092" w:rsidRDefault="00F26092">
      <w:pPr>
        <w:pStyle w:val="p2"/>
        <w:numPr>
          <w:ilvl w:val="0"/>
          <w:numId w:val="2"/>
        </w:numPr>
      </w:pPr>
      <w:r w:rsidRPr="00F26092">
        <w:t xml:space="preserve">retaining very short sessions after sensitivity analysis showed negligible effects on LSOA-level </w:t>
      </w:r>
      <w:proofErr w:type="spellStart"/>
      <w:r w:rsidRPr="00F26092">
        <w:t>utilisation</w:t>
      </w:r>
      <w:proofErr w:type="spellEnd"/>
      <w:r w:rsidRPr="00F26092">
        <w:t>;</w:t>
      </w:r>
    </w:p>
    <w:p w14:paraId="1130EDF0" w14:textId="77777777" w:rsidR="00F26092" w:rsidRPr="00F26092" w:rsidRDefault="00F26092">
      <w:pPr>
        <w:pStyle w:val="p2"/>
        <w:numPr>
          <w:ilvl w:val="0"/>
          <w:numId w:val="2"/>
        </w:numPr>
      </w:pPr>
      <w:r w:rsidRPr="00F26092">
        <w:t>spatially assigning on-street charging locations to 2021 LSOAs and aggregating the cleaned data to one observation per LSOA.</w:t>
      </w:r>
    </w:p>
    <w:p w14:paraId="42E792AE" w14:textId="77777777" w:rsidR="00BE1965" w:rsidRDefault="00BE1965" w:rsidP="009E72CC">
      <w:pPr>
        <w:pStyle w:val="p2"/>
        <w:rPr>
          <w:rFonts w:hint="eastAsia"/>
        </w:rPr>
      </w:pPr>
    </w:p>
    <w:p w14:paraId="6021D960" w14:textId="46E6BA69" w:rsidR="009E72CC" w:rsidRDefault="00130422" w:rsidP="009E72CC">
      <w:pPr>
        <w:pStyle w:val="p2"/>
      </w:pPr>
      <w:r w:rsidRPr="00130422">
        <w:t>3.</w:t>
      </w:r>
      <w:r w:rsidR="00A363F3">
        <w:rPr>
          <w:rFonts w:hint="eastAsia"/>
        </w:rPr>
        <w:t>2</w:t>
      </w:r>
      <w:r w:rsidRPr="00130422">
        <w:t>.3 Exploratory Data Analysis</w:t>
      </w:r>
    </w:p>
    <w:p w14:paraId="07F3382C" w14:textId="401E4753" w:rsidR="00043DDA" w:rsidRDefault="00043DDA" w:rsidP="009E72CC">
      <w:pPr>
        <w:pStyle w:val="p2"/>
      </w:pPr>
      <w:r w:rsidRPr="00043DDA">
        <w:rPr>
          <w:noProof/>
        </w:rPr>
        <w:lastRenderedPageBreak/>
        <w:drawing>
          <wp:inline distT="0" distB="0" distL="0" distR="0" wp14:anchorId="64A3192F" wp14:editId="19794575">
            <wp:extent cx="3324314" cy="2673068"/>
            <wp:effectExtent l="0" t="0" r="3175" b="0"/>
            <wp:docPr id="885717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17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3291" cy="270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97B1" w14:textId="5C6A5392" w:rsidR="009E72CC" w:rsidRDefault="009E72CC" w:rsidP="009E72CC">
      <w:pPr>
        <w:pStyle w:val="p2"/>
      </w:pPr>
      <w:r w:rsidRPr="009E72CC">
        <w:t>A – Household vehicle stock proxy: Higher vehicle-stock demand is generally concentrated in outer London, while central London shows lower household car ownership.</w:t>
      </w:r>
      <w:r w:rsidR="00D6640F">
        <w:rPr>
          <w:rFonts w:hint="eastAsia"/>
        </w:rPr>
        <w:t xml:space="preserve"> </w:t>
      </w:r>
    </w:p>
    <w:p w14:paraId="2C2BB1E6" w14:textId="737ADFD1" w:rsidR="00043DDA" w:rsidRPr="009E72CC" w:rsidRDefault="00043DDA" w:rsidP="009E72CC">
      <w:pPr>
        <w:pStyle w:val="p2"/>
      </w:pPr>
      <w:r w:rsidRPr="00043DDA">
        <w:rPr>
          <w:noProof/>
        </w:rPr>
        <w:drawing>
          <wp:inline distT="0" distB="0" distL="0" distR="0" wp14:anchorId="4BE947DE" wp14:editId="621EC0CA">
            <wp:extent cx="3384135" cy="2721171"/>
            <wp:effectExtent l="0" t="0" r="0" b="0"/>
            <wp:docPr id="151528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88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143" cy="275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3DB1" w14:textId="623231DB" w:rsidR="009E72CC" w:rsidRPr="009137B3" w:rsidRDefault="009E72CC" w:rsidP="009E72CC">
      <w:pPr>
        <w:pStyle w:val="p2"/>
      </w:pPr>
      <w:r w:rsidRPr="009E72CC">
        <w:t>B – Income deprivation score: Income deprivation follows a different spatial pattern from vehicle ownership, with higher deprivation concentrated in parts of east, north-east and inner London.</w:t>
      </w:r>
    </w:p>
    <w:p w14:paraId="205DFAC5" w14:textId="1B6F0F7C" w:rsidR="00043DDA" w:rsidRPr="009E72CC" w:rsidRDefault="00043DDA" w:rsidP="009E72CC">
      <w:pPr>
        <w:pStyle w:val="p2"/>
      </w:pPr>
      <w:r w:rsidRPr="00043DDA">
        <w:rPr>
          <w:noProof/>
        </w:rPr>
        <w:lastRenderedPageBreak/>
        <w:drawing>
          <wp:inline distT="0" distB="0" distL="0" distR="0" wp14:anchorId="0EB1CB30" wp14:editId="4219D216">
            <wp:extent cx="3171038" cy="2549821"/>
            <wp:effectExtent l="0" t="0" r="4445" b="3175"/>
            <wp:docPr id="84040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04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7601" cy="257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615B" w14:textId="179082C8" w:rsidR="009E72CC" w:rsidRDefault="009E72CC" w:rsidP="009E72CC">
      <w:pPr>
        <w:pStyle w:val="p2"/>
      </w:pPr>
      <w:r w:rsidRPr="009E72CC">
        <w:t>C – Existing on-street charging locations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72CC">
        <w:t>): Existing on-street charging provision is concentrated mainly in inner London, while many outer-London LSOAs contain few or no registered locations.</w:t>
      </w:r>
      <w:r w:rsidR="00D6640F" w:rsidRPr="00D6640F">
        <w:t xml:space="preserve"> </w:t>
      </w:r>
    </w:p>
    <w:p w14:paraId="39AB1082" w14:textId="24AA15A7" w:rsidR="00043DDA" w:rsidRPr="009E72CC" w:rsidRDefault="00043DDA" w:rsidP="009E72CC">
      <w:pPr>
        <w:pStyle w:val="p2"/>
      </w:pPr>
      <w:r w:rsidRPr="00043DDA">
        <w:rPr>
          <w:noProof/>
        </w:rPr>
        <w:drawing>
          <wp:inline distT="0" distB="0" distL="0" distR="0" wp14:anchorId="2C0D6BC8" wp14:editId="65C86789">
            <wp:extent cx="3170555" cy="2549432"/>
            <wp:effectExtent l="0" t="0" r="4445" b="3810"/>
            <wp:docPr id="306579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9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283" cy="259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AEA3" w14:textId="64393D66" w:rsidR="00B14B7E" w:rsidRDefault="009E72CC" w:rsidP="006924FB">
      <w:pPr>
        <w:pStyle w:val="p2"/>
      </w:pPr>
      <w:r w:rsidRPr="009E72CC">
        <w:t xml:space="preserve">D – Mean location </w:t>
      </w:r>
      <w:proofErr w:type="spellStart"/>
      <w:r w:rsidRPr="009E72CC">
        <w:t>utilisation</w:t>
      </w:r>
      <w:proofErr w:type="spellEnd"/>
      <w:r w:rsidRPr="009E72CC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E72CC">
        <w:t>): Observed utilisation varies independently of provision quantity, distinguishing LSOAs with no provision, unused provision and relatively higher usage pressure.</w:t>
      </w:r>
      <w:r w:rsidR="00D6640F">
        <w:rPr>
          <w:rFonts w:hint="eastAsia"/>
        </w:rPr>
        <w:t xml:space="preserve"> </w:t>
      </w:r>
    </w:p>
    <w:p w14:paraId="6377ED38" w14:textId="77777777" w:rsidR="00B14B7E" w:rsidRDefault="00B14B7E" w:rsidP="006924FB">
      <w:pPr>
        <w:pStyle w:val="p2"/>
      </w:pPr>
    </w:p>
    <w:p w14:paraId="7F33F1D7" w14:textId="77777777" w:rsidR="00960EB6" w:rsidRDefault="00960EB6" w:rsidP="006924FB">
      <w:pPr>
        <w:pStyle w:val="p2"/>
        <w:rPr>
          <w:rFonts w:hint="eastAsia"/>
        </w:rPr>
      </w:pPr>
    </w:p>
    <w:p w14:paraId="47CF19FA" w14:textId="2BFA8CD5" w:rsidR="006924FB" w:rsidRDefault="00AA626C" w:rsidP="006924FB">
      <w:pPr>
        <w:pStyle w:val="p2"/>
      </w:pPr>
      <w:r>
        <w:t>3.</w:t>
      </w:r>
      <w:r w:rsidR="00A363F3">
        <w:rPr>
          <w:rFonts w:hint="eastAsia"/>
        </w:rPr>
        <w:t>3</w:t>
      </w:r>
      <w:r>
        <w:t>. Methodology Workflow</w:t>
      </w:r>
    </w:p>
    <w:p w14:paraId="43E733D9" w14:textId="1A5B1088" w:rsidR="006924FB" w:rsidRDefault="00876491" w:rsidP="009B5CEA">
      <w:pPr>
        <w:pStyle w:val="p2"/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</w:rPr>
        <w:t>to</w:t>
      </w:r>
      <w:r>
        <w:t xml:space="preserve"> be added</w:t>
      </w:r>
      <w:r>
        <w:rPr>
          <w:rFonts w:hint="eastAsia"/>
        </w:rPr>
        <w:t>】</w:t>
      </w:r>
    </w:p>
    <w:p w14:paraId="291400E4" w14:textId="77777777" w:rsidR="00BE1965" w:rsidRDefault="00BE1965" w:rsidP="009B5CEA">
      <w:pPr>
        <w:pStyle w:val="p2"/>
      </w:pPr>
    </w:p>
    <w:p w14:paraId="173B911C" w14:textId="18D4E0E2" w:rsidR="00B64191" w:rsidRDefault="00BF4946" w:rsidP="009B5CEA">
      <w:pPr>
        <w:pStyle w:val="p2"/>
        <w:rPr>
          <w:b/>
          <w:bCs/>
        </w:rPr>
      </w:pPr>
      <w:r>
        <w:rPr>
          <w:rFonts w:hint="eastAsia"/>
          <w:b/>
          <w:bCs/>
        </w:rPr>
        <w:t>3.</w:t>
      </w:r>
      <w:r w:rsidR="00A363F3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.1. </w:t>
      </w:r>
      <w:r w:rsidR="00B64191">
        <w:rPr>
          <w:b/>
          <w:bCs/>
        </w:rPr>
        <w:t>Phase 1: Demand Estimation</w:t>
      </w:r>
    </w:p>
    <w:p w14:paraId="50543036" w14:textId="77777777" w:rsidR="000028D8" w:rsidRPr="000028D8" w:rsidRDefault="000028D8" w:rsidP="000028D8">
      <w:pPr>
        <w:pStyle w:val="p2"/>
      </w:pPr>
      <w:r w:rsidRPr="000028D8">
        <w:t>Purpose</w:t>
      </w:r>
    </w:p>
    <w:p w14:paraId="49D6411B" w14:textId="404AC6CA" w:rsidR="001E45CA" w:rsidRDefault="000028D8">
      <w:pPr>
        <w:pStyle w:val="p2"/>
        <w:numPr>
          <w:ilvl w:val="0"/>
          <w:numId w:val="3"/>
        </w:numPr>
      </w:pPr>
      <w:r w:rsidRPr="000028D8">
        <w:t>Construct an LSOA-level measure of relative potential demand for public EV charging, used as the demand weight in the allocation model.</w:t>
      </w:r>
      <w:r>
        <w:rPr>
          <w:rFonts w:hint="eastAsia"/>
        </w:rPr>
        <w:t xml:space="preserve"> </w:t>
      </w:r>
    </w:p>
    <w:p w14:paraId="5ADC70E4" w14:textId="77777777" w:rsidR="001E45CA" w:rsidRDefault="001E45CA">
      <w:pPr>
        <w:pStyle w:val="p2"/>
        <w:numPr>
          <w:ilvl w:val="0"/>
          <w:numId w:val="3"/>
        </w:numPr>
      </w:pPr>
      <w:r>
        <w:lastRenderedPageBreak/>
        <w:t>Use the resulting demand weights as inputs to the subsequent allocation model.</w:t>
      </w:r>
    </w:p>
    <w:p w14:paraId="1B41A43B" w14:textId="4E0CC488" w:rsidR="001E45CA" w:rsidRDefault="001E45CA">
      <w:pPr>
        <w:pStyle w:val="p2"/>
        <w:numPr>
          <w:ilvl w:val="0"/>
          <w:numId w:val="3"/>
        </w:numPr>
      </w:pPr>
      <w:r>
        <w:t xml:space="preserve">The measure supports spatial </w:t>
      </w:r>
      <w:proofErr w:type="spellStart"/>
      <w:r>
        <w:t>prioritisation</w:t>
      </w:r>
      <w:proofErr w:type="spellEnd"/>
      <w:r>
        <w:t xml:space="preserve"> rather than providing an exact forecast of charging sessions or required charging locations.</w:t>
      </w:r>
    </w:p>
    <w:p w14:paraId="201781EF" w14:textId="77777777" w:rsidR="001E45CA" w:rsidRDefault="001E45CA" w:rsidP="000028D8">
      <w:pPr>
        <w:pStyle w:val="p2"/>
      </w:pPr>
    </w:p>
    <w:p w14:paraId="45D79A38" w14:textId="55E3D2B6" w:rsidR="000028D8" w:rsidRPr="000028D8" w:rsidRDefault="000028D8" w:rsidP="000028D8">
      <w:pPr>
        <w:pStyle w:val="p2"/>
      </w:pPr>
      <w:r w:rsidRPr="000028D8">
        <w:t>Overall structure</w:t>
      </w:r>
    </w:p>
    <w:p w14:paraId="7B442E9B" w14:textId="202B7F64" w:rsidR="000028D8" w:rsidRPr="000028D8" w:rsidRDefault="00000000" w:rsidP="000028D8">
      <w:pPr>
        <w:pStyle w:val="p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pub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1+α⋅IM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1BCEF77" w14:textId="0FB90D00" w:rsidR="000028D8" w:rsidRDefault="000028D8" w:rsidP="000028D8">
      <w:pPr>
        <w:pStyle w:val="p2"/>
      </w:pPr>
      <w:r w:rsidRPr="000028D8">
        <w:t>where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0028D8">
        <w:t> is the equity-adjusted public-charging demand weight for LSOA </w:t>
      </w:r>
      <m:oMath>
        <m:r>
          <w:rPr>
            <w:rFonts w:ascii="Cambria Math" w:hAnsi="Cambria Math"/>
          </w:rPr>
          <m:t>i</m:t>
        </m:r>
      </m:oMath>
      <w:r w:rsidRPr="000028D8">
        <w:t>.</w:t>
      </w:r>
      <w:r w:rsidRPr="000028D8">
        <w:rPr>
          <w:rFonts w:ascii="-webkit-standard" w:hAnsi="-webkit-standard" w:cs="宋体"/>
          <w:sz w:val="27"/>
          <w:szCs w:val="27"/>
        </w:rPr>
        <w:t xml:space="preserve"> </w:t>
      </w:r>
    </w:p>
    <w:p w14:paraId="7C96C5F4" w14:textId="77777777" w:rsidR="00097E88" w:rsidRDefault="00097E88" w:rsidP="000028D8">
      <w:pPr>
        <w:pStyle w:val="p2"/>
      </w:pPr>
    </w:p>
    <w:p w14:paraId="5E1482CA" w14:textId="77777777" w:rsidR="001E45CA" w:rsidRPr="001E45CA" w:rsidRDefault="001E45CA" w:rsidP="001E45CA">
      <w:pPr>
        <w:pStyle w:val="p2"/>
        <w:rPr>
          <w:b/>
          <w:bCs/>
        </w:rPr>
      </w:pPr>
      <w:r w:rsidRPr="001E45CA">
        <w:rPr>
          <w:b/>
          <w:bCs/>
        </w:rPr>
        <w:t>Step 1: Household vehicle-stock base</w:t>
      </w:r>
    </w:p>
    <w:p w14:paraId="53EA6103" w14:textId="66862EC9" w:rsidR="001E45CA" w:rsidRPr="001E45CA" w:rsidRDefault="00000000">
      <w:pPr>
        <w:pStyle w:val="p2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E45CA" w:rsidRPr="001E45CA">
        <w:t>: number of households in LSOA </w:t>
      </w:r>
      <m:oMath>
        <m:r>
          <w:rPr>
            <w:rFonts w:ascii="Cambria Math" w:hAnsi="Cambria Math"/>
          </w:rPr>
          <m:t>i</m:t>
        </m:r>
      </m:oMath>
      <w:r w:rsidR="001E45CA" w:rsidRPr="001E45CA">
        <w:t>.</w:t>
      </w:r>
    </w:p>
    <w:p w14:paraId="6198A3ED" w14:textId="484E1CA5" w:rsidR="001E45CA" w:rsidRPr="001E45CA" w:rsidRDefault="00000000">
      <w:pPr>
        <w:pStyle w:val="p2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E45CA" w:rsidRPr="001E45CA">
        <w:t>: average number of cars or vans per household, estimated from Census 2021 TS045.</w:t>
      </w:r>
    </w:p>
    <w:p w14:paraId="37D5B442" w14:textId="77777777" w:rsidR="001E45CA" w:rsidRPr="001E45CA" w:rsidRDefault="001E45CA">
      <w:pPr>
        <w:pStyle w:val="p2"/>
        <w:numPr>
          <w:ilvl w:val="0"/>
          <w:numId w:val="6"/>
        </w:numPr>
      </w:pPr>
      <w:r w:rsidRPr="001E45CA">
        <w:t>The “three or more” category is conservatively treated as three vehicles.</w:t>
      </w:r>
    </w:p>
    <w:p w14:paraId="1C7116CE" w14:textId="5698F0CF" w:rsidR="001E45CA" w:rsidRPr="001E45CA" w:rsidRDefault="00000000">
      <w:pPr>
        <w:pStyle w:val="p2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E45CA" w:rsidRPr="001E45CA">
        <w:t> estimates the number of household vehicles potentially requiring charging.</w:t>
      </w:r>
    </w:p>
    <w:p w14:paraId="31BCF646" w14:textId="39E87F8A" w:rsidR="001E45CA" w:rsidRDefault="001E45CA">
      <w:pPr>
        <w:pStyle w:val="p2"/>
        <w:numPr>
          <w:ilvl w:val="0"/>
          <w:numId w:val="6"/>
        </w:numPr>
      </w:pPr>
      <w:r w:rsidRPr="001E45CA">
        <w:rPr>
          <w:b/>
          <w:bCs/>
        </w:rPr>
        <w:t>Rationale:</w:t>
      </w:r>
      <w:r w:rsidRPr="001E45CA">
        <w:t> vehicle-owning households provide a more direct basis for charging demand than total population.</w:t>
      </w:r>
    </w:p>
    <w:p w14:paraId="6C99C3BF" w14:textId="77777777" w:rsidR="001E45CA" w:rsidRPr="001E45CA" w:rsidRDefault="001E45CA" w:rsidP="001E45CA">
      <w:pPr>
        <w:pStyle w:val="p2"/>
        <w:rPr>
          <w:b/>
          <w:bCs/>
        </w:rPr>
      </w:pPr>
      <w:r w:rsidRPr="001E45CA">
        <w:rPr>
          <w:b/>
          <w:bCs/>
        </w:rPr>
        <w:t>Step 2: Public-charging demand parameters</w:t>
      </w:r>
    </w:p>
    <w:p w14:paraId="61F760A2" w14:textId="26D0F8BC" w:rsidR="001E45CA" w:rsidRPr="001E45CA" w:rsidRDefault="00000000">
      <w:pPr>
        <w:pStyle w:val="p2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4.3</m:t>
            </m:r>
          </m:num>
          <m:den>
            <m:r>
              <w:rPr>
                <w:rFonts w:ascii="Cambria Math" w:hAnsi="Cambria Math"/>
              </w:rPr>
              <m:t>14</m:t>
            </m:r>
          </m:den>
        </m:f>
        <m:r>
          <w:rPr>
            <w:rFonts w:ascii="Cambria Math" w:hAnsi="Cambria Math"/>
          </w:rPr>
          <m:t>≈0.31</m:t>
        </m:r>
      </m:oMath>
      <w:r w:rsidR="001E45CA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1E45CA" w:rsidRPr="001E45CA">
        <w:t>: probability that a vehicle requires charging on a given day.</w:t>
      </w:r>
    </w:p>
    <w:p w14:paraId="6A43166B" w14:textId="1966072C" w:rsidR="001E45CA" w:rsidRPr="001E45CA" w:rsidRDefault="00000000">
      <w:pPr>
        <w:pStyle w:val="p2"/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1.8</m:t>
            </m:r>
          </m:num>
          <m:den>
            <m:r>
              <w:rPr>
                <w:rFonts w:ascii="Cambria Math" w:hAnsi="Cambria Math"/>
              </w:rPr>
              <m:t>4.4</m:t>
            </m:r>
          </m:den>
        </m:f>
        <m:r>
          <w:rPr>
            <w:rFonts w:ascii="Cambria Math" w:hAnsi="Cambria Math"/>
          </w:rPr>
          <m:t>≈0.41</m:t>
        </m:r>
      </m:oMath>
      <w:r w:rsidR="001E45CA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</m:oMath>
      <w:r w:rsidR="001E45CA" w:rsidRPr="001E45CA">
        <w:t>: proportion of charging events occurring at public facilities.</w:t>
      </w:r>
    </w:p>
    <w:p w14:paraId="2ABFF278" w14:textId="77777777" w:rsidR="001E45CA" w:rsidRPr="001E45CA" w:rsidRDefault="001E45CA">
      <w:pPr>
        <w:pStyle w:val="p2"/>
        <w:numPr>
          <w:ilvl w:val="0"/>
          <w:numId w:val="7"/>
        </w:numPr>
      </w:pPr>
      <w:r w:rsidRPr="001E45CA">
        <w:t xml:space="preserve">Both parameters are derived from published statistics in the </w:t>
      </w:r>
      <w:proofErr w:type="spellStart"/>
      <w:r w:rsidRPr="001E45CA">
        <w:t>DfT</w:t>
      </w:r>
      <w:proofErr w:type="spellEnd"/>
      <w:r w:rsidRPr="001E45CA">
        <w:t xml:space="preserve"> EV Tracker Year 1 report.</w:t>
      </w:r>
    </w:p>
    <w:p w14:paraId="20C5B924" w14:textId="77777777" w:rsidR="001E45CA" w:rsidRPr="001E45CA" w:rsidRDefault="001E45CA">
      <w:pPr>
        <w:pStyle w:val="p2"/>
        <w:numPr>
          <w:ilvl w:val="0"/>
          <w:numId w:val="7"/>
        </w:numPr>
      </w:pPr>
      <w:r w:rsidRPr="001E45CA">
        <w:rPr>
          <w:b/>
          <w:bCs/>
        </w:rPr>
        <w:t>Rationale:</w:t>
      </w:r>
      <w:r w:rsidRPr="001E45CA">
        <w:t> not every vehicle charges daily, and only part of total charging demand is served by public infrastructure</w:t>
      </w:r>
    </w:p>
    <w:p w14:paraId="1A2DE627" w14:textId="77777777" w:rsidR="00764783" w:rsidRPr="00764783" w:rsidRDefault="00764783" w:rsidP="00764783">
      <w:pPr>
        <w:pStyle w:val="p2"/>
        <w:rPr>
          <w:b/>
          <w:bCs/>
        </w:rPr>
      </w:pPr>
      <w:r w:rsidRPr="00764783">
        <w:rPr>
          <w:b/>
          <w:bCs/>
        </w:rPr>
        <w:t xml:space="preserve">Step 3: </w:t>
      </w:r>
      <w:proofErr w:type="spellStart"/>
      <w:r w:rsidRPr="00764783">
        <w:rPr>
          <w:b/>
          <w:bCs/>
        </w:rPr>
        <w:t>Utilisation</w:t>
      </w:r>
      <w:proofErr w:type="spellEnd"/>
      <w:r w:rsidRPr="00764783">
        <w:rPr>
          <w:b/>
          <w:bCs/>
        </w:rPr>
        <w:t>-pressure adjustment</w:t>
      </w:r>
    </w:p>
    <w:p w14:paraId="6DE334EA" w14:textId="51891896" w:rsidR="00764783" w:rsidRPr="00764783" w:rsidRDefault="00000000">
      <w:pPr>
        <w:pStyle w:val="p2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64783" w:rsidRPr="00764783">
        <w:t> represents the mean observed utilisation of existing on-street charging locations in LSOA </w:t>
      </w:r>
      <m:oMath>
        <m:r>
          <w:rPr>
            <w:rFonts w:ascii="Cambria Math" w:hAnsi="Cambria Math"/>
          </w:rPr>
          <m:t>i</m:t>
        </m:r>
      </m:oMath>
      <w:r w:rsidR="00764783" w:rsidRPr="00764783">
        <w:t>.</w:t>
      </w:r>
    </w:p>
    <w:p w14:paraId="4071F18A" w14:textId="77777777" w:rsidR="00764783" w:rsidRPr="00764783" w:rsidRDefault="00764783">
      <w:pPr>
        <w:pStyle w:val="p2"/>
        <w:numPr>
          <w:ilvl w:val="0"/>
          <w:numId w:val="8"/>
        </w:numPr>
      </w:pPr>
      <w:r w:rsidRPr="00764783">
        <w:t xml:space="preserve">It is used to increase </w:t>
      </w:r>
      <w:proofErr w:type="spellStart"/>
      <w:r w:rsidRPr="00764783">
        <w:t>recognised</w:t>
      </w:r>
      <w:proofErr w:type="spellEnd"/>
      <w:r w:rsidRPr="00764783">
        <w:t xml:space="preserve"> demand where existing infrastructure experiences greater observed usage pressure.</w:t>
      </w:r>
    </w:p>
    <w:p w14:paraId="6E4C10A0" w14:textId="77777777" w:rsidR="00764783" w:rsidRPr="00764783" w:rsidRDefault="00764783">
      <w:pPr>
        <w:pStyle w:val="p2"/>
        <w:numPr>
          <w:ilvl w:val="0"/>
          <w:numId w:val="8"/>
        </w:numPr>
      </w:pPr>
      <w:r w:rsidRPr="00764783">
        <w:t>LSOAs without an existing charging location receive the neutral adjustment specified in the demand formula.</w:t>
      </w:r>
    </w:p>
    <w:p w14:paraId="7726ADA0" w14:textId="40ACE2D8" w:rsidR="00764783" w:rsidRPr="00764783" w:rsidRDefault="00764783">
      <w:pPr>
        <w:pStyle w:val="p2"/>
        <w:numPr>
          <w:ilvl w:val="0"/>
          <w:numId w:val="8"/>
        </w:numPr>
      </w:pPr>
      <w:r w:rsidRPr="00764783">
        <w:rPr>
          <w:b/>
          <w:bCs/>
        </w:rPr>
        <w:t>Cross-reference:</w:t>
      </w:r>
      <w:r w:rsidRPr="00764783">
        <w:t> the construction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4783">
        <w:t> from charging-session data is explained in Phase 2.</w:t>
      </w:r>
    </w:p>
    <w:p w14:paraId="21DFDBB9" w14:textId="77777777" w:rsidR="00764783" w:rsidRPr="00764783" w:rsidRDefault="00764783">
      <w:pPr>
        <w:pStyle w:val="p2"/>
        <w:numPr>
          <w:ilvl w:val="0"/>
          <w:numId w:val="8"/>
        </w:numPr>
      </w:pPr>
      <w:r w:rsidRPr="00764783">
        <w:rPr>
          <w:b/>
          <w:bCs/>
        </w:rPr>
        <w:t>Rationale:</w:t>
      </w:r>
      <w:r w:rsidRPr="00764783">
        <w:t> vehicle ownership alone may not capture local pressure already visible in the use of existing infrastructure.</w:t>
      </w:r>
    </w:p>
    <w:p w14:paraId="5173348D" w14:textId="77777777" w:rsidR="00764783" w:rsidRPr="00764783" w:rsidRDefault="00764783" w:rsidP="00764783">
      <w:pPr>
        <w:pStyle w:val="p2"/>
        <w:rPr>
          <w:b/>
          <w:bCs/>
        </w:rPr>
      </w:pPr>
      <w:r w:rsidRPr="00764783">
        <w:rPr>
          <w:b/>
          <w:bCs/>
        </w:rPr>
        <w:t>Step 4: Income-deprivation weighting</w:t>
      </w:r>
    </w:p>
    <w:p w14:paraId="4BB3D446" w14:textId="6D23CFF3" w:rsidR="00764783" w:rsidRPr="00764783" w:rsidRDefault="00764783">
      <w:pPr>
        <w:pStyle w:val="p2"/>
        <w:numPr>
          <w:ilvl w:val="0"/>
          <w:numId w:val="9"/>
        </w:numPr>
      </w:pPr>
      <m:oMath>
        <m:r>
          <w:rPr>
            <w:rFonts w:ascii="Cambria Math" w:hAnsi="Cambria Math"/>
          </w:rPr>
          <m:t>IM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64783">
        <w:t>: IoD2025 Income Domain Score for LSOA </w:t>
      </w:r>
      <m:oMath>
        <m:r>
          <w:rPr>
            <w:rFonts w:ascii="Cambria Math" w:hAnsi="Cambria Math"/>
          </w:rPr>
          <m:t>i</m:t>
        </m:r>
      </m:oMath>
      <w:r w:rsidRPr="00764783">
        <w:t>.</w:t>
      </w:r>
    </w:p>
    <w:p w14:paraId="4CE34D1B" w14:textId="30BCA0C0" w:rsidR="00764783" w:rsidRPr="00764783" w:rsidRDefault="00764783">
      <w:pPr>
        <w:pStyle w:val="p2"/>
        <w:numPr>
          <w:ilvl w:val="0"/>
          <w:numId w:val="9"/>
        </w:numPr>
      </w:pPr>
      <m:oMath>
        <m:r>
          <w:rPr>
            <w:rFonts w:ascii="Cambria Math" w:hAnsi="Cambria Math"/>
          </w:rPr>
          <m:t>α</m:t>
        </m:r>
      </m:oMath>
      <w:r w:rsidRPr="00764783">
        <w:t>: scenario parameter controlling the strength of income-deprivation weighting.</w:t>
      </w:r>
    </w:p>
    <w:p w14:paraId="4711F02E" w14:textId="5C365524" w:rsidR="00764783" w:rsidRPr="00764783" w:rsidRDefault="00764783">
      <w:pPr>
        <w:pStyle w:val="p2"/>
        <w:numPr>
          <w:ilvl w:val="0"/>
          <w:numId w:val="9"/>
        </w:numPr>
      </w:pPr>
      <m:oMath>
        <m:r>
          <w:rPr>
            <w:rFonts w:ascii="Cambria Math" w:hAnsi="Cambria Math"/>
          </w:rPr>
          <m:t>α=0</m:t>
        </m:r>
      </m:oMath>
      <w:r w:rsidRPr="00764783">
        <w:t> represents the unweighted baseline, while larger values assign greater planning priority to more income-deprived LSOAs.</w:t>
      </w:r>
    </w:p>
    <w:p w14:paraId="1637F9B8" w14:textId="77777777" w:rsidR="00764783" w:rsidRPr="00764783" w:rsidRDefault="00764783">
      <w:pPr>
        <w:pStyle w:val="p2"/>
        <w:numPr>
          <w:ilvl w:val="0"/>
          <w:numId w:val="9"/>
        </w:numPr>
      </w:pPr>
      <w:r w:rsidRPr="00764783">
        <w:rPr>
          <w:b/>
          <w:bCs/>
        </w:rPr>
        <w:lastRenderedPageBreak/>
        <w:t>Rationale:</w:t>
      </w:r>
      <w:r w:rsidRPr="00764783">
        <w:t> relying only on currently visible vehicle demand may reproduce existing inequalities.</w:t>
      </w:r>
    </w:p>
    <w:p w14:paraId="7C73B59F" w14:textId="3F35151B" w:rsidR="00764783" w:rsidRPr="00764783" w:rsidRDefault="00764783">
      <w:pPr>
        <w:pStyle w:val="p2"/>
        <w:numPr>
          <w:ilvl w:val="0"/>
          <w:numId w:val="9"/>
        </w:numPr>
      </w:pPr>
      <w:r w:rsidRPr="00764783">
        <w:t>Higher </w:t>
      </w:r>
      <m:oMath>
        <m:r>
          <w:rPr>
            <w:rFonts w:ascii="Cambria Math" w:hAnsi="Cambria Math"/>
          </w:rPr>
          <m:t>α</m:t>
        </m:r>
      </m:oMath>
      <w:r w:rsidRPr="00764783">
        <w:t> increases recognised planning demand.</w:t>
      </w:r>
    </w:p>
    <w:p w14:paraId="7E0B9449" w14:textId="77777777" w:rsidR="00764783" w:rsidRPr="00764783" w:rsidRDefault="00764783">
      <w:pPr>
        <w:pStyle w:val="p2"/>
        <w:numPr>
          <w:ilvl w:val="0"/>
          <w:numId w:val="9"/>
        </w:numPr>
      </w:pPr>
      <w:r w:rsidRPr="00764783">
        <w:rPr>
          <w:b/>
          <w:bCs/>
        </w:rPr>
        <w:t>Interpretation:</w:t>
      </w:r>
      <w:r w:rsidRPr="00764783">
        <w:t> the weighting does not imply that deprived areas contain more vehicles, but that their potential need receives greater priority in planning.</w:t>
      </w:r>
    </w:p>
    <w:p w14:paraId="20AA0B3E" w14:textId="6EBB5831" w:rsidR="00764783" w:rsidRPr="000C6195" w:rsidRDefault="00764783" w:rsidP="00764783">
      <w:pPr>
        <w:pStyle w:val="p2"/>
        <w:rPr>
          <w:b/>
          <w:bCs/>
        </w:rPr>
      </w:pPr>
      <w:r w:rsidRPr="000C6195">
        <w:rPr>
          <w:rFonts w:hint="eastAsia"/>
          <w:b/>
          <w:bCs/>
        </w:rPr>
        <w:t>O</w:t>
      </w:r>
      <w:r w:rsidRPr="000C6195">
        <w:rPr>
          <w:b/>
          <w:bCs/>
        </w:rPr>
        <w:t>utput</w:t>
      </w:r>
    </w:p>
    <w:p w14:paraId="367E05B1" w14:textId="77777777" w:rsidR="00764783" w:rsidRDefault="00764783">
      <w:pPr>
        <w:pStyle w:val="p2"/>
        <w:numPr>
          <w:ilvl w:val="0"/>
          <w:numId w:val="10"/>
        </w:numPr>
      </w:pPr>
      <w:r>
        <w:t>One equity-adjusted demand weight for each LSOA under every α scenario.</w:t>
      </w:r>
    </w:p>
    <w:p w14:paraId="1BAD2BAC" w14:textId="77777777" w:rsidR="00764783" w:rsidRDefault="00764783">
      <w:pPr>
        <w:pStyle w:val="p2"/>
        <w:numPr>
          <w:ilvl w:val="0"/>
          <w:numId w:val="10"/>
        </w:numPr>
      </w:pPr>
      <w:r>
        <w:t xml:space="preserve">Scenario summaries showing how total </w:t>
      </w:r>
      <w:proofErr w:type="spellStart"/>
      <w:r>
        <w:t>recognised</w:t>
      </w:r>
      <w:proofErr w:type="spellEnd"/>
      <w:r>
        <w:t xml:space="preserve"> demand and its spatial distribution change as deprivation weighting becomes stronger.</w:t>
      </w:r>
    </w:p>
    <w:p w14:paraId="0BDD045F" w14:textId="5D712D30" w:rsidR="00764783" w:rsidRDefault="00764783">
      <w:pPr>
        <w:pStyle w:val="p2"/>
        <w:numPr>
          <w:ilvl w:val="0"/>
          <w:numId w:val="10"/>
        </w:numPr>
      </w:pPr>
      <w:r>
        <w:t>These weights enter the Phase 3 p-median model.</w:t>
      </w:r>
    </w:p>
    <w:p w14:paraId="6C4E8303" w14:textId="77777777" w:rsidR="00E729DA" w:rsidRPr="00E729DA" w:rsidRDefault="00E729DA" w:rsidP="009B5CEA">
      <w:pPr>
        <w:pStyle w:val="p2"/>
      </w:pPr>
    </w:p>
    <w:p w14:paraId="6A4BDAA1" w14:textId="1DF96270" w:rsidR="008234A8" w:rsidRPr="008234A8" w:rsidRDefault="008234A8" w:rsidP="008234A8">
      <w:pPr>
        <w:pStyle w:val="p2"/>
        <w:rPr>
          <w:b/>
          <w:bCs/>
        </w:rPr>
      </w:pPr>
      <w:r w:rsidRPr="008234A8">
        <w:rPr>
          <w:b/>
          <w:bCs/>
        </w:rPr>
        <w:t>3.</w:t>
      </w:r>
      <w:r w:rsidR="00A363F3">
        <w:rPr>
          <w:rFonts w:hint="eastAsia"/>
          <w:b/>
          <w:bCs/>
        </w:rPr>
        <w:t>3</w:t>
      </w:r>
      <w:r w:rsidRPr="008234A8">
        <w:rPr>
          <w:b/>
          <w:bCs/>
        </w:rPr>
        <w:t>.2 Phase 2: Existing Provision</w:t>
      </w:r>
      <w:r>
        <w:rPr>
          <w:rFonts w:hint="eastAsia"/>
          <w:b/>
          <w:bCs/>
        </w:rPr>
        <w:t xml:space="preserve"> and</w:t>
      </w:r>
      <w:r>
        <w:rPr>
          <w:b/>
          <w:bCs/>
        </w:rPr>
        <w:t xml:space="preserve"> </w:t>
      </w:r>
      <w:proofErr w:type="spellStart"/>
      <w:r w:rsidRPr="008234A8">
        <w:rPr>
          <w:b/>
          <w:bCs/>
        </w:rPr>
        <w:t>Utilisation</w:t>
      </w:r>
      <w:proofErr w:type="spellEnd"/>
    </w:p>
    <w:p w14:paraId="7B0F3B03" w14:textId="77777777" w:rsidR="008234A8" w:rsidRPr="000C6195" w:rsidRDefault="008234A8" w:rsidP="008234A8">
      <w:pPr>
        <w:pStyle w:val="p2"/>
        <w:rPr>
          <w:b/>
          <w:bCs/>
        </w:rPr>
      </w:pPr>
      <w:r w:rsidRPr="000C6195">
        <w:rPr>
          <w:b/>
          <w:bCs/>
        </w:rPr>
        <w:t>Purpose</w:t>
      </w:r>
    </w:p>
    <w:p w14:paraId="4B9E09DE" w14:textId="77777777" w:rsidR="00E729DA" w:rsidRDefault="00E729DA">
      <w:pPr>
        <w:pStyle w:val="p2"/>
        <w:numPr>
          <w:ilvl w:val="0"/>
          <w:numId w:val="4"/>
        </w:numPr>
      </w:pPr>
      <w:r>
        <w:t>Measure the quantity and observed use of existing on-street charging infrastructure.</w:t>
      </w:r>
    </w:p>
    <w:p w14:paraId="08ED625E" w14:textId="77777777" w:rsidR="00E729DA" w:rsidRDefault="00E729DA">
      <w:pPr>
        <w:pStyle w:val="p2"/>
        <w:numPr>
          <w:ilvl w:val="0"/>
          <w:numId w:val="4"/>
        </w:numPr>
      </w:pPr>
      <w:r>
        <w:t xml:space="preserve">Construct the </w:t>
      </w:r>
      <w:proofErr w:type="spellStart"/>
      <w:r>
        <w:t>utilisation</w:t>
      </w:r>
      <w:proofErr w:type="spellEnd"/>
      <w:r>
        <w:t xml:space="preserve"> variable required by the Phase 1 demand formula.</w:t>
      </w:r>
    </w:p>
    <w:p w14:paraId="2760BF59" w14:textId="15E36606" w:rsidR="00E729DA" w:rsidRDefault="00E729DA">
      <w:pPr>
        <w:pStyle w:val="p2"/>
        <w:numPr>
          <w:ilvl w:val="0"/>
          <w:numId w:val="4"/>
        </w:numPr>
      </w:pPr>
      <w:r>
        <w:t>Identify spatial mismatches between estimated demand and current effective provision.</w:t>
      </w:r>
    </w:p>
    <w:p w14:paraId="23182201" w14:textId="77777777" w:rsidR="00E729DA" w:rsidRDefault="00E729DA" w:rsidP="008234A8">
      <w:pPr>
        <w:pStyle w:val="p2"/>
      </w:pPr>
    </w:p>
    <w:p w14:paraId="64DEAF3A" w14:textId="77777777" w:rsidR="00E729DA" w:rsidRPr="00E729DA" w:rsidRDefault="00E729DA" w:rsidP="00E729DA">
      <w:pPr>
        <w:pStyle w:val="p2"/>
        <w:rPr>
          <w:b/>
          <w:bCs/>
        </w:rPr>
      </w:pPr>
      <w:r w:rsidRPr="00E729DA">
        <w:rPr>
          <w:b/>
          <w:bCs/>
        </w:rPr>
        <w:t>Step 1: Existing provision</w:t>
      </w:r>
    </w:p>
    <w:p w14:paraId="4DF529E6" w14:textId="447A41EA" w:rsidR="00E729DA" w:rsidRPr="00E729DA" w:rsidRDefault="00000000" w:rsidP="00E729DA">
      <w:pPr>
        <w:pStyle w:val="p2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number of registered on-street charging locations in LSOA </m:t>
          </m:r>
          <m:r>
            <w:rPr>
              <w:rFonts w:ascii="Cambria Math" w:hAnsi="Cambria Math"/>
            </w:rPr>
            <m:t>i</m:t>
          </m:r>
        </m:oMath>
      </m:oMathPara>
    </w:p>
    <w:p w14:paraId="515530A0" w14:textId="77777777" w:rsidR="00E729DA" w:rsidRPr="00E729DA" w:rsidRDefault="00E729DA">
      <w:pPr>
        <w:pStyle w:val="p2"/>
        <w:numPr>
          <w:ilvl w:val="0"/>
          <w:numId w:val="11"/>
        </w:numPr>
      </w:pPr>
      <w:r w:rsidRPr="00E729DA">
        <w:t>Provision is counted at the charging-location level rather than by device, EVSE or connector.</w:t>
      </w:r>
    </w:p>
    <w:p w14:paraId="4C373C52" w14:textId="77777777" w:rsidR="00E729DA" w:rsidRPr="00E729DA" w:rsidRDefault="00E729DA">
      <w:pPr>
        <w:pStyle w:val="p2"/>
        <w:numPr>
          <w:ilvl w:val="0"/>
          <w:numId w:val="11"/>
        </w:numPr>
      </w:pPr>
      <w:r w:rsidRPr="00E729DA">
        <w:rPr>
          <w:b/>
          <w:bCs/>
        </w:rPr>
        <w:t>Rationale:</w:t>
      </w:r>
      <w:r w:rsidRPr="00E729DA">
        <w:t> existing and additional provision must use the same planning unit.</w:t>
      </w:r>
    </w:p>
    <w:p w14:paraId="1428F022" w14:textId="6572995B" w:rsidR="00E729DA" w:rsidRPr="00E729DA" w:rsidRDefault="00000000">
      <w:pPr>
        <w:pStyle w:val="p2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=0</m:t>
        </m:r>
      </m:oMath>
      <w:r w:rsidR="00E729DA" w:rsidRPr="00E729DA">
        <w:t> indicates no registered on-street location, not an absence of charging demand.</w:t>
      </w:r>
    </w:p>
    <w:p w14:paraId="37D9BAB9" w14:textId="5748CC3D" w:rsidR="008234A8" w:rsidRPr="000C6195" w:rsidRDefault="000C6195" w:rsidP="008234A8">
      <w:pPr>
        <w:pStyle w:val="p2"/>
        <w:rPr>
          <w:b/>
          <w:bCs/>
        </w:rPr>
      </w:pPr>
      <w:r w:rsidRPr="000C6195">
        <w:rPr>
          <w:b/>
          <w:bCs/>
        </w:rPr>
        <w:t xml:space="preserve">Step 2: </w:t>
      </w:r>
      <w:proofErr w:type="spellStart"/>
      <w:r w:rsidRPr="000C6195">
        <w:rPr>
          <w:b/>
          <w:bCs/>
        </w:rPr>
        <w:t>Realised</w:t>
      </w:r>
      <w:proofErr w:type="spellEnd"/>
      <w:r w:rsidRPr="000C6195">
        <w:rPr>
          <w:b/>
          <w:bCs/>
        </w:rPr>
        <w:t xml:space="preserve"> </w:t>
      </w:r>
      <w:proofErr w:type="spellStart"/>
      <w:r w:rsidRPr="000C6195">
        <w:rPr>
          <w:b/>
          <w:bCs/>
        </w:rPr>
        <w:t>utilisation</w:t>
      </w:r>
      <w:proofErr w:type="spellEnd"/>
      <w:r w:rsidRPr="000C6195">
        <w:rPr>
          <w:b/>
          <w:bCs/>
        </w:rPr>
        <w:t xml:space="preserve"> per EVSE</w:t>
      </w:r>
      <w:r w:rsidR="008234A8" w:rsidRPr="000C6195">
        <w:rPr>
          <w:b/>
          <w:bCs/>
        </w:rPr>
        <w:t xml:space="preserve"> (</w:t>
      </w:r>
      <w:r w:rsidR="00097E88">
        <w:rPr>
          <w:rFonts w:hint="eastAsia"/>
          <w:b/>
          <w:bCs/>
        </w:rPr>
        <w:t>u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</m:oMath>
      <w:r w:rsidR="008234A8" w:rsidRPr="000C6195">
        <w:rPr>
          <w:b/>
          <w:bCs/>
        </w:rPr>
        <w:t>)</w:t>
      </w:r>
    </w:p>
    <w:p w14:paraId="4C7680DC" w14:textId="523A4E2F" w:rsidR="0021535C" w:rsidRDefault="0021535C">
      <w:pPr>
        <w:pStyle w:val="p2"/>
        <w:numPr>
          <w:ilvl w:val="0"/>
          <w:numId w:val="5"/>
        </w:numPr>
      </w:pPr>
      <w:r w:rsidRPr="0021535C">
        <w:t xml:space="preserve">The observation window covers September 2025, comprising </w:t>
      </w:r>
      <w:r w:rsidR="00D335D0">
        <w:rPr>
          <w:rFonts w:hint="eastAsia"/>
        </w:rPr>
        <w:t>3</w:t>
      </w:r>
      <m:oMath>
        <m:r>
          <m:rPr>
            <m:sty m:val="p"/>
          </m:rPr>
          <w:rPr>
            <w:rFonts w:ascii="Cambria Math" w:hAnsi="Cambria Math"/>
          </w:rPr>
          <m:t>0 days × 24h × 60min</m:t>
        </m:r>
      </m:oMath>
      <w:r w:rsidR="00D335D0" w:rsidRPr="0021535C">
        <w:t xml:space="preserve"> </w:t>
      </w:r>
      <w:r w:rsidR="00D335D0">
        <w:rPr>
          <w:rFonts w:hint="eastAsia"/>
        </w:rPr>
        <w:t xml:space="preserve">= </w:t>
      </w:r>
      <w:r w:rsidRPr="0021535C">
        <w:t>43,200 minutes.</w:t>
      </w:r>
    </w:p>
    <w:p w14:paraId="48D9D352" w14:textId="22D694DC" w:rsidR="0021535C" w:rsidRPr="0021535C" w:rsidRDefault="0021535C">
      <w:pPr>
        <w:pStyle w:val="p2"/>
        <w:numPr>
          <w:ilvl w:val="0"/>
          <w:numId w:val="5"/>
        </w:numPr>
      </w:pPr>
      <w:r w:rsidRPr="0021535C">
        <w:t>For each EVSE </w:t>
      </w:r>
      <m:oMath>
        <m:r>
          <w:rPr>
            <w:rFonts w:ascii="Cambria Math" w:hAnsi="Cambria Math"/>
          </w:rPr>
          <m:t>j</m:t>
        </m:r>
      </m:oMath>
      <w:r w:rsidRPr="0021535C">
        <w:t>, all recorded sessions are restricted to the observation window.</w:t>
      </w:r>
    </w:p>
    <w:p w14:paraId="4ED526B3" w14:textId="727EF1E2" w:rsidR="0021535C" w:rsidRDefault="0021535C">
      <w:pPr>
        <w:pStyle w:val="p2"/>
        <w:numPr>
          <w:ilvl w:val="0"/>
          <w:numId w:val="5"/>
        </w:numPr>
      </w:pPr>
      <w:proofErr w:type="spellStart"/>
      <w:r w:rsidRPr="0021535C">
        <w:t>Realised</w:t>
      </w:r>
      <w:proofErr w:type="spellEnd"/>
      <w:r w:rsidRPr="0021535C">
        <w:t xml:space="preserve"> </w:t>
      </w:r>
      <w:proofErr w:type="spellStart"/>
      <w:r w:rsidRPr="0021535C">
        <w:t>utilisation</w:t>
      </w:r>
      <w:proofErr w:type="spellEnd"/>
      <w:r w:rsidRPr="0021535C">
        <w:t xml:space="preserve"> is calculated </w:t>
      </w:r>
      <w:r>
        <w:rPr>
          <w:rFonts w:hint="eastAsia"/>
        </w:rPr>
        <w:t>as</w:t>
      </w:r>
      <w:r>
        <w:t>:</w:t>
      </w:r>
    </w:p>
    <w:p w14:paraId="1E205A7F" w14:textId="2A036EBB" w:rsidR="008234A8" w:rsidRPr="008234A8" w:rsidRDefault="008234A8" w:rsidP="00281D58">
      <w:pPr>
        <w:pStyle w:val="p2"/>
        <w:ind w:left="360"/>
        <w:jc w:val="center"/>
      </w:pPr>
      <m:oMathPara>
        <m:oMath>
          <m:r>
            <w:rPr>
              <w:rFonts w:ascii="Cambria Math" w:hAnsi="Cambria Math"/>
            </w:rPr>
            <m:t>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total occ</m:t>
              </m:r>
              <m:r>
                <w:rPr>
                  <w:rFonts w:ascii="Cambria Math" w:hAnsi="Cambria Math" w:hint="eastAsia"/>
                </w:rPr>
                <m:t>u</m:t>
              </m:r>
              <m:r>
                <w:rPr>
                  <w:rFonts w:ascii="Cambria Math" w:hAnsi="Cambria Math"/>
                </w:rPr>
                <m:t>pied minutes recorded for EVSE 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43,200 min</m:t>
              </m:r>
            </m:den>
          </m:f>
        </m:oMath>
      </m:oMathPara>
    </w:p>
    <w:p w14:paraId="7F47290C" w14:textId="5884F962" w:rsidR="00E811D1" w:rsidRPr="00E811D1" w:rsidRDefault="00E811D1">
      <w:pPr>
        <w:pStyle w:val="p2"/>
        <w:numPr>
          <w:ilvl w:val="0"/>
          <w:numId w:val="5"/>
        </w:numPr>
      </w:pPr>
      <w:r w:rsidRPr="00E811D1">
        <w:t>EVSEs registered in the infrastructure dataset but with no observed September sessions are retained with:</w:t>
      </w:r>
    </w:p>
    <w:p w14:paraId="739D3A22" w14:textId="6FC9020F" w:rsidR="008234A8" w:rsidRDefault="00000000" w:rsidP="00E811D1">
      <w:pPr>
        <w:pStyle w:val="p2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5A3C79AD" w14:textId="3BFC5E0B" w:rsidR="008234A8" w:rsidRPr="008234A8" w:rsidRDefault="00E811D1">
      <w:pPr>
        <w:pStyle w:val="p2"/>
        <w:numPr>
          <w:ilvl w:val="0"/>
          <w:numId w:val="5"/>
        </w:numPr>
      </w:pPr>
      <w:r w:rsidRPr="00E811D1">
        <w:rPr>
          <w:b/>
          <w:bCs/>
        </w:rPr>
        <w:t>Interpretation:</w:t>
      </w:r>
      <w:r w:rsidRPr="00E811D1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E811D1">
        <w:t> represents the proportion of the September observation period during which EVSE </w:t>
      </w:r>
      <m:oMath>
        <m:r>
          <w:rPr>
            <w:rFonts w:ascii="Cambria Math" w:hAnsi="Cambria Math"/>
          </w:rPr>
          <m:t>j</m:t>
        </m:r>
      </m:oMath>
      <w:r w:rsidRPr="00E811D1">
        <w:t> was occupied.</w:t>
      </w:r>
    </w:p>
    <w:p w14:paraId="1EB1BBF7" w14:textId="2760EE7C" w:rsidR="001F23E8" w:rsidRPr="001F23E8" w:rsidRDefault="001F23E8" w:rsidP="001F23E8">
      <w:pPr>
        <w:pStyle w:val="p2"/>
        <w:rPr>
          <w:b/>
          <w:bCs/>
          <w:iCs/>
        </w:rPr>
      </w:pPr>
      <w:r w:rsidRPr="001F23E8">
        <w:rPr>
          <w:b/>
          <w:bCs/>
          <w:iCs/>
        </w:rPr>
        <w:t>Step 3: Aggregation from EVSE to LSOA </w:t>
      </w:r>
      <m:oMath>
        <m:d>
          <m:dPr>
            <m:ctrlPr>
              <w:rPr>
                <w:rFonts w:ascii="Cambria Math" w:hAnsi="Cambria Math"/>
                <w:b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2384BF16" w14:textId="77777777" w:rsidR="001F23E8" w:rsidRPr="001F23E8" w:rsidRDefault="001F23E8">
      <w:pPr>
        <w:pStyle w:val="p2"/>
        <w:numPr>
          <w:ilvl w:val="0"/>
          <w:numId w:val="12"/>
        </w:numPr>
        <w:rPr>
          <w:iCs/>
        </w:rPr>
      </w:pPr>
      <w:r w:rsidRPr="001F23E8">
        <w:rPr>
          <w:iCs/>
        </w:rPr>
        <w:t xml:space="preserve">EVSE-level </w:t>
      </w:r>
      <w:proofErr w:type="spellStart"/>
      <w:r w:rsidRPr="001F23E8">
        <w:rPr>
          <w:iCs/>
        </w:rPr>
        <w:t>utilisation</w:t>
      </w:r>
      <w:proofErr w:type="spellEnd"/>
      <w:r w:rsidRPr="001F23E8">
        <w:rPr>
          <w:iCs/>
        </w:rPr>
        <w:t xml:space="preserve"> values are first averaged across all EVSEs within each charging location.</w:t>
      </w:r>
    </w:p>
    <w:p w14:paraId="36A365FE" w14:textId="287C754B" w:rsidR="001F23E8" w:rsidRPr="001F23E8" w:rsidRDefault="001F23E8">
      <w:pPr>
        <w:pStyle w:val="p2"/>
        <w:numPr>
          <w:ilvl w:val="0"/>
          <w:numId w:val="12"/>
        </w:numPr>
        <w:rPr>
          <w:iCs/>
        </w:rPr>
      </w:pPr>
      <w:r w:rsidRPr="001F23E8">
        <w:rPr>
          <w:iCs/>
        </w:rPr>
        <w:lastRenderedPageBreak/>
        <w:t>The resulting location-level means are then averaged across all on-street charging locations within LSOA 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Pr="001F23E8">
        <w:rPr>
          <w:iCs/>
        </w:rPr>
        <w:t> to obtain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1F23E8">
        <w:rPr>
          <w:iCs/>
        </w:rPr>
        <w:t>.</w:t>
      </w:r>
    </w:p>
    <w:p w14:paraId="358C8130" w14:textId="77777777" w:rsidR="001F23E8" w:rsidRPr="001F23E8" w:rsidRDefault="001F23E8">
      <w:pPr>
        <w:pStyle w:val="p2"/>
        <w:numPr>
          <w:ilvl w:val="0"/>
          <w:numId w:val="12"/>
        </w:numPr>
        <w:rPr>
          <w:iCs/>
        </w:rPr>
      </w:pPr>
      <w:r w:rsidRPr="001F23E8">
        <w:rPr>
          <w:iCs/>
        </w:rPr>
        <w:t>Zero-session EVSEs remain included in the location-level average.</w:t>
      </w:r>
    </w:p>
    <w:p w14:paraId="6A44E5F4" w14:textId="77777777" w:rsidR="001F23E8" w:rsidRPr="001F23E8" w:rsidRDefault="001F23E8">
      <w:pPr>
        <w:pStyle w:val="p2"/>
        <w:numPr>
          <w:ilvl w:val="0"/>
          <w:numId w:val="12"/>
        </w:numPr>
        <w:rPr>
          <w:iCs/>
        </w:rPr>
      </w:pPr>
      <w:r w:rsidRPr="001F23E8">
        <w:rPr>
          <w:b/>
          <w:bCs/>
          <w:iCs/>
        </w:rPr>
        <w:t>Rationale:</w:t>
      </w:r>
      <w:r w:rsidRPr="001F23E8">
        <w:rPr>
          <w:iCs/>
        </w:rPr>
        <w:t> averaging first within each location prevents locations containing more EVSEs from receiving disproportionate weight.</w:t>
      </w:r>
    </w:p>
    <w:p w14:paraId="7036A179" w14:textId="7E8F0467" w:rsidR="001F23E8" w:rsidRPr="001F23E8" w:rsidRDefault="001F23E8">
      <w:pPr>
        <w:pStyle w:val="p2"/>
        <w:numPr>
          <w:ilvl w:val="0"/>
          <w:numId w:val="12"/>
        </w:numPr>
        <w:rPr>
          <w:iCs/>
        </w:rPr>
      </w:pPr>
      <w:r w:rsidRPr="001F23E8">
        <w:rPr>
          <w:b/>
          <w:bCs/>
          <w:iCs/>
        </w:rPr>
        <w:t>Interpretation:</w:t>
      </w:r>
      <w:r w:rsidRPr="001F23E8">
        <w:rPr>
          <w:iCs/>
        </w:rPr>
        <w:t>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1F23E8">
        <w:rPr>
          <w:iCs/>
        </w:rPr>
        <w:t> represents the mean observed utilisation of an existing on-street charging location in LSOA </w:t>
      </w:r>
      <m:oMath>
        <m:r>
          <m:rPr>
            <m:sty m:val="p"/>
          </m:rPr>
          <w:rPr>
            <w:rFonts w:ascii="Cambria Math" w:hAnsi="Cambria Math"/>
          </w:rPr>
          <m:t>i</m:t>
        </m:r>
      </m:oMath>
      <w:r w:rsidRPr="001F23E8">
        <w:rPr>
          <w:iCs/>
        </w:rPr>
        <w:t>.</w:t>
      </w:r>
    </w:p>
    <w:p w14:paraId="5FE6E4AC" w14:textId="3D8E6D07" w:rsidR="001F23E8" w:rsidRPr="001F23E8" w:rsidRDefault="001F23E8" w:rsidP="001F23E8">
      <w:pPr>
        <w:pStyle w:val="p2"/>
        <w:rPr>
          <w:b/>
          <w:bCs/>
          <w:iCs/>
        </w:rPr>
      </w:pPr>
      <w:r w:rsidRPr="001F23E8">
        <w:rPr>
          <w:b/>
          <w:bCs/>
          <w:iCs/>
        </w:rPr>
        <w:t xml:space="preserve">Step 4: </w:t>
      </w:r>
      <w:proofErr w:type="spellStart"/>
      <w:r w:rsidRPr="001F23E8">
        <w:rPr>
          <w:b/>
          <w:bCs/>
          <w:iCs/>
        </w:rPr>
        <w:t>Utilisation</w:t>
      </w:r>
      <w:proofErr w:type="spellEnd"/>
      <w:r w:rsidRPr="001F23E8">
        <w:rPr>
          <w:b/>
          <w:bCs/>
          <w:iCs/>
        </w:rPr>
        <w:t>-pressure adjustment </w:t>
      </w:r>
      <m:oMath>
        <m:d>
          <m:dPr>
            <m:ctrlPr>
              <w:rPr>
                <w:rFonts w:ascii="Cambria Math" w:hAnsi="Cambria Math"/>
                <w:b/>
                <w:bCs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37DF8568" w14:textId="4BE60D90" w:rsidR="001F23E8" w:rsidRPr="001F23E8" w:rsidRDefault="00000000" w:rsidP="001F23E8">
      <w:pPr>
        <w:pStyle w:val="p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=0.</m:t>
                    </m:r>
                  </m:e>
                </m:mr>
              </m:m>
            </m:e>
          </m:d>
        </m:oMath>
      </m:oMathPara>
    </w:p>
    <w:p w14:paraId="150DC857" w14:textId="5369454B" w:rsidR="001F23E8" w:rsidRPr="001F23E8" w:rsidRDefault="00000000">
      <w:pPr>
        <w:pStyle w:val="p2"/>
        <w:numPr>
          <w:ilvl w:val="0"/>
          <w:numId w:val="13"/>
        </w:numPr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1F23E8" w:rsidRPr="001F23E8">
        <w:rPr>
          <w:iCs/>
        </w:rPr>
        <w:t> converts observed utilisation into the adjustment factor used in the Phase 1 demand formula.</w:t>
      </w:r>
    </w:p>
    <w:p w14:paraId="4CCB781D" w14:textId="66C4147D" w:rsidR="001F23E8" w:rsidRPr="001F23E8" w:rsidRDefault="001F23E8">
      <w:pPr>
        <w:pStyle w:val="p2"/>
        <w:numPr>
          <w:ilvl w:val="0"/>
          <w:numId w:val="13"/>
        </w:numPr>
        <w:rPr>
          <w:iCs/>
        </w:rPr>
      </w:pPr>
      <w:r w:rsidRPr="001F23E8">
        <w:rPr>
          <w:iCs/>
        </w:rPr>
        <w:t>Higher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F23E8">
        <w:rPr>
          <w:iCs/>
        </w:rPr>
        <w:t> produces a larger demand adjustment.</w:t>
      </w:r>
    </w:p>
    <w:p w14:paraId="1E9DE9EE" w14:textId="11F4FF4E" w:rsidR="001F23E8" w:rsidRPr="001F23E8" w:rsidRDefault="001F23E8">
      <w:pPr>
        <w:pStyle w:val="p2"/>
        <w:numPr>
          <w:ilvl w:val="0"/>
          <w:numId w:val="13"/>
        </w:numPr>
        <w:rPr>
          <w:iCs/>
        </w:rPr>
      </w:pPr>
      <w:r w:rsidRPr="001F23E8">
        <w:rPr>
          <w:iCs/>
        </w:rPr>
        <w:t xml:space="preserve">LSOAs without existing provision receive a neutral adjustment rather than being interpreted as having zero </w:t>
      </w:r>
      <w:proofErr w:type="spellStart"/>
      <w:r w:rsidRPr="001F23E8">
        <w:rPr>
          <w:iCs/>
        </w:rPr>
        <w:t>utilisation</w:t>
      </w:r>
      <w:proofErr w:type="spellEnd"/>
      <w:r w:rsidRPr="001F23E8">
        <w:rPr>
          <w:iCs/>
        </w:rPr>
        <w:t xml:space="preserve"> pressure.</w:t>
      </w:r>
    </w:p>
    <w:p w14:paraId="39F7ABEE" w14:textId="0AE67E46" w:rsidR="001F23E8" w:rsidRPr="001F23E8" w:rsidRDefault="001F23E8" w:rsidP="001F23E8">
      <w:pPr>
        <w:pStyle w:val="p2"/>
        <w:rPr>
          <w:b/>
          <w:bCs/>
          <w:iCs/>
        </w:rPr>
      </w:pPr>
      <w:r w:rsidRPr="001F23E8">
        <w:rPr>
          <w:b/>
          <w:bCs/>
          <w:iCs/>
        </w:rPr>
        <w:t>Step 5: Effective provision </w:t>
      </w:r>
      <m:oMath>
        <m:d>
          <m:dPr>
            <m:ctrlPr>
              <w:rPr>
                <w:rFonts w:ascii="Cambria Math" w:hAnsi="Cambria Math"/>
                <w:b/>
                <w:bCs/>
                <w:i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/>
                    <w:bCs/>
                    <w:iCs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eff</m:t>
                </m:r>
              </m:sup>
            </m:sSubSup>
          </m:e>
        </m:d>
      </m:oMath>
    </w:p>
    <w:p w14:paraId="6D8B9091" w14:textId="40668FAD" w:rsidR="001F23E8" w:rsidRPr="001F23E8" w:rsidRDefault="00000000" w:rsidP="001F23E8">
      <w:pPr>
        <w:pStyle w:val="p2"/>
        <w:rPr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eff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E35F2FA" w14:textId="34110117" w:rsidR="001F23E8" w:rsidRPr="001F23E8" w:rsidRDefault="00000000">
      <w:pPr>
        <w:pStyle w:val="p2"/>
        <w:numPr>
          <w:ilvl w:val="0"/>
          <w:numId w:val="14"/>
        </w:numPr>
        <w:rPr>
          <w:iCs/>
        </w:rPr>
      </w:pP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eff</m:t>
            </m:r>
          </m:sup>
        </m:sSubSup>
      </m:oMath>
      <w:r w:rsidR="001F23E8" w:rsidRPr="001F23E8">
        <w:rPr>
          <w:iCs/>
        </w:rPr>
        <w:t> combines the number of existing charging locations with their mean observed utilisation.</w:t>
      </w:r>
    </w:p>
    <w:p w14:paraId="16B734AB" w14:textId="77777777" w:rsidR="001F23E8" w:rsidRPr="001F23E8" w:rsidRDefault="001F23E8">
      <w:pPr>
        <w:pStyle w:val="p2"/>
        <w:numPr>
          <w:ilvl w:val="0"/>
          <w:numId w:val="14"/>
        </w:numPr>
        <w:rPr>
          <w:iCs/>
        </w:rPr>
      </w:pPr>
      <w:r w:rsidRPr="001F23E8">
        <w:rPr>
          <w:iCs/>
        </w:rPr>
        <w:t xml:space="preserve">Because </w:t>
      </w:r>
      <w:proofErr w:type="spellStart"/>
      <w:r w:rsidRPr="001F23E8">
        <w:rPr>
          <w:iCs/>
        </w:rPr>
        <w:t>utilisation</w:t>
      </w:r>
      <w:proofErr w:type="spellEnd"/>
      <w:r w:rsidRPr="001F23E8">
        <w:rPr>
          <w:iCs/>
        </w:rPr>
        <w:t xml:space="preserve"> is averaged at location level before aggregation, locations containing more EVSEs do not receive disproportionate weight.</w:t>
      </w:r>
    </w:p>
    <w:p w14:paraId="0D6C416A" w14:textId="5AECF385" w:rsidR="001F23E8" w:rsidRPr="001F23E8" w:rsidRDefault="001F23E8">
      <w:pPr>
        <w:pStyle w:val="p2"/>
        <w:numPr>
          <w:ilvl w:val="0"/>
          <w:numId w:val="14"/>
        </w:numPr>
        <w:rPr>
          <w:iCs/>
        </w:rPr>
      </w:pPr>
      <w:r w:rsidRPr="001F23E8">
        <w:rPr>
          <w:b/>
          <w:bCs/>
          <w:iCs/>
        </w:rPr>
        <w:t>Interpretation:</w:t>
      </w:r>
      <w:r w:rsidRPr="001F23E8">
        <w:rPr>
          <w:iCs/>
        </w:rPr>
        <w:t>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eff</m:t>
            </m:r>
          </m:sup>
        </m:sSubSup>
      </m:oMath>
      <w:r w:rsidRPr="001F23E8">
        <w:rPr>
          <w:iCs/>
        </w:rPr>
        <w:t> is a utilisation-weighted indicator of existing provision, not a direct measure of electrical capacity.</w:t>
      </w:r>
    </w:p>
    <w:p w14:paraId="01F2406A" w14:textId="77777777" w:rsidR="00224FD7" w:rsidRPr="00224FD7" w:rsidRDefault="00224FD7" w:rsidP="00224FD7">
      <w:pPr>
        <w:pStyle w:val="p2"/>
        <w:rPr>
          <w:b/>
          <w:bCs/>
          <w:iCs/>
        </w:rPr>
      </w:pPr>
      <w:r w:rsidRPr="00224FD7">
        <w:rPr>
          <w:b/>
          <w:bCs/>
          <w:iCs/>
        </w:rPr>
        <w:t>Step 6: Demand–provision mismatch</w:t>
      </w:r>
    </w:p>
    <w:p w14:paraId="459DDF6D" w14:textId="583EE968" w:rsidR="00224FD7" w:rsidRPr="00224FD7" w:rsidRDefault="00224FD7">
      <w:pPr>
        <w:pStyle w:val="p2"/>
        <w:numPr>
          <w:ilvl w:val="0"/>
          <w:numId w:val="15"/>
        </w:numPr>
        <w:rPr>
          <w:iCs/>
        </w:rPr>
      </w:pPr>
      <w:r w:rsidRPr="00224FD7">
        <w:rPr>
          <w:iCs/>
        </w:rPr>
        <w:t>Compare estimated demand with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24FD7">
        <w:rPr>
          <w:iCs/>
        </w:rPr>
        <w:t>, 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24FD7">
        <w:rPr>
          <w:iCs/>
        </w:rPr>
        <w:t> and 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eff</m:t>
            </m:r>
          </m:sup>
        </m:sSubSup>
      </m:oMath>
      <w:r w:rsidRPr="00224FD7">
        <w:rPr>
          <w:iCs/>
        </w:rPr>
        <w:t>.</w:t>
      </w:r>
    </w:p>
    <w:p w14:paraId="549125ED" w14:textId="77777777" w:rsidR="00224FD7" w:rsidRPr="00224FD7" w:rsidRDefault="00224FD7">
      <w:pPr>
        <w:pStyle w:val="p2"/>
        <w:numPr>
          <w:ilvl w:val="0"/>
          <w:numId w:val="15"/>
        </w:numPr>
        <w:rPr>
          <w:iCs/>
        </w:rPr>
      </w:pPr>
      <w:r w:rsidRPr="00224FD7">
        <w:rPr>
          <w:iCs/>
        </w:rPr>
        <w:t>Distinguish between:</w:t>
      </w:r>
    </w:p>
    <w:p w14:paraId="5F68D0F5" w14:textId="77777777" w:rsidR="00224FD7" w:rsidRPr="00224FD7" w:rsidRDefault="00224FD7">
      <w:pPr>
        <w:pStyle w:val="p2"/>
        <w:numPr>
          <w:ilvl w:val="1"/>
          <w:numId w:val="15"/>
        </w:numPr>
        <w:rPr>
          <w:iCs/>
        </w:rPr>
      </w:pPr>
      <w:r w:rsidRPr="00224FD7">
        <w:rPr>
          <w:iCs/>
        </w:rPr>
        <w:t>LSOAs with estimated demand but no existing provision;</w:t>
      </w:r>
    </w:p>
    <w:p w14:paraId="53253B5E" w14:textId="77777777" w:rsidR="00224FD7" w:rsidRPr="00224FD7" w:rsidRDefault="00224FD7">
      <w:pPr>
        <w:pStyle w:val="p2"/>
        <w:numPr>
          <w:ilvl w:val="1"/>
          <w:numId w:val="15"/>
        </w:numPr>
        <w:rPr>
          <w:iCs/>
        </w:rPr>
      </w:pPr>
      <w:r w:rsidRPr="00224FD7">
        <w:rPr>
          <w:iCs/>
        </w:rPr>
        <w:t xml:space="preserve">LSOAs with existing provision and relatively high </w:t>
      </w:r>
      <w:proofErr w:type="spellStart"/>
      <w:r w:rsidRPr="00224FD7">
        <w:rPr>
          <w:iCs/>
        </w:rPr>
        <w:t>utilisation</w:t>
      </w:r>
      <w:proofErr w:type="spellEnd"/>
      <w:r w:rsidRPr="00224FD7">
        <w:rPr>
          <w:iCs/>
        </w:rPr>
        <w:t>;</w:t>
      </w:r>
    </w:p>
    <w:p w14:paraId="5663625C" w14:textId="77777777" w:rsidR="00224FD7" w:rsidRPr="00224FD7" w:rsidRDefault="00224FD7">
      <w:pPr>
        <w:pStyle w:val="p2"/>
        <w:numPr>
          <w:ilvl w:val="1"/>
          <w:numId w:val="15"/>
        </w:numPr>
        <w:rPr>
          <w:iCs/>
        </w:rPr>
      </w:pPr>
      <w:r w:rsidRPr="00224FD7">
        <w:rPr>
          <w:iCs/>
        </w:rPr>
        <w:t>LSOAs with existing but lightly used provision.</w:t>
      </w:r>
    </w:p>
    <w:p w14:paraId="3DC13BC3" w14:textId="77777777" w:rsidR="00224FD7" w:rsidRPr="00224FD7" w:rsidRDefault="00224FD7">
      <w:pPr>
        <w:pStyle w:val="p2"/>
        <w:numPr>
          <w:ilvl w:val="0"/>
          <w:numId w:val="15"/>
        </w:numPr>
        <w:rPr>
          <w:iCs/>
        </w:rPr>
      </w:pPr>
      <w:r w:rsidRPr="00224FD7">
        <w:rPr>
          <w:iCs/>
        </w:rPr>
        <w:t>Examine whether these patterns vary with income deprivation.</w:t>
      </w:r>
    </w:p>
    <w:p w14:paraId="391E8799" w14:textId="77777777" w:rsidR="00224FD7" w:rsidRPr="00224FD7" w:rsidRDefault="00224FD7">
      <w:pPr>
        <w:pStyle w:val="p2"/>
        <w:numPr>
          <w:ilvl w:val="0"/>
          <w:numId w:val="15"/>
        </w:numPr>
        <w:rPr>
          <w:iCs/>
        </w:rPr>
      </w:pPr>
      <w:r w:rsidRPr="00224FD7">
        <w:rPr>
          <w:b/>
          <w:bCs/>
          <w:iCs/>
        </w:rPr>
        <w:t>Purpose:</w:t>
      </w:r>
      <w:r w:rsidRPr="00224FD7">
        <w:rPr>
          <w:iCs/>
        </w:rPr>
        <w:t> identify different forms of spatial mismatch before the p-median model determines how additional provision should be allocated.</w:t>
      </w:r>
    </w:p>
    <w:p w14:paraId="53EBD816" w14:textId="77777777" w:rsidR="008573F4" w:rsidRDefault="008573F4" w:rsidP="006924FB">
      <w:pPr>
        <w:pStyle w:val="p1"/>
        <w:rPr>
          <w:b/>
          <w:bCs/>
        </w:rPr>
      </w:pPr>
    </w:p>
    <w:p w14:paraId="5F6D3128" w14:textId="4A31FFEE" w:rsidR="003A14C0" w:rsidRPr="003A14C0" w:rsidRDefault="003A14C0" w:rsidP="003A14C0">
      <w:pPr>
        <w:pStyle w:val="p1"/>
        <w:rPr>
          <w:b/>
          <w:bCs/>
        </w:rPr>
      </w:pPr>
      <w:r w:rsidRPr="003A14C0">
        <w:rPr>
          <w:b/>
          <w:bCs/>
        </w:rPr>
        <w:t>3.</w:t>
      </w:r>
      <w:r w:rsidR="00A363F3">
        <w:rPr>
          <w:rFonts w:hint="eastAsia"/>
          <w:b/>
          <w:bCs/>
        </w:rPr>
        <w:t>3</w:t>
      </w:r>
      <w:r w:rsidRPr="003A14C0">
        <w:rPr>
          <w:b/>
          <w:bCs/>
        </w:rPr>
        <w:t>.3 Phase 3: P-Median Location-Allocation Model</w:t>
      </w:r>
    </w:p>
    <w:p w14:paraId="5AFF44BA" w14:textId="77777777" w:rsidR="003A14C0" w:rsidRPr="003A14C0" w:rsidRDefault="003A14C0" w:rsidP="003A14C0">
      <w:pPr>
        <w:pStyle w:val="p1"/>
      </w:pPr>
      <w:r w:rsidRPr="003A14C0">
        <w:t>Purpose</w:t>
      </w:r>
    </w:p>
    <w:p w14:paraId="0DFC7E0C" w14:textId="659BF073" w:rsidR="003A14C0" w:rsidRPr="003A14C0" w:rsidRDefault="003A14C0">
      <w:pPr>
        <w:pStyle w:val="p1"/>
        <w:numPr>
          <w:ilvl w:val="0"/>
          <w:numId w:val="16"/>
        </w:numPr>
      </w:pPr>
      <w:r w:rsidRPr="003A14C0">
        <w:lastRenderedPageBreak/>
        <w:t xml:space="preserve">Determine how many additional public charging </w:t>
      </w:r>
      <w:r w:rsidR="001C0641">
        <w:t>locations</w:t>
      </w:r>
      <w:r w:rsidRPr="003A14C0">
        <w:t xml:space="preserve"> should be allocated to each Greater London LSOA under each income-deprivation-weighting scenario.</w:t>
      </w:r>
    </w:p>
    <w:p w14:paraId="2A7C4A1C" w14:textId="15084819" w:rsidR="003A14C0" w:rsidRPr="003A14C0" w:rsidRDefault="003A14C0">
      <w:pPr>
        <w:pStyle w:val="p1"/>
        <w:numPr>
          <w:ilvl w:val="0"/>
          <w:numId w:val="16"/>
        </w:numPr>
      </w:pPr>
      <w:r w:rsidRPr="003A14C0">
        <w:t>Convert the equity-adjusted demand weights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Pr="003A14C0">
        <w:t> from Phase 1 and the existing provision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3A14C0">
        <w:t xml:space="preserve"> from Phase 2 into a spatial allocation of additional </w:t>
      </w:r>
      <w:r w:rsidR="00AC62CD">
        <w:t>infrastructure</w:t>
      </w:r>
      <w:r w:rsidRPr="003A14C0">
        <w:t>.</w:t>
      </w:r>
    </w:p>
    <w:p w14:paraId="7D33CD0A" w14:textId="4BEFF3A8" w:rsidR="003A14C0" w:rsidRPr="003A14C0" w:rsidRDefault="003A14C0">
      <w:pPr>
        <w:pStyle w:val="p1"/>
        <w:numPr>
          <w:ilvl w:val="0"/>
          <w:numId w:val="16"/>
        </w:numPr>
      </w:pPr>
      <w:proofErr w:type="spellStart"/>
      <w:r w:rsidRPr="003A14C0">
        <w:t>Minimise</w:t>
      </w:r>
      <w:proofErr w:type="spellEnd"/>
      <w:r w:rsidRPr="003A14C0">
        <w:t xml:space="preserve"> the demand-weighted distance between LSOAs generating charging demand and LSOAs receiving charging </w:t>
      </w:r>
      <w:r w:rsidR="00AC62CD">
        <w:t>provision</w:t>
      </w:r>
      <w:r w:rsidRPr="003A14C0">
        <w:t>.</w:t>
      </w:r>
    </w:p>
    <w:p w14:paraId="36A986DA" w14:textId="77777777" w:rsidR="003A14C0" w:rsidRPr="003A14C0" w:rsidRDefault="003A14C0" w:rsidP="003A14C0">
      <w:pPr>
        <w:pStyle w:val="p1"/>
        <w:rPr>
          <w:b/>
          <w:bCs/>
        </w:rPr>
      </w:pPr>
      <w:r w:rsidRPr="003A14C0">
        <w:rPr>
          <w:b/>
          <w:bCs/>
        </w:rPr>
        <w:t>Why p-median?</w:t>
      </w:r>
    </w:p>
    <w:p w14:paraId="20A736DC" w14:textId="77777777" w:rsidR="003A14C0" w:rsidRPr="003A14C0" w:rsidRDefault="003A14C0">
      <w:pPr>
        <w:pStyle w:val="p1"/>
        <w:numPr>
          <w:ilvl w:val="0"/>
          <w:numId w:val="17"/>
        </w:numPr>
      </w:pPr>
      <w:r w:rsidRPr="003A14C0">
        <w:t xml:space="preserve">The p-median model is designed to locate a fixed amount of infrastructure so that the total demand-weighted distance between demand and provision is </w:t>
      </w:r>
      <w:proofErr w:type="spellStart"/>
      <w:r w:rsidRPr="003A14C0">
        <w:t>minimised</w:t>
      </w:r>
      <w:proofErr w:type="spellEnd"/>
      <w:r w:rsidRPr="003A14C0">
        <w:t>.</w:t>
      </w:r>
    </w:p>
    <w:p w14:paraId="49F04B58" w14:textId="77777777" w:rsidR="003A14C0" w:rsidRPr="003A14C0" w:rsidRDefault="003A14C0">
      <w:pPr>
        <w:pStyle w:val="p1"/>
        <w:numPr>
          <w:ilvl w:val="0"/>
          <w:numId w:val="17"/>
        </w:numPr>
      </w:pPr>
      <w:r w:rsidRPr="003A14C0">
        <w:t>This is appropriate because the study evaluates spatial accessibility continuously through distance, rather than classifying demand as either covered or uncovered using a single threshold.</w:t>
      </w:r>
    </w:p>
    <w:p w14:paraId="22875C5E" w14:textId="77777777" w:rsidR="003A14C0" w:rsidRPr="003A14C0" w:rsidRDefault="003A14C0">
      <w:pPr>
        <w:pStyle w:val="p1"/>
        <w:numPr>
          <w:ilvl w:val="0"/>
          <w:numId w:val="17"/>
        </w:numPr>
      </w:pPr>
      <w:r w:rsidRPr="003A14C0">
        <w:t xml:space="preserve">Unlike a maximum covering location problem, which </w:t>
      </w:r>
      <w:proofErr w:type="spellStart"/>
      <w:r w:rsidRPr="003A14C0">
        <w:t>maximises</w:t>
      </w:r>
      <w:proofErr w:type="spellEnd"/>
      <w:r w:rsidRPr="003A14C0">
        <w:t xml:space="preserve"> the amount of demand within a predefined service radius, p-median identifies the allocation that produces the lowest overall travel burden across all demand nodes.</w:t>
      </w:r>
    </w:p>
    <w:p w14:paraId="3DEF3D1E" w14:textId="231B176B" w:rsidR="003A14C0" w:rsidRPr="003A14C0" w:rsidRDefault="003A14C0">
      <w:pPr>
        <w:pStyle w:val="p1"/>
        <w:numPr>
          <w:ilvl w:val="0"/>
          <w:numId w:val="17"/>
        </w:numPr>
      </w:pPr>
      <w:r w:rsidRPr="003A14C0">
        <w:t>Previous EV charging research has shown that p-median can improve distance efficiency but may give less priority to low-demand areas. In this study, this limitation is addressed transparently through the equity-adjusted demand weight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Pr="003A14C0">
        <w:t>.</w:t>
      </w:r>
    </w:p>
    <w:p w14:paraId="1E087FDE" w14:textId="3A8EC8AC" w:rsidR="003A14C0" w:rsidRDefault="003A14C0">
      <w:pPr>
        <w:pStyle w:val="p1"/>
        <w:numPr>
          <w:ilvl w:val="0"/>
          <w:numId w:val="17"/>
        </w:numPr>
      </w:pPr>
      <w:r w:rsidRPr="003A14C0">
        <w:t>When </w:t>
      </w:r>
      <m:oMath>
        <m:r>
          <w:rPr>
            <w:rFonts w:ascii="Cambria Math" w:hAnsi="Cambria Math"/>
          </w:rPr>
          <m:t>α&gt;0</m:t>
        </m:r>
      </m:oMath>
      <w:r w:rsidRPr="003A14C0">
        <w:t>, more income-deprived LSOAs receive larger demand weights. The model therefore incurs a greater penalty when their demand is assigned to distant charging capacity.</w:t>
      </w:r>
    </w:p>
    <w:p w14:paraId="71FFDDE8" w14:textId="77777777" w:rsidR="00220E23" w:rsidRDefault="00220E23" w:rsidP="00220E23">
      <w:pPr>
        <w:pStyle w:val="p1"/>
      </w:pPr>
    </w:p>
    <w:p w14:paraId="2B4ED287" w14:textId="77777777" w:rsidR="00220E23" w:rsidRPr="00220E23" w:rsidRDefault="00220E23" w:rsidP="00220E23">
      <w:pPr>
        <w:pStyle w:val="p1"/>
        <w:rPr>
          <w:b/>
          <w:bCs/>
        </w:rPr>
      </w:pPr>
      <w:r w:rsidRPr="00220E23">
        <w:rPr>
          <w:b/>
          <w:bCs/>
        </w:rPr>
        <w:t>Model type and solution approach</w:t>
      </w:r>
    </w:p>
    <w:p w14:paraId="09EF5B37" w14:textId="00A34A52" w:rsidR="00220E23" w:rsidRPr="00220E23" w:rsidRDefault="00220E23">
      <w:pPr>
        <w:pStyle w:val="p1"/>
        <w:numPr>
          <w:ilvl w:val="0"/>
          <w:numId w:val="23"/>
        </w:numPr>
      </w:pPr>
      <w:r w:rsidRPr="00220E23">
        <w:t>Formulate the p-median extension as a Mixed-Integer Linear Program</w:t>
      </w:r>
      <w:r>
        <w:rPr>
          <w:rFonts w:hint="eastAsia"/>
        </w:rPr>
        <w:t>（</w:t>
      </w:r>
      <w:r>
        <w:rPr>
          <w:rFonts w:hint="eastAsia"/>
        </w:rPr>
        <w:t>MILP</w:t>
      </w:r>
      <w:r>
        <w:rPr>
          <w:rFonts w:hint="eastAsia"/>
        </w:rPr>
        <w:t>）</w:t>
      </w:r>
      <w:r w:rsidRPr="00220E23">
        <w:t>.</w:t>
      </w:r>
    </w:p>
    <w:p w14:paraId="3E8AFC1C" w14:textId="77777777" w:rsidR="00220E23" w:rsidRPr="00220E23" w:rsidRDefault="00220E23">
      <w:pPr>
        <w:pStyle w:val="p1"/>
        <w:numPr>
          <w:ilvl w:val="0"/>
          <w:numId w:val="23"/>
        </w:numPr>
      </w:pPr>
      <w:r w:rsidRPr="00220E23">
        <w:t>Distinguish fixed model inputs from solver-determined decision variables.</w:t>
      </w:r>
    </w:p>
    <w:p w14:paraId="74F6A1AC" w14:textId="31CA2E9B" w:rsidR="00220E23" w:rsidRPr="00220E23" w:rsidRDefault="00220E23">
      <w:pPr>
        <w:pStyle w:val="p1"/>
        <w:numPr>
          <w:ilvl w:val="0"/>
          <w:numId w:val="23"/>
        </w:numPr>
      </w:pPr>
      <w:r w:rsidRPr="00220E23">
        <w:t>Explain that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20E23">
        <w:t> is integer, whereas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220E23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20E23">
        <w:t> are continuous.</w:t>
      </w:r>
    </w:p>
    <w:p w14:paraId="34A54C14" w14:textId="7CCEF406" w:rsidR="00220E23" w:rsidRPr="00220E23" w:rsidRDefault="00220E23">
      <w:pPr>
        <w:pStyle w:val="p1"/>
        <w:numPr>
          <w:ilvl w:val="0"/>
          <w:numId w:val="23"/>
        </w:numPr>
      </w:pPr>
      <w:r w:rsidRPr="00220E23">
        <w:t>Clarify that all objective and constraint expressions remain linear, with </w:t>
      </w:r>
      <m:oMath>
        <m:r>
          <w:rPr>
            <w:rFonts w:ascii="Cambria Math" w:hAnsi="Cambria Math"/>
          </w:rPr>
          <m:t>K</m:t>
        </m:r>
      </m:oMath>
      <w:r w:rsidRPr="00220E23">
        <w:t> fixed for each model run.</w:t>
      </w:r>
    </w:p>
    <w:p w14:paraId="44647A33" w14:textId="77777777" w:rsidR="00220E23" w:rsidRPr="00220E23" w:rsidRDefault="00220E23">
      <w:pPr>
        <w:pStyle w:val="p1"/>
        <w:numPr>
          <w:ilvl w:val="0"/>
          <w:numId w:val="23"/>
        </w:numPr>
      </w:pPr>
      <w:r w:rsidRPr="00220E23">
        <w:t xml:space="preserve">Implement the model in </w:t>
      </w:r>
      <w:proofErr w:type="spellStart"/>
      <w:r w:rsidRPr="00220E23">
        <w:t>PuLP</w:t>
      </w:r>
      <w:proofErr w:type="spellEnd"/>
      <w:r w:rsidRPr="00220E23">
        <w:t xml:space="preserve"> and solve it using CBC.</w:t>
      </w:r>
    </w:p>
    <w:p w14:paraId="5DB0D5AF" w14:textId="77777777" w:rsidR="00220E23" w:rsidRPr="00220E23" w:rsidRDefault="00220E23">
      <w:pPr>
        <w:pStyle w:val="p1"/>
        <w:numPr>
          <w:ilvl w:val="0"/>
          <w:numId w:val="23"/>
        </w:numPr>
      </w:pPr>
      <w:r w:rsidRPr="00220E23">
        <w:t>Report solver status and optimality gap; claim global optimality only where CBC formally verifies an optimal solution.</w:t>
      </w:r>
    </w:p>
    <w:p w14:paraId="5A6EC485" w14:textId="77777777" w:rsidR="00220E23" w:rsidRDefault="00220E23" w:rsidP="00220E23">
      <w:pPr>
        <w:pStyle w:val="p1"/>
      </w:pPr>
    </w:p>
    <w:p w14:paraId="69D664FF" w14:textId="77777777" w:rsidR="001F0DDD" w:rsidRPr="001F0DDD" w:rsidRDefault="001F0DDD" w:rsidP="001F0DDD">
      <w:pPr>
        <w:pStyle w:val="p1"/>
        <w:rPr>
          <w:b/>
          <w:bCs/>
        </w:rPr>
      </w:pPr>
      <w:r w:rsidRPr="001F0DDD">
        <w:rPr>
          <w:b/>
          <w:bCs/>
        </w:rPr>
        <w:t>Objective Function</w:t>
      </w:r>
    </w:p>
    <w:p w14:paraId="60ED7FE6" w14:textId="2B3F5FAF" w:rsidR="001F0DDD" w:rsidRPr="00E35B19" w:rsidRDefault="00000000" w:rsidP="001F0DDD">
      <w:pPr>
        <w:pStyle w:val="p1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j∈J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+λ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38E8DF32" w14:textId="7DFA4EDE" w:rsidR="00E35B19" w:rsidRDefault="00E35B19" w:rsidP="001F0DDD">
      <w:pPr>
        <w:pStyle w:val="p1"/>
      </w:pPr>
      <w:r w:rsidRPr="00E35B19">
        <w:lastRenderedPageBreak/>
        <w:t>In C1–C</w:t>
      </w:r>
      <w:r w:rsidR="00945D7A">
        <w:rPr>
          <w:rFonts w:hint="eastAsia"/>
        </w:rPr>
        <w:t>4</w:t>
      </w:r>
      <w:r w:rsidRPr="00E35B19">
        <w:t xml:space="preserve"> below, every summation over </w:t>
      </w:r>
      <m:oMath>
        <m:r>
          <w:rPr>
            <w:rFonts w:ascii="Cambria Math" w:hAnsi="Cambria Math"/>
          </w:rPr>
          <m:t>j</m:t>
        </m:r>
      </m:oMath>
      <w:r w:rsidRPr="00E35B19">
        <w:t> (and, by extension, over </w:t>
      </w:r>
      <m:oMath>
        <m:r>
          <w:rPr>
            <w:rFonts w:ascii="Cambria Math" w:hAnsi="Cambria Math"/>
          </w:rPr>
          <m:t>i</m:t>
        </m:r>
      </m:oMath>
      <w:r w:rsidRPr="00E35B19">
        <w:t> in C1) ranges only over LSOA </w:t>
      </w:r>
      <m:oMath>
        <m:r>
          <w:rPr>
            <w:rFonts w:ascii="Cambria Math" w:hAnsi="Cambria Math"/>
          </w:rPr>
          <m:t>i</m:t>
        </m:r>
      </m:oMath>
      <w:r w:rsidRPr="00E35B19">
        <w:t>'s permitted candidate set — not the full set </w:t>
      </w:r>
      <m:oMath>
        <m:r>
          <w:rPr>
            <w:rFonts w:ascii="Cambria Math" w:hAnsi="Cambria Math"/>
          </w:rPr>
          <m:t>J</m:t>
        </m:r>
      </m:oMath>
      <w:r w:rsidRPr="00E35B19">
        <w:t>. This candidate set is constructed by a k-nearest-neighbour pruning step (</w:t>
      </w:r>
      <m:oMath>
        <m:r>
          <w:rPr>
            <w:rFonts w:ascii="Cambria Math" w:hAnsi="Cambria Math"/>
          </w:rPr>
          <m:t>k=40</m:t>
        </m:r>
      </m:oMath>
      <w:r w:rsidRPr="00E35B19">
        <w:t>) performed </w:t>
      </w:r>
      <w:r w:rsidRPr="00E35B19">
        <w:rPr>
          <w:i/>
          <w:iCs/>
        </w:rPr>
        <w:t>before</w:t>
      </w:r>
      <w:r w:rsidRPr="00E35B19">
        <w:t> the model is built; the full construction, rationale and sensitivity testing are given in Phase 4 (§Nearest-</w:t>
      </w:r>
      <w:proofErr w:type="spellStart"/>
      <w:r w:rsidRPr="00E35B19">
        <w:t>neighbour</w:t>
      </w:r>
      <w:proofErr w:type="spellEnd"/>
      <w:r w:rsidRPr="00E35B19">
        <w:t xml:space="preserve"> assignment pruning). The formulas below are written in their general form for readability — wherever </w:t>
      </w:r>
      <m:oMath>
        <m:r>
          <w:rPr>
            <w:rFonts w:ascii="Cambria Math" w:hAnsi="Cambria Math"/>
          </w:rPr>
          <m:t>j</m:t>
        </m:r>
      </m:oMath>
      <w:r w:rsidRPr="00E35B19">
        <w:t>appears, it should be read as </w:t>
      </w:r>
      <m:oMath>
        <m:r>
          <w:rPr>
            <w:rFonts w:ascii="Cambria Math" w:hAnsi="Cambria Math"/>
          </w:rPr>
          <m:t>j∈</m:t>
        </m:r>
        <m:r>
          <m:rPr>
            <m:nor/>
          </m:rPr>
          <m:t>cand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</w:p>
    <w:p w14:paraId="1AD56342" w14:textId="746C4624" w:rsidR="005C3BC3" w:rsidRPr="001F0DDD" w:rsidRDefault="005C3BC3" w:rsidP="001F0DDD">
      <w:pPr>
        <w:pStyle w:val="p1"/>
      </w:pPr>
      <w:r>
        <w:rPr>
          <w:rFonts w:hint="eastAsia"/>
        </w:rPr>
        <w:t>k</w:t>
      </w:r>
      <w:r w:rsidRPr="005C3BC3">
        <w:t xml:space="preserve"> is a computational </w:t>
      </w:r>
      <w:proofErr w:type="spellStart"/>
      <w:r w:rsidRPr="005C3BC3">
        <w:t>sparsification</w:t>
      </w:r>
      <w:proofErr w:type="spellEnd"/>
      <w:r w:rsidRPr="005C3BC3">
        <w:t xml:space="preserve"> parameter, not a policy-derived distance rule. It is chosen large enough that genuine capacity is very likely reachable for most demand nodes, while keeping the MILP tractable. Its adequacy is checked, not derived — via the </w:t>
      </w:r>
      <m:oMath>
        <m:r>
          <w:rPr>
            <w:rFonts w:ascii="Cambria Math" w:hAnsi="Cambria Math"/>
          </w:rPr>
          <m:t>k∈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30</m:t>
            </m:r>
          </m:e>
          <m:e>
            <m:r>
              <w:rPr>
                <w:rFonts w:ascii="Cambria Math" w:hAnsi="Cambria Math"/>
              </w:rPr>
              <m:t>40</m:t>
            </m:r>
          </m:e>
          <m:e>
            <m:r>
              <w:rPr>
                <w:rFonts w:ascii="Cambria Math" w:hAnsi="Cambria Math"/>
              </w:rPr>
              <m:t>50</m:t>
            </m:r>
          </m:e>
        </m:d>
      </m:oMath>
      <w:r w:rsidRPr="005C3BC3">
        <w:t> sensitivity test — rather than justified by a formula.</w:t>
      </w:r>
    </w:p>
    <w:p w14:paraId="12507EA9" w14:textId="3FEC720C" w:rsidR="001F0DDD" w:rsidRPr="001F0DDD" w:rsidRDefault="001F0DDD" w:rsidP="001F0DDD">
      <w:pPr>
        <w:pStyle w:val="p1"/>
        <w:rPr>
          <w:rFonts w:hint="eastAsia"/>
          <w:b/>
          <w:bCs/>
        </w:rPr>
      </w:pPr>
      <w:r w:rsidRPr="001F0DDD">
        <w:rPr>
          <w:b/>
          <w:bCs/>
        </w:rPr>
        <w:t>Constraints C1–C</w:t>
      </w:r>
      <w:r w:rsidR="00945D7A">
        <w:rPr>
          <w:rFonts w:hint="eastAsia"/>
          <w:b/>
          <w:bCs/>
        </w:rPr>
        <w:t>4</w:t>
      </w:r>
    </w:p>
    <w:p w14:paraId="3517E6A6" w14:textId="0B901347" w:rsidR="001F0DDD" w:rsidRPr="001F0DDD" w:rsidRDefault="001F0DDD" w:rsidP="001F0DDD">
      <w:pPr>
        <w:pStyle w:val="p1"/>
      </w:pPr>
      <w:r w:rsidRPr="001F0DDD">
        <w:rPr>
          <w:b/>
          <w:bCs/>
        </w:rPr>
        <w:t>C1</w:t>
      </w:r>
      <w:r w:rsidRPr="001F0DDD">
        <w:t> </w:t>
      </w:r>
      <w:r w:rsidRPr="001F0DDD"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≤K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∀j, 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14:paraId="70F82C31" w14:textId="464EE275" w:rsidR="001F0DDD" w:rsidRPr="001F0DDD" w:rsidRDefault="001F0DDD" w:rsidP="001F0DDD">
      <w:pPr>
        <w:pStyle w:val="p1"/>
      </w:pPr>
      <w:r w:rsidRPr="001F0DDD">
        <w:rPr>
          <w:b/>
          <w:bCs/>
        </w:rPr>
        <w:t>C2</w:t>
      </w:r>
      <w:r w:rsidRPr="001F0DDD">
        <w:t> </w:t>
      </w:r>
      <w:r w:rsidRPr="001F0DDD"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∀i</m:t>
          </m:r>
        </m:oMath>
      </m:oMathPara>
    </w:p>
    <w:p w14:paraId="7BC45559" w14:textId="204130A5" w:rsidR="001F0DDD" w:rsidRPr="001F0DDD" w:rsidRDefault="001F0DDD" w:rsidP="001F0DDD">
      <w:pPr>
        <w:pStyle w:val="p1"/>
      </w:pPr>
      <w:r w:rsidRPr="001F0DDD">
        <w:rPr>
          <w:b/>
          <w:bCs/>
        </w:rPr>
        <w:t>C3</w:t>
      </w:r>
      <w:r w:rsidRPr="001F0DDD">
        <w:t> </w:t>
      </w:r>
      <w:r w:rsidRPr="001F0DDD">
        <w:br/>
      </w: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=p</m:t>
          </m:r>
        </m:oMath>
      </m:oMathPara>
    </w:p>
    <w:p w14:paraId="360B39C8" w14:textId="466BA27B" w:rsidR="001F0DDD" w:rsidRPr="001F0DDD" w:rsidRDefault="001F0DDD" w:rsidP="001F0DDD">
      <w:pPr>
        <w:pStyle w:val="p1"/>
      </w:pPr>
      <w:r w:rsidRPr="001F0DDD">
        <w:rPr>
          <w:b/>
          <w:bCs/>
        </w:rPr>
        <w:t>C4</w:t>
      </w:r>
      <w:r w:rsidRPr="001F0DDD">
        <w:t> </w:t>
      </w:r>
      <w:r w:rsidRPr="001F0DDD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≥0,  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 w:hint="eastAsia"/>
                </w:rPr>
                <m:t>ij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0,1</m:t>
              </m:r>
            </m:e>
          </m:d>
        </m:oMath>
      </m:oMathPara>
    </w:p>
    <w:p w14:paraId="4F41422C" w14:textId="77777777" w:rsidR="0093503B" w:rsidRDefault="0093503B" w:rsidP="001F0DDD">
      <w:pPr>
        <w:pStyle w:val="p1"/>
        <w:rPr>
          <w:b/>
          <w:bCs/>
        </w:rPr>
      </w:pPr>
    </w:p>
    <w:p w14:paraId="151D9509" w14:textId="1D57E036" w:rsidR="001F0DDD" w:rsidRPr="001F0DDD" w:rsidRDefault="001F0DDD" w:rsidP="001F0DDD">
      <w:pPr>
        <w:pStyle w:val="p1"/>
        <w:rPr>
          <w:b/>
          <w:bCs/>
        </w:rPr>
      </w:pPr>
      <w:r w:rsidRPr="001F0DDD">
        <w:rPr>
          <w:b/>
          <w:bCs/>
        </w:rPr>
        <w:t>Model sets, parameters and decision variables</w:t>
      </w:r>
    </w:p>
    <w:p w14:paraId="2AEB2940" w14:textId="2F248E82" w:rsidR="001F0DDD" w:rsidRPr="001F0DDD" w:rsidRDefault="001F0DDD">
      <w:pPr>
        <w:pStyle w:val="p1"/>
        <w:numPr>
          <w:ilvl w:val="0"/>
          <w:numId w:val="50"/>
        </w:numPr>
      </w:pPr>
      <m:oMath>
        <m:r>
          <w:rPr>
            <w:rFonts w:ascii="Cambria Math" w:hAnsi="Cambria Math"/>
          </w:rPr>
          <m:t>I</m:t>
        </m:r>
      </m:oMath>
      <w:r w:rsidRPr="001F0DDD">
        <w:t>: set of LSOA demand nodes, representing where charging demand is generated.</w:t>
      </w:r>
    </w:p>
    <w:p w14:paraId="1A9A51D2" w14:textId="5D5E658D" w:rsidR="001F0DDD" w:rsidRPr="001F0DDD" w:rsidRDefault="001F0DDD">
      <w:pPr>
        <w:pStyle w:val="p1"/>
        <w:numPr>
          <w:ilvl w:val="0"/>
          <w:numId w:val="50"/>
        </w:numPr>
      </w:pPr>
      <m:oMath>
        <m:r>
          <w:rPr>
            <w:rFonts w:ascii="Cambria Math" w:hAnsi="Cambria Math"/>
          </w:rPr>
          <m:t>J</m:t>
        </m:r>
      </m:oMath>
      <w:r w:rsidRPr="001F0DDD">
        <w:t xml:space="preserve">: set of candidate allocation nodes, representing where additional charging locations can be placed. </w:t>
      </w:r>
      <m:oMath>
        <m:r>
          <w:rPr>
            <w:rFonts w:ascii="Cambria Math" w:hAnsi="Cambria Math"/>
          </w:rPr>
          <m:t>I=J</m:t>
        </m:r>
      </m:oMath>
      <w:r w:rsidRPr="001F0DDD">
        <w:t>: all 4,994 Greater London LSOAs serve as both demand and allocation nodes, so additional provision may in principle be allocated to any LSOA.</w:t>
      </w:r>
    </w:p>
    <w:p w14:paraId="2D41A966" w14:textId="63AC6FDD" w:rsidR="001F0DDD" w:rsidRPr="001F0DDD" w:rsidRDefault="00000000">
      <w:pPr>
        <w:pStyle w:val="p1"/>
        <w:numPr>
          <w:ilvl w:val="0"/>
          <w:numId w:val="50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α</m:t>
            </m:r>
          </m:sup>
        </m:sSubSup>
      </m:oMath>
      <w:r w:rsidR="001F0DDD" w:rsidRPr="001F0DDD">
        <w:t xml:space="preserve">: equity-adjusted recognised demand weight for LSOA </w:t>
      </w:r>
      <m:oMath>
        <m:r>
          <w:rPr>
            <w:rFonts w:ascii="Cambria Math" w:hAnsi="Cambria Math"/>
          </w:rPr>
          <m:t>i</m:t>
        </m:r>
      </m:oMath>
      <w:r w:rsidR="001F0DDD" w:rsidRPr="001F0DDD">
        <w:t xml:space="preserve">, calculated in Phase 1 under equity scenario </w:t>
      </w:r>
      <m:oMath>
        <m:r>
          <w:rPr>
            <w:rFonts w:ascii="Cambria Math" w:hAnsi="Cambria Math"/>
          </w:rPr>
          <m:t>α</m:t>
        </m:r>
      </m:oMath>
      <w:r w:rsidR="001F0DDD" w:rsidRPr="001F0DDD">
        <w:t>.</w:t>
      </w:r>
    </w:p>
    <w:p w14:paraId="4B0C8C2A" w14:textId="6929FF13" w:rsidR="001F0DDD" w:rsidRPr="001F0DDD" w:rsidRDefault="00000000">
      <w:pPr>
        <w:pStyle w:val="p1"/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1F0DDD" w:rsidRPr="001F0DDD">
        <w:t xml:space="preserve">: Euclidean distance between the centroids of LSOAs </w:t>
      </w:r>
      <m:oMath>
        <m:r>
          <w:rPr>
            <w:rFonts w:ascii="Cambria Math" w:hAnsi="Cambria Math"/>
          </w:rPr>
          <m:t>i</m:t>
        </m:r>
      </m:oMath>
      <w:r w:rsidR="001F0DDD" w:rsidRPr="001F0DDD">
        <w:t xml:space="preserve"> and </w:t>
      </w:r>
      <m:oMath>
        <m:r>
          <w:rPr>
            <w:rFonts w:ascii="Cambria Math" w:hAnsi="Cambria Math"/>
          </w:rPr>
          <m:t>j</m:t>
        </m:r>
      </m:oMath>
      <w:r w:rsidR="001F0DDD" w:rsidRPr="001F0DDD">
        <w:t>, calculated in EPSG:27700 and used as a proxy for the distance required to reach charging provision.</w:t>
      </w:r>
    </w:p>
    <w:p w14:paraId="3B6A067E" w14:textId="69A230C1" w:rsidR="001F0DDD" w:rsidRDefault="00000000">
      <w:pPr>
        <w:pStyle w:val="p1"/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1F0DDD" w:rsidRPr="001F0DDD">
        <w:t xml:space="preserve">: assignment variable linking the demand of LSOA </w:t>
      </w:r>
      <m:oMath>
        <m:r>
          <w:rPr>
            <w:rFonts w:ascii="Cambria Math" w:hAnsi="Cambria Math"/>
          </w:rPr>
          <m:t>i</m:t>
        </m:r>
      </m:oMath>
      <w:r w:rsidR="001F0DDD" w:rsidRPr="001F0DDD">
        <w:t xml:space="preserve"> to capacity located in LSOA </w:t>
      </w:r>
      <m:oMath>
        <m:r>
          <w:rPr>
            <w:rFonts w:ascii="Cambria Math" w:hAnsi="Cambria Math"/>
          </w:rPr>
          <m:t>j</m:t>
        </m:r>
      </m:oMath>
      <w:r w:rsidR="001F0DDD" w:rsidRPr="001F0DDD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1F0DDD" w:rsidRPr="001F0DDD">
        <w:t xml:space="preserve"> allows this to represent the proportion of LSOA </w:t>
      </w:r>
      <m:oMath>
        <m:r>
          <w:rPr>
            <w:rFonts w:ascii="Cambria Math" w:hAnsi="Cambria Math"/>
          </w:rPr>
          <m:t>i</m:t>
        </m:r>
      </m:oMath>
      <w:r w:rsidR="001F0DDD" w:rsidRPr="001F0DDD">
        <w:t xml:space="preserve">'s demand served by allocation node </w:t>
      </w:r>
      <m:oMath>
        <m:r>
          <w:rPr>
            <w:rFonts w:ascii="Cambria Math" w:hAnsi="Cambria Math"/>
          </w:rPr>
          <m:t>j</m:t>
        </m:r>
      </m:oMath>
      <w:r w:rsidR="001F0DDD" w:rsidRPr="001F0DDD">
        <w:t>.</w:t>
      </w:r>
    </w:p>
    <w:p w14:paraId="65ABDF06" w14:textId="77777777" w:rsidR="00AE1F0D" w:rsidRPr="00E03F0D" w:rsidRDefault="00000000">
      <w:pPr>
        <w:pStyle w:val="p1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AE1F0D" w:rsidRPr="00E03F0D">
        <w:t> represents the proportion of recognised demand at LSOA </w:t>
      </w:r>
      <m:oMath>
        <m:r>
          <w:rPr>
            <w:rFonts w:ascii="Cambria Math" w:hAnsi="Cambria Math"/>
          </w:rPr>
          <m:t>i</m:t>
        </m:r>
      </m:oMath>
      <w:r w:rsidR="00AE1F0D" w:rsidRPr="00E03F0D">
        <w:t xml:space="preserve"> assigned to charging </w:t>
      </w:r>
      <w:r w:rsidR="00AE1F0D">
        <w:t>locations</w:t>
      </w:r>
      <w:r w:rsidR="00AE1F0D" w:rsidRPr="00E03F0D">
        <w:t xml:space="preserve"> at LSOA </w:t>
      </w:r>
      <m:oMath>
        <m:r>
          <w:rPr>
            <w:rFonts w:ascii="Cambria Math" w:hAnsi="Cambria Math"/>
          </w:rPr>
          <m:t>j</m:t>
        </m:r>
      </m:oMath>
      <w:r w:rsidR="00AE1F0D" w:rsidRPr="00E03F0D">
        <w:t>.</w:t>
      </w:r>
    </w:p>
    <w:p w14:paraId="0D97D3E2" w14:textId="77777777" w:rsidR="00AE1F0D" w:rsidRPr="00E03F0D" w:rsidRDefault="00AE1F0D">
      <w:pPr>
        <w:pStyle w:val="p1"/>
        <w:numPr>
          <w:ilvl w:val="0"/>
          <w:numId w:val="29"/>
        </w:numPr>
      </w:pPr>
      <w:r w:rsidRPr="00E03F0D">
        <w:t>Demand from one LSOA may therefore be divided across multiple allocation nodes.</w:t>
      </w:r>
    </w:p>
    <w:p w14:paraId="14A82B65" w14:textId="77777777" w:rsidR="00AE1F0D" w:rsidRPr="00E03F0D" w:rsidRDefault="00AE1F0D">
      <w:pPr>
        <w:pStyle w:val="p1"/>
        <w:numPr>
          <w:ilvl w:val="0"/>
          <w:numId w:val="29"/>
        </w:numPr>
      </w:pPr>
      <w:r w:rsidRPr="00E03F0D">
        <w:t>This reflects the aggregated nature of LSOA-level demand, since residents within the same LSOA may use different nearby charging locations.</w:t>
      </w:r>
    </w:p>
    <w:p w14:paraId="42128632" w14:textId="3B7A8634" w:rsidR="00AE1F0D" w:rsidRPr="00AE1F0D" w:rsidRDefault="00AE1F0D">
      <w:pPr>
        <w:pStyle w:val="p1"/>
        <w:numPr>
          <w:ilvl w:val="0"/>
          <w:numId w:val="29"/>
        </w:numPr>
      </w:pPr>
      <w:r w:rsidRPr="00E03F0D">
        <w:t>Continuous assignment also reduces the computational burden that would result from imposing binary restrictions on the full set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E03F0D">
        <w:t> variables.</w:t>
      </w:r>
    </w:p>
    <w:p w14:paraId="6D87E471" w14:textId="04BDD021" w:rsidR="001F0DDD" w:rsidRPr="001F0DDD" w:rsidRDefault="00000000">
      <w:pPr>
        <w:pStyle w:val="p1"/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1F0DDD" w:rsidRPr="001F0DDD">
        <w:t xml:space="preserve">: number of existing on-street charging locations in LSOA </w:t>
      </w:r>
      <m:oMath>
        <m:r>
          <w:rPr>
            <w:rFonts w:ascii="Cambria Math" w:hAnsi="Cambria Math"/>
          </w:rPr>
          <m:t>j</m:t>
        </m:r>
      </m:oMath>
      <w:r w:rsidR="001F0DDD" w:rsidRPr="001F0DDD">
        <w:t>, calculated in Phase 2.</w:t>
      </w:r>
    </w:p>
    <w:p w14:paraId="1153A6A2" w14:textId="167659C7" w:rsidR="001F0DDD" w:rsidRPr="001F0DDD" w:rsidRDefault="00000000">
      <w:pPr>
        <w:pStyle w:val="p1"/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1F0DDD" w:rsidRPr="001F0DDD">
        <w:t xml:space="preserve">: number of additional charging locations allocated to LSOA </w:t>
      </w:r>
      <m:oMath>
        <m:r>
          <w:rPr>
            <w:rFonts w:ascii="Cambria Math" w:hAnsi="Cambria Math"/>
          </w:rPr>
          <m:t>j</m:t>
        </m:r>
      </m:oMath>
      <w:r w:rsidR="001F0DDD" w:rsidRPr="001F0DDD">
        <w:t>; must be a non-negative integer because provision is delivered in discrete units.</w:t>
      </w:r>
    </w:p>
    <w:p w14:paraId="512C57C3" w14:textId="4AE47898" w:rsidR="001F0DDD" w:rsidRPr="001F0DDD" w:rsidRDefault="00000000">
      <w:pPr>
        <w:pStyle w:val="p1"/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1F0DDD" w:rsidRPr="001F0DDD">
        <w:t xml:space="preserve">: unserved-demand slack associated with allocation node </w:t>
      </w:r>
      <m:oMath>
        <m:r>
          <w:rPr>
            <w:rFonts w:ascii="Cambria Math" w:hAnsi="Cambria Math"/>
          </w:rPr>
          <m:t>j</m:t>
        </m:r>
      </m:oMath>
      <w:r w:rsidR="001F0DDD" w:rsidRPr="001F0DDD">
        <w:t xml:space="preserve"> — the amount of demand assigned to </w:t>
      </w:r>
      <m:oMath>
        <m:r>
          <w:rPr>
            <w:rFonts w:ascii="Cambria Math" w:hAnsi="Cambria Math"/>
          </w:rPr>
          <m:t>j</m:t>
        </m:r>
      </m:oMath>
      <w:r w:rsidR="001F0DDD" w:rsidRPr="001F0DDD">
        <w:t xml:space="preserve"> that its existing and additional provision cannot support once </w:t>
      </w:r>
      <m:oMath>
        <m:r>
          <w:rPr>
            <w:rFonts w:ascii="Cambria Math" w:hAnsi="Cambria Math"/>
          </w:rPr>
          <m:t>K</m:t>
        </m:r>
      </m:oMath>
      <w:r w:rsidR="001F0DDD" w:rsidRPr="001F0DDD">
        <w:t xml:space="preserve"> has been applied. Without a cost attached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1F0DDD" w:rsidRPr="001F0DDD">
        <w:t>, the model could satisfy C1 for free by leaving demand unserved rather than genuinely reassigning it; the penalty term</w:t>
      </w:r>
      <m:oMath>
        <m:r>
          <w:rPr>
            <w:rFonts w:ascii="Cambria Math" w:hAnsi="Cambria Math"/>
          </w:rPr>
          <m:t>λ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="001F0DDD" w:rsidRPr="001F0DDD">
        <w:t xml:space="preserve"> in the objective function exists specifically to remove that free option (see </w:t>
      </w:r>
      <m:oMath>
        <m:r>
          <w:rPr>
            <w:rFonts w:ascii="Cambria Math" w:hAnsi="Cambria Math"/>
          </w:rPr>
          <m:t>λ</m:t>
        </m:r>
      </m:oMath>
      <w:r w:rsidR="001F0DDD" w:rsidRPr="001F0DDD">
        <w:t>, item 10).</w:t>
      </w:r>
    </w:p>
    <w:p w14:paraId="2D2FB58C" w14:textId="0CD72CF3" w:rsidR="001F0DDD" w:rsidRPr="001F0DDD" w:rsidRDefault="001F0DDD">
      <w:pPr>
        <w:pStyle w:val="p1"/>
        <w:numPr>
          <w:ilvl w:val="0"/>
          <w:numId w:val="50"/>
        </w:numPr>
      </w:pPr>
      <m:oMath>
        <m:r>
          <w:rPr>
            <w:rFonts w:ascii="Cambria Math" w:hAnsi="Cambria Math"/>
          </w:rPr>
          <m:t>K</m:t>
        </m:r>
      </m:oMath>
      <w:r w:rsidRPr="001F0DDD">
        <w:t>: scaling parameter converting the number of charging locations into the amount of demand they can support. </w:t>
      </w:r>
      <w:r w:rsidRPr="001F0DDD">
        <w:rPr>
          <w:b/>
          <w:bCs/>
        </w:rPr>
        <w:t>How it is calculated:</w:t>
      </w:r>
      <w:r w:rsidRPr="001F0DDD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d>
                  </m:sup>
                </m:sSubSup>
              </m:e>
            </m:nary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ref</m:t>
                </m:r>
              </m:sub>
            </m:sSub>
          </m:den>
        </m:f>
      </m:oMath>
      <w:r w:rsidRPr="001F0DDD">
        <w:t xml:space="preserve">,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>=5,000</m:t>
        </m:r>
      </m:oMath>
      <w:r w:rsidRPr="001F0DDD">
        <w:t>. Using the actual data (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sup>
            </m:sSubSup>
          </m:e>
        </m:nary>
      </m:oMath>
      <w:r w:rsidRPr="001F0DDD">
        <w:t xml:space="preserve">,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=21,364</m:t>
        </m:r>
      </m:oMath>
      <w:r w:rsidRPr="001F0DDD">
        <w:t xml:space="preserve">), this evaluates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≈13.17</m:t>
        </m:r>
      </m:oMath>
      <w:r w:rsidRPr="001F0DDD">
        <w:t xml:space="preserve">. This is a model-balancing calibration — it is the value at which existing provision plus a reference investment of 5,000 units would just balance total baseline demand — not an empirical estimate of real-world charger </w:t>
      </w:r>
      <w:proofErr w:type="gramStart"/>
      <w:r w:rsidRPr="001F0DDD">
        <w:t>throughput, and</w:t>
      </w:r>
      <w:proofErr w:type="gramEnd"/>
      <w:r w:rsidRPr="001F0DDD">
        <w:t xml:space="preserve"> is declared as such (Limitation L2).</w:t>
      </w:r>
      <w:r w:rsidR="00037226" w:rsidRPr="00037226">
        <w:rPr>
          <w:rStyle w:val="10"/>
          <w:color w:val="000000"/>
        </w:rPr>
        <w:t xml:space="preserve"> </w:t>
      </w:r>
      <w:r w:rsidR="00037226">
        <w:rPr>
          <w:rStyle w:val="af"/>
        </w:rPr>
        <w:t>Sensitivity to this assumption was tested at the reference scenario (</w:t>
      </w:r>
      <m:oMath>
        <m:r>
          <w:rPr>
            <w:rFonts w:ascii="Cambria Math" w:hAnsi="Cambria Math"/>
          </w:rPr>
          <m:t>α=0.3</m:t>
        </m:r>
      </m:oMath>
      <w:r w:rsidR="00037226">
        <w:rPr>
          <w:rStyle w:val="af"/>
        </w:rPr>
        <w:t>,</w:t>
      </w:r>
      <w:r w:rsidR="00037226">
        <w:rPr>
          <w:rStyle w:val="apple-converted-space"/>
          <w:b/>
          <w:bCs/>
        </w:rPr>
        <w:t> </w:t>
      </w:r>
      <m:oMath>
        <m:r>
          <w:rPr>
            <w:rFonts w:ascii="Cambria Math" w:hAnsi="Cambria Math"/>
          </w:rPr>
          <m:t>p=5,000</m:t>
        </m:r>
      </m:oMath>
      <w:r w:rsidR="00037226">
        <w:rPr>
          <w:rStyle w:val="af"/>
        </w:rPr>
        <w:t>) across</w:t>
      </w:r>
      <w:r w:rsidR="00037226">
        <w:rPr>
          <w:rStyle w:val="apple-converted-space"/>
          <w:b/>
          <w:bCs/>
        </w:rPr>
        <w:t> 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0.5</m:t>
                </m:r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,2</m:t>
        </m:r>
        <m:d>
          <m:dPr>
            <m:begChr m:val="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037226">
        <w:rPr>
          <w:rStyle w:val="af"/>
        </w:rPr>
        <w:t>; results are reported in §4.3/Discussion rather than as a separate methodology subsection.</w:t>
      </w:r>
      <w:r w:rsidR="00AE1F0D">
        <w:rPr>
          <w:rStyle w:val="af"/>
          <w:rFonts w:hint="eastAsia"/>
        </w:rPr>
        <w:t xml:space="preserve"> </w:t>
      </w:r>
      <w:r w:rsidR="00AE1F0D">
        <w:rPr>
          <w:rStyle w:val="af"/>
          <w:rFonts w:hint="eastAsia"/>
        </w:rPr>
        <w:t>敏感性测试</w:t>
      </w:r>
    </w:p>
    <w:p w14:paraId="1A54904E" w14:textId="274FDAD6" w:rsidR="001F0DDD" w:rsidRPr="001F0DDD" w:rsidRDefault="001F0DDD">
      <w:pPr>
        <w:pStyle w:val="p1"/>
        <w:numPr>
          <w:ilvl w:val="0"/>
          <w:numId w:val="50"/>
        </w:numPr>
      </w:pPr>
      <m:oMath>
        <m:r>
          <w:rPr>
            <w:rFonts w:ascii="Cambria Math" w:hAnsi="Cambria Math"/>
          </w:rPr>
          <m:t>λ</m:t>
        </m:r>
      </m:oMath>
      <w:r w:rsidRPr="001F0DDD">
        <w:t>: penalty weight applied to unserved demand in the objective function. </w:t>
      </w:r>
      <w:r w:rsidRPr="001F0DDD">
        <w:rPr>
          <w:b/>
          <w:bCs/>
        </w:rPr>
        <w:t>How it is calculated, in plain terms:</w:t>
      </w:r>
      <w:r w:rsidRPr="001F0DDD">
        <w:t> </w:t>
      </w:r>
      <m:oMath>
        <m:r>
          <w:rPr>
            <w:rFonts w:ascii="Cambria Math" w:hAnsi="Cambria Math"/>
          </w:rPr>
          <m:t>λ</m:t>
        </m:r>
      </m:oMath>
      <w:r w:rsidRPr="001F0DDD">
        <w:t xml:space="preserve"> is set to </w:t>
      </w:r>
      <m:oMath>
        <m:r>
          <w:rPr>
            <w:rFonts w:ascii="Cambria Math" w:hAnsi="Cambria Math"/>
          </w:rPr>
          <m:t>1.05×</m:t>
        </m:r>
      </m:oMath>
      <w:r w:rsidRPr="001F0DDD">
        <w:t xml:space="preserve"> the longest distance that </w:t>
      </w:r>
      <w:proofErr w:type="gramStart"/>
      <w:r w:rsidRPr="001F0DDD">
        <w:t>actually appears</w:t>
      </w:r>
      <w:proofErr w:type="gramEnd"/>
      <w:r w:rsidRPr="001F0DDD">
        <w:t xml:space="preserve"> in the model's permitted assignment network (i.e. the largest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1F0DDD">
        <w:t xml:space="preserve">among all </w:t>
      </w:r>
      <m:oMath>
        <m:r>
          <w:rPr>
            <w:rFonts w:ascii="Cambria Math" w:hAnsi="Cambria Math"/>
          </w:rPr>
          <m:t>i</m:t>
        </m:r>
      </m:oMath>
      <w:r w:rsidRPr="001F0DDD">
        <w:t>–</w:t>
      </w:r>
      <m:oMath>
        <m:r>
          <w:rPr>
            <w:rFonts w:ascii="Cambria Math" w:hAnsi="Cambria Math"/>
          </w:rPr>
          <m:t>j</m:t>
        </m:r>
      </m:oMath>
      <w:r w:rsidRPr="001F0DDD">
        <w:t xml:space="preserve"> pairs the sparsified model is allowed to use — see </w:t>
      </w:r>
      <m:oMath>
        <m:r>
          <w:rPr>
            <w:rFonts w:ascii="Cambria Math" w:hAnsi="Cambria Math"/>
          </w:rPr>
          <m:t>k</m:t>
        </m:r>
      </m:oMath>
      <w:r w:rsidRPr="001F0DDD">
        <w:t xml:space="preserve">, Phase 4). In this data, that longest permitted distance is approximately 7,523 m, giving </w:t>
      </w:r>
      <m:oMath>
        <m:r>
          <w:rPr>
            <w:rFonts w:ascii="Cambria Math" w:hAnsi="Cambria Math"/>
          </w:rPr>
          <m:t>λ≈7,899</m:t>
        </m:r>
      </m:oMath>
      <w:r w:rsidRPr="001F0DDD">
        <w:t xml:space="preserve">. The idea is simple: leaving one unit of demand unserved must always cost more than sending it to the single farthest place the model is allowed to send it — so </w:t>
      </w:r>
      <m:oMath>
        <m:r>
          <w:rPr>
            <w:rFonts w:ascii="Cambria Math" w:hAnsi="Cambria Math"/>
          </w:rPr>
          <m:t>λ</m:t>
        </m:r>
      </m:oMath>
      <w:r w:rsidRPr="001F0DDD">
        <w:t xml:space="preserve"> only needs to exceed that worst-case real distance, not be an arbitrarily large number. This guarantees the model will always prefer a genuine reassignment over unserved slack whenever any reachable capacity exists, while keeping the two terms in the objective function on comparable numerical scales.</w:t>
      </w:r>
    </w:p>
    <w:p w14:paraId="3930CF03" w14:textId="34423EBD" w:rsidR="001F0DDD" w:rsidRPr="001F0DDD" w:rsidRDefault="001F0DDD">
      <w:pPr>
        <w:pStyle w:val="p1"/>
        <w:numPr>
          <w:ilvl w:val="0"/>
          <w:numId w:val="50"/>
        </w:numPr>
      </w:pPr>
      <m:oMath>
        <m:r>
          <w:rPr>
            <w:rFonts w:ascii="Cambria Math" w:hAnsi="Cambria Math"/>
          </w:rPr>
          <w:lastRenderedPageBreak/>
          <m:t>p</m:t>
        </m:r>
      </m:oMath>
      <w:r w:rsidRPr="001F0DDD">
        <w:t xml:space="preserve">: fixed total number of additional locations available for allocation, tested at </w:t>
      </w:r>
      <m:oMath>
        <m:r>
          <w:rPr>
            <w:rFonts w:ascii="Cambria Math" w:hAnsi="Cambria Math"/>
          </w:rPr>
          <m:t>2,000, 5,000, 8,000</m:t>
        </m:r>
      </m:oMath>
      <w:r w:rsidRPr="001F0DDD">
        <w:t xml:space="preserve"> (justification and TfL-anchored reasoning in Phase 4).</w:t>
      </w:r>
    </w:p>
    <w:p w14:paraId="2C939162" w14:textId="20053B66" w:rsidR="00165059" w:rsidRDefault="00000000" w:rsidP="006924FB">
      <w:pPr>
        <w:pStyle w:val="p1"/>
        <w:numPr>
          <w:ilvl w:val="0"/>
          <w:numId w:val="5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1F0DDD" w:rsidRPr="001F0DDD">
        <w:t xml:space="preserve">: </w:t>
      </w:r>
      <w:r w:rsidR="00E13DCA" w:rsidRPr="00E13DCA">
        <w:t xml:space="preserve">maximum number of additional charging locations permitted in </w:t>
      </w:r>
      <w:proofErr w:type="gramStart"/>
      <w:r w:rsidR="00E13DCA" w:rsidRPr="00E13DCA">
        <w:t>LSOA ,</w:t>
      </w:r>
      <w:proofErr w:type="gramEnd"/>
      <w:r w:rsidR="00E13DCA" w:rsidRPr="00E13DCA">
        <w:t xml:space="preserve"> set to 150. Sensitivity testing </w:t>
      </w:r>
      <w:proofErr w:type="gramStart"/>
      <w:r w:rsidR="00E13DCA" w:rsidRPr="00E13DCA">
        <w:t>at  produced</w:t>
      </w:r>
      <w:proofErr w:type="gramEnd"/>
      <w:r w:rsidR="00E13DCA" w:rsidRPr="00E13DCA">
        <w:t xml:space="preserve"> identical allocation results, </w:t>
      </w:r>
      <w:proofErr w:type="gramStart"/>
      <w:r w:rsidR="00E13DCA" w:rsidRPr="00E13DCA">
        <w:t>with  in</w:t>
      </w:r>
      <w:proofErr w:type="gramEnd"/>
      <w:r w:rsidR="00E13DCA" w:rsidRPr="00E13DCA">
        <w:t xml:space="preserve"> all cases, confirming that the constraint is non-binding. It is retained as a formal safeguard against unrealistic spatial concentration.</w:t>
      </w:r>
    </w:p>
    <w:p w14:paraId="25FE5CCC" w14:textId="77777777" w:rsidR="00E13DCA" w:rsidRPr="00AE0A82" w:rsidRDefault="00E13DCA" w:rsidP="006924FB">
      <w:pPr>
        <w:pStyle w:val="p1"/>
        <w:numPr>
          <w:ilvl w:val="0"/>
          <w:numId w:val="50"/>
        </w:numPr>
      </w:pPr>
    </w:p>
    <w:p w14:paraId="3D806616" w14:textId="28D1A987" w:rsidR="003A14C0" w:rsidRPr="00C8334A" w:rsidRDefault="00B76314" w:rsidP="00C8334A">
      <w:pPr>
        <w:pStyle w:val="p2"/>
        <w:rPr>
          <w:b/>
          <w:bCs/>
        </w:rPr>
      </w:pPr>
      <w:r w:rsidRPr="00C8334A">
        <w:rPr>
          <w:b/>
          <w:bCs/>
        </w:rPr>
        <w:t>3.</w:t>
      </w:r>
      <w:r w:rsidR="00A363F3">
        <w:rPr>
          <w:rFonts w:hint="eastAsia"/>
          <w:b/>
          <w:bCs/>
        </w:rPr>
        <w:t>3</w:t>
      </w:r>
      <w:r w:rsidRPr="00C8334A">
        <w:rPr>
          <w:b/>
          <w:bCs/>
        </w:rPr>
        <w:t>.4 Phase 4: Scenario Analysis and Evaluation</w:t>
      </w:r>
    </w:p>
    <w:p w14:paraId="4C568CC3" w14:textId="77777777" w:rsidR="00B76314" w:rsidRPr="00B76314" w:rsidRDefault="00B76314" w:rsidP="00B76314">
      <w:pPr>
        <w:pStyle w:val="p1"/>
        <w:rPr>
          <w:b/>
          <w:bCs/>
        </w:rPr>
      </w:pPr>
      <w:r w:rsidRPr="00B76314">
        <w:rPr>
          <w:b/>
          <w:bCs/>
        </w:rPr>
        <w:t>A. Scenario Analysis</w:t>
      </w:r>
    </w:p>
    <w:p w14:paraId="2F62EDEE" w14:textId="77777777" w:rsidR="00B76314" w:rsidRPr="00B76314" w:rsidRDefault="00B76314" w:rsidP="00B76314">
      <w:pPr>
        <w:pStyle w:val="p1"/>
        <w:rPr>
          <w:b/>
          <w:bCs/>
        </w:rPr>
      </w:pPr>
      <w:r w:rsidRPr="00011BF8">
        <w:rPr>
          <w:b/>
          <w:bCs/>
        </w:rPr>
        <w:t>Purpose</w:t>
      </w:r>
    </w:p>
    <w:p w14:paraId="363AF6AB" w14:textId="0276C92F" w:rsidR="00011BF8" w:rsidRPr="00011BF8" w:rsidRDefault="00011BF8" w:rsidP="00011BF8">
      <w:pPr>
        <w:pStyle w:val="p1"/>
        <w:numPr>
          <w:ilvl w:val="0"/>
          <w:numId w:val="58"/>
        </w:numPr>
      </w:pPr>
      <w:r w:rsidRPr="00011BF8">
        <w:t>Convert the model parameters </w:t>
      </w:r>
      <m:oMath>
        <m:r>
          <w:rPr>
            <w:rFonts w:ascii="Cambria Math" w:hAnsi="Cambria Math"/>
          </w:rPr>
          <m:t>α</m:t>
        </m:r>
      </m:oMath>
      <w:r w:rsidRPr="00011BF8">
        <w:t> and </w:t>
      </w:r>
      <m:oMath>
        <m:r>
          <w:rPr>
            <w:rFonts w:ascii="Cambria Math" w:hAnsi="Cambria Math"/>
          </w:rPr>
          <m:t>p</m:t>
        </m:r>
      </m:oMath>
      <w:r w:rsidRPr="00011BF8">
        <w:t> into a transparent and reproducible experimental design. (</w:t>
      </w:r>
      <m:oMath>
        <m:r>
          <w:rPr>
            <w:rFonts w:ascii="Cambria Math" w:hAnsi="Cambria Math"/>
          </w:rPr>
          <m:t>K</m:t>
        </m:r>
      </m:oMath>
      <w:r w:rsidRPr="00011BF8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011BF8">
        <w:t> and </w:t>
      </w:r>
      <m:oMath>
        <m:r>
          <w:rPr>
            <w:rFonts w:ascii="Cambria Math" w:hAnsi="Cambria Math"/>
          </w:rPr>
          <m:t>k</m:t>
        </m:r>
      </m:oMath>
      <w:r w:rsidRPr="00011BF8">
        <w:t> are defined and their sensitivity reported in the variable list in §3.4.3; no maximum service-radius scenario is tested.)</w:t>
      </w:r>
    </w:p>
    <w:p w14:paraId="0F15CD40" w14:textId="0997E7FA" w:rsidR="00011BF8" w:rsidRPr="00011BF8" w:rsidRDefault="00011BF8" w:rsidP="00011BF8">
      <w:pPr>
        <w:pStyle w:val="p1"/>
        <w:numPr>
          <w:ilvl w:val="0"/>
          <w:numId w:val="58"/>
        </w:numPr>
      </w:pPr>
      <w:r w:rsidRPr="00011BF8">
        <w:t>Distinguish between the two parameters varied in the core scenario comparison (</w:t>
      </w:r>
      <m:oMath>
        <m:r>
          <w:rPr>
            <w:rFonts w:ascii="Cambria Math" w:hAnsi="Cambria Math"/>
          </w:rPr>
          <m:t>α</m:t>
        </m:r>
      </m:oMath>
      <w:r w:rsidRPr="00011BF8">
        <w:t>, </w:t>
      </w:r>
      <m:oMath>
        <m:r>
          <w:rPr>
            <w:rFonts w:ascii="Cambria Math" w:hAnsi="Cambria Math"/>
          </w:rPr>
          <m:t>p</m:t>
        </m:r>
      </m:oMath>
      <w:r w:rsidRPr="00011BF8">
        <w:t>) and the parameters held constant across all scenarios.</w:t>
      </w:r>
    </w:p>
    <w:p w14:paraId="526FBC88" w14:textId="77777777" w:rsidR="00011BF8" w:rsidRPr="00011BF8" w:rsidRDefault="00011BF8" w:rsidP="00011BF8">
      <w:pPr>
        <w:pStyle w:val="p1"/>
        <w:numPr>
          <w:ilvl w:val="0"/>
          <w:numId w:val="58"/>
        </w:numPr>
      </w:pPr>
      <w:r w:rsidRPr="00011BF8">
        <w:t>Ensure that differences between model outputs can be attributed to the intended changes in equity weighting or investment level, not to incidental changes in other settings.</w:t>
      </w:r>
    </w:p>
    <w:p w14:paraId="4059F2FD" w14:textId="77777777" w:rsidR="00E333AE" w:rsidRPr="00011BF8" w:rsidRDefault="00E333AE" w:rsidP="00E333AE">
      <w:pPr>
        <w:pStyle w:val="p1"/>
        <w:ind w:left="720"/>
      </w:pPr>
    </w:p>
    <w:p w14:paraId="120D2E1C" w14:textId="77777777" w:rsidR="00B76314" w:rsidRPr="00B76314" w:rsidRDefault="00B76314" w:rsidP="00B76314">
      <w:pPr>
        <w:pStyle w:val="p1"/>
        <w:rPr>
          <w:b/>
          <w:bCs/>
        </w:rPr>
      </w:pPr>
      <w:r w:rsidRPr="00B76314">
        <w:rPr>
          <w:b/>
          <w:bCs/>
        </w:rPr>
        <w:t>Core scenario grid</w:t>
      </w:r>
    </w:p>
    <w:p w14:paraId="1EAEAD09" w14:textId="77777777" w:rsidR="00B76314" w:rsidRPr="00B76314" w:rsidRDefault="00B76314" w:rsidP="00B76314">
      <w:pPr>
        <w:pStyle w:val="p1"/>
      </w:pPr>
      <w:r w:rsidRPr="00B76314">
        <w:t>The core analysis varies two policy-relevant parameters:</w:t>
      </w:r>
    </w:p>
    <w:p w14:paraId="2E30E2F9" w14:textId="5440B6C0" w:rsidR="00B76314" w:rsidRPr="00B76314" w:rsidRDefault="00B76314" w:rsidP="00B76314">
      <w:pPr>
        <w:pStyle w:val="p1"/>
      </w:pPr>
      <m:oMathPara>
        <m:oMath>
          <m:r>
            <w:rPr>
              <w:rFonts w:ascii="Cambria Math" w:hAnsi="Cambria Math"/>
            </w:rPr>
            <m:t>α∈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m:rPr>
                  <m:nor/>
                </m:rPr>
                <m:t> </m:t>
              </m:r>
            </m:e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0.3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0.5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p∈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2,000</m:t>
              </m:r>
            </m:e>
            <m:e>
              <m:r>
                <m:rPr>
                  <m:nor/>
                </m:rPr>
                <m:t> </m:t>
              </m:r>
            </m:e>
            <m:e>
              <m:r>
                <w:rPr>
                  <w:rFonts w:ascii="Cambria Math" w:hAnsi="Cambria Math"/>
                </w:rPr>
                <m:t>5,000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8,000</m:t>
              </m:r>
            </m:e>
          </m:d>
          <m:r>
            <m:rPr>
              <m:sty m:val="p"/>
            </m:rPr>
            <w:br/>
          </m:r>
        </m:oMath>
      </m:oMathPara>
    </w:p>
    <w:p w14:paraId="248046D8" w14:textId="2F7C2BCD" w:rsidR="00B76314" w:rsidRPr="00B76314" w:rsidRDefault="00B76314">
      <w:pPr>
        <w:pStyle w:val="p1"/>
        <w:numPr>
          <w:ilvl w:val="0"/>
          <w:numId w:val="25"/>
        </w:numPr>
      </w:pPr>
      <m:oMath>
        <m:r>
          <w:rPr>
            <w:rFonts w:ascii="Cambria Math" w:hAnsi="Cambria Math"/>
          </w:rPr>
          <m:t>α</m:t>
        </m:r>
      </m:oMath>
      <w:r w:rsidRPr="00B76314">
        <w:t> controls the strength of income-deprivation weighting in the recognised demand 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α</m:t>
                </m:r>
              </m:e>
            </m:d>
          </m:sup>
        </m:sSubSup>
      </m:oMath>
      <w:r w:rsidRPr="00B76314">
        <w:t>.</w:t>
      </w:r>
    </w:p>
    <w:p w14:paraId="682AA4E2" w14:textId="73DF348A" w:rsidR="00B76314" w:rsidRPr="00B76314" w:rsidRDefault="00B76314">
      <w:pPr>
        <w:pStyle w:val="p1"/>
        <w:numPr>
          <w:ilvl w:val="0"/>
          <w:numId w:val="25"/>
        </w:numPr>
      </w:pPr>
      <m:oMath>
        <m:r>
          <w:rPr>
            <w:rFonts w:ascii="Cambria Math" w:hAnsi="Cambria Math"/>
          </w:rPr>
          <m:t>α=0</m:t>
        </m:r>
      </m:oMath>
      <w:r w:rsidRPr="00B76314">
        <w:t> represents the unweighted baseline, while progressively larger values give greater priority to more income-deprived LSOAs.</w:t>
      </w:r>
    </w:p>
    <w:p w14:paraId="470458D4" w14:textId="2838F919" w:rsidR="00B76314" w:rsidRPr="00B76314" w:rsidRDefault="00B76314">
      <w:pPr>
        <w:pStyle w:val="p1"/>
        <w:numPr>
          <w:ilvl w:val="0"/>
          <w:numId w:val="25"/>
        </w:numPr>
      </w:pPr>
      <m:oMath>
        <m:r>
          <w:rPr>
            <w:rFonts w:ascii="Cambria Math" w:hAnsi="Cambria Math"/>
          </w:rPr>
          <m:t>p</m:t>
        </m:r>
      </m:oMath>
      <w:r w:rsidRPr="00B76314">
        <w:t> represents the total number of additional charging</w:t>
      </w:r>
      <w:r w:rsidR="00E333AE">
        <w:t xml:space="preserve"> locations</w:t>
      </w:r>
      <w:r w:rsidRPr="00B76314">
        <w:t xml:space="preserve"> available for allocation and defines low-, medium- and high-investment scenarios.</w:t>
      </w:r>
    </w:p>
    <w:p w14:paraId="0CD097FB" w14:textId="04B64E19" w:rsidR="00B76314" w:rsidRPr="00B76314" w:rsidRDefault="00B76314">
      <w:pPr>
        <w:pStyle w:val="p1"/>
        <w:numPr>
          <w:ilvl w:val="0"/>
          <w:numId w:val="25"/>
        </w:numPr>
      </w:pPr>
      <w:r w:rsidRPr="00B76314">
        <w:t>Combining four values of </w:t>
      </w:r>
      <m:oMath>
        <m:r>
          <w:rPr>
            <w:rFonts w:ascii="Cambria Math" w:hAnsi="Cambria Math"/>
          </w:rPr>
          <m:t>α</m:t>
        </m:r>
      </m:oMath>
      <w:r w:rsidRPr="00B76314">
        <w:t> with three values of </w:t>
      </w:r>
      <m:oMath>
        <m:r>
          <w:rPr>
            <w:rFonts w:ascii="Cambria Math" w:hAnsi="Cambria Math"/>
          </w:rPr>
          <m:t>p</m:t>
        </m:r>
      </m:oMath>
      <w:r w:rsidRPr="00B76314">
        <w:t> produces 12 core model configurations.</w:t>
      </w:r>
    </w:p>
    <w:p w14:paraId="39633F4B" w14:textId="6A08635D" w:rsidR="00B76314" w:rsidRDefault="00B76314">
      <w:pPr>
        <w:pStyle w:val="p1"/>
        <w:numPr>
          <w:ilvl w:val="0"/>
          <w:numId w:val="25"/>
        </w:numPr>
      </w:pPr>
      <w:r w:rsidRPr="00B76314">
        <w:t>The configuration </w:t>
      </w:r>
      <m:oMath>
        <m:r>
          <w:rPr>
            <w:rFonts w:ascii="Cambria Math" w:hAnsi="Cambria Math"/>
          </w:rPr>
          <m:t>α=0.3,</m:t>
        </m:r>
        <m:r>
          <m:rPr>
            <m:nor/>
          </m:rPr>
          <m:t> </m:t>
        </m:r>
        <m:r>
          <w:rPr>
            <w:rFonts w:ascii="Cambria Math" w:hAnsi="Cambria Math"/>
          </w:rPr>
          <m:t>p=5,000</m:t>
        </m:r>
      </m:oMath>
      <w:r w:rsidRPr="00B76314">
        <w:t> is used as the reference scenario for supplementary sensitivity tests.</w:t>
      </w:r>
    </w:p>
    <w:p w14:paraId="13B59FD5" w14:textId="2DA0A360" w:rsidR="00E03F0D" w:rsidRDefault="00FE4011" w:rsidP="006924FB">
      <w:pPr>
        <w:pStyle w:val="p1"/>
      </w:pPr>
      <w:r w:rsidRPr="00FE4011">
        <w:t>TfL/GLA (2025) estimate a 2030 public-</w:t>
      </w:r>
      <w:proofErr w:type="spellStart"/>
      <w:r w:rsidRPr="00FE4011">
        <w:t>chargepoint</w:t>
      </w:r>
      <w:proofErr w:type="spellEnd"/>
      <w:r w:rsidRPr="00FE4011">
        <w:t xml:space="preserve"> gap of approximately 17,500–25,500 units against London's current stock (§1). </w:t>
      </w:r>
      <m:oMath>
        <m:r>
          <w:rPr>
            <w:rFonts w:ascii="Cambria Math" w:hAnsi="Cambria Math"/>
          </w:rPr>
          <m:t>p</m:t>
        </m:r>
      </m:oMath>
      <w:r w:rsidRPr="00FE4011">
        <w:t> is tested at three levels representing low, medium and high investment scenarios, chosen as round numbers spanning roughly 10–45% of the lower-bound gap (~17,500 units): </w:t>
      </w:r>
      <m:oMath>
        <m:r>
          <w:rPr>
            <w:rFonts w:ascii="Cambria Math" w:hAnsi="Cambria Math"/>
          </w:rPr>
          <m:t>p=2,000</m:t>
        </m:r>
      </m:oMath>
      <w:r w:rsidRPr="00FE4011">
        <w:t xml:space="preserve"> (≈11%, a modest </w:t>
      </w:r>
      <w:r w:rsidRPr="00FE4011">
        <w:lastRenderedPageBreak/>
        <w:t>pilot), </w:t>
      </w:r>
      <m:oMath>
        <m:r>
          <w:rPr>
            <w:rFonts w:ascii="Cambria Math" w:hAnsi="Cambria Math"/>
          </w:rPr>
          <m:t>p=5,000</m:t>
        </m:r>
      </m:oMath>
      <w:r w:rsidRPr="00FE4011">
        <w:t> (≈29%, also used as the reference scenario for sensitivity testing), and </w:t>
      </w:r>
      <m:oMath>
        <m:r>
          <w:rPr>
            <w:rFonts w:ascii="Cambria Math" w:hAnsi="Cambria Math"/>
          </w:rPr>
          <m:t>p=8,000</m:t>
        </m:r>
      </m:oMath>
      <w:r w:rsidRPr="00FE4011">
        <w:t> (≈46%, approaching half the target gap).</w:t>
      </w:r>
    </w:p>
    <w:p w14:paraId="65243AAC" w14:textId="77777777" w:rsidR="00FE4011" w:rsidRDefault="00FE4011" w:rsidP="006924FB">
      <w:pPr>
        <w:pStyle w:val="p1"/>
        <w:rPr>
          <w:rFonts w:hint="eastAsia"/>
        </w:rPr>
      </w:pPr>
    </w:p>
    <w:p w14:paraId="2E051899" w14:textId="77777777" w:rsidR="006070EF" w:rsidRPr="006070EF" w:rsidRDefault="006070EF" w:rsidP="006070EF">
      <w:pPr>
        <w:pStyle w:val="p1"/>
      </w:pPr>
      <w:r w:rsidRPr="006070EF">
        <w:rPr>
          <w:b/>
          <w:bCs/>
        </w:rPr>
        <w:t>Pre-evaluation model checks</w:t>
      </w:r>
    </w:p>
    <w:p w14:paraId="148D7097" w14:textId="3D94393A" w:rsidR="006070EF" w:rsidRPr="006070EF" w:rsidRDefault="006070EF" w:rsidP="006070EF">
      <w:pPr>
        <w:pStyle w:val="p1"/>
      </w:pPr>
      <w:r w:rsidRPr="006070EF">
        <w:t>Before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6070EF">
        <w:t> is calculated, each model run will be checked to confirm it represents a meaningful, feasible allocation rather than a degenerate solution.</w:t>
      </w:r>
    </w:p>
    <w:p w14:paraId="1124FD84" w14:textId="77777777" w:rsidR="006070EF" w:rsidRPr="006070EF" w:rsidRDefault="006070EF" w:rsidP="006070EF">
      <w:pPr>
        <w:pStyle w:val="p1"/>
      </w:pPr>
      <w:r w:rsidRPr="006070EF">
        <w:t>The checks include:</w:t>
      </w:r>
    </w:p>
    <w:p w14:paraId="531E6E52" w14:textId="75D9E93B" w:rsidR="006070EF" w:rsidRPr="006070EF" w:rsidRDefault="006070EF" w:rsidP="006070EF">
      <w:pPr>
        <w:pStyle w:val="p1"/>
        <w:numPr>
          <w:ilvl w:val="0"/>
          <w:numId w:val="56"/>
        </w:numPr>
      </w:pPr>
      <w:r w:rsidRPr="006070EF">
        <w:t>confirming the solver status (Optimal / Feasible within time limit / Infeasible) and reported optimality gap for every 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6070EF">
        <w:t> configuration;</w:t>
      </w:r>
    </w:p>
    <w:p w14:paraId="517B1090" w14:textId="52E67F0C" w:rsidR="006070EF" w:rsidRPr="006070EF" w:rsidRDefault="006070EF" w:rsidP="006070EF">
      <w:pPr>
        <w:pStyle w:val="p1"/>
        <w:numPr>
          <w:ilvl w:val="0"/>
          <w:numId w:val="56"/>
        </w:numPr>
      </w:pPr>
      <w:r w:rsidRPr="006070EF">
        <w:t>confirming 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=p</m:t>
        </m:r>
      </m:oMath>
      <w:r w:rsidRPr="006070EF">
        <w:t> (the fixed investment-budget constraint is satisfied);</w:t>
      </w:r>
    </w:p>
    <w:p w14:paraId="793736CE" w14:textId="31924EA2" w:rsidR="006070EF" w:rsidRPr="006070EF" w:rsidRDefault="006070EF" w:rsidP="006070EF">
      <w:pPr>
        <w:pStyle w:val="p1"/>
        <w:numPr>
          <w:ilvl w:val="0"/>
          <w:numId w:val="56"/>
        </w:numPr>
      </w:pPr>
      <w:r w:rsidRPr="006070EF">
        <w:t>confirming the capacity constraint (C1) is not violated for any </w:t>
      </w:r>
      <m:oMath>
        <m:r>
          <w:rPr>
            <w:rFonts w:ascii="Cambria Math" w:hAnsi="Cambria Math"/>
          </w:rPr>
          <m:t>j</m:t>
        </m:r>
      </m:oMath>
      <w:r w:rsidRPr="006070EF">
        <w:t>, once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070EF">
        <w:t> has been accounted for;</w:t>
      </w:r>
    </w:p>
    <w:p w14:paraId="563E7C83" w14:textId="7A381B25" w:rsidR="006070EF" w:rsidRPr="006070EF" w:rsidRDefault="006070EF" w:rsidP="006070EF">
      <w:pPr>
        <w:pStyle w:val="p1"/>
        <w:numPr>
          <w:ilvl w:val="0"/>
          <w:numId w:val="56"/>
        </w:numPr>
      </w:pPr>
      <w:r w:rsidRPr="006070EF">
        <w:t>calculating total slack 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Pr="006070EF">
        <w:t> as a share of total scenario demand, and checking that the solution is not dominated by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≈1</m:t>
        </m:r>
      </m:oMath>
      <w:r w:rsidRPr="006070EF">
        <w:t> across most demand nodes with the shortfall absorbed into slack — the specific pattern the </w:t>
      </w:r>
      <m:oMath>
        <m:r>
          <w:rPr>
            <w:rFonts w:ascii="Cambria Math" w:hAnsi="Cambria Math"/>
          </w:rPr>
          <m:t>λ</m:t>
        </m:r>
      </m:oMath>
      <w:r w:rsidRPr="006070EF">
        <w:t> penalty is designed to prevent;</w:t>
      </w:r>
    </w:p>
    <w:p w14:paraId="363B9B36" w14:textId="27CA5EB4" w:rsidR="006070EF" w:rsidRPr="006070EF" w:rsidRDefault="006070EF" w:rsidP="006070EF">
      <w:pPr>
        <w:pStyle w:val="p1"/>
        <w:numPr>
          <w:ilvl w:val="0"/>
          <w:numId w:val="56"/>
        </w:numPr>
      </w:pPr>
      <w:r w:rsidRPr="006070EF">
        <w:t>confirming that changes in </w:t>
      </w:r>
      <m:oMath>
        <m:r>
          <w:rPr>
            <w:rFonts w:ascii="Cambria Math" w:hAnsi="Cambria Math"/>
          </w:rPr>
          <m:t>α</m:t>
        </m:r>
      </m:oMath>
      <w:r w:rsidRPr="006070EF">
        <w:t> or </w:t>
      </w:r>
      <m:oMath>
        <m:r>
          <w:rPr>
            <w:rFonts w:ascii="Cambria Math" w:hAnsi="Cambria Math"/>
          </w:rPr>
          <m:t>p</m:t>
        </m:r>
      </m:oMath>
      <w:r w:rsidRPr="006070EF">
        <w:t> produce changes in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6070EF">
        <w:t>, rather than a flat, unresponsive allocation.</w:t>
      </w:r>
    </w:p>
    <w:p w14:paraId="27BE367E" w14:textId="6E59612A" w:rsidR="006070EF" w:rsidRPr="006070EF" w:rsidRDefault="006070EF" w:rsidP="006070EF">
      <w:pPr>
        <w:pStyle w:val="p1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6070EF">
        <w:t> is interpreted only where these checks confirm the underlying allocation is a genuine, feasible, non-degenerate solution.</w:t>
      </w:r>
    </w:p>
    <w:p w14:paraId="4D8AFE95" w14:textId="77777777" w:rsidR="006070EF" w:rsidRPr="006070EF" w:rsidRDefault="006070EF" w:rsidP="006924FB">
      <w:pPr>
        <w:pStyle w:val="p1"/>
      </w:pPr>
    </w:p>
    <w:p w14:paraId="7156B279" w14:textId="77777777" w:rsidR="00E03F0D" w:rsidRDefault="00E03F0D" w:rsidP="006924FB">
      <w:pPr>
        <w:pStyle w:val="p1"/>
        <w:rPr>
          <w:rFonts w:hint="eastAsia"/>
        </w:rPr>
      </w:pPr>
    </w:p>
    <w:p w14:paraId="5380AB92" w14:textId="72534EA6" w:rsidR="007A031A" w:rsidRPr="007A031A" w:rsidRDefault="007A031A" w:rsidP="007A031A">
      <w:pPr>
        <w:pStyle w:val="p1"/>
        <w:rPr>
          <w:b/>
          <w:bCs/>
        </w:rPr>
      </w:pPr>
      <w:r w:rsidRPr="007A031A">
        <w:rPr>
          <w:b/>
          <w:bCs/>
        </w:rPr>
        <w:t>B. Evaluation</w:t>
      </w:r>
    </w:p>
    <w:p w14:paraId="0A42F23C" w14:textId="77777777" w:rsidR="007A031A" w:rsidRPr="007A031A" w:rsidRDefault="007A031A" w:rsidP="007A031A">
      <w:pPr>
        <w:pStyle w:val="p1"/>
      </w:pPr>
      <w:r w:rsidRPr="007A031A">
        <w:rPr>
          <w:b/>
          <w:bCs/>
        </w:rPr>
        <w:t>Purpose</w:t>
      </w:r>
    </w:p>
    <w:p w14:paraId="45539461" w14:textId="550A655A" w:rsidR="007A031A" w:rsidRPr="007A031A" w:rsidRDefault="007A031A">
      <w:pPr>
        <w:pStyle w:val="p1"/>
        <w:numPr>
          <w:ilvl w:val="0"/>
          <w:numId w:val="51"/>
        </w:numPr>
      </w:pPr>
      <w:r w:rsidRPr="007A031A">
        <w:t xml:space="preserve">Evaluate how the spatial distribution of charging accessibility changes as the income-deprivation weight </w:t>
      </w:r>
      <m:oMath>
        <m:r>
          <w:rPr>
            <w:rFonts w:ascii="Cambria Math" w:hAnsi="Cambria Math"/>
          </w:rPr>
          <m:t>α</m:t>
        </m:r>
      </m:oMath>
      <w:r w:rsidRPr="007A031A">
        <w:t xml:space="preserve"> increases, using a single accessibility measure applied consistently across all scenarios.</w:t>
      </w:r>
    </w:p>
    <w:p w14:paraId="32702A00" w14:textId="77777777" w:rsidR="007A031A" w:rsidRPr="007A031A" w:rsidRDefault="007A031A">
      <w:pPr>
        <w:pStyle w:val="p1"/>
        <w:numPr>
          <w:ilvl w:val="0"/>
          <w:numId w:val="51"/>
        </w:numPr>
      </w:pPr>
      <w:r w:rsidRPr="007A031A">
        <w:t>Examine this change from two angles: the overall shift in accessibility across Greater London, and how that shift is distributed across income-deprivation deciles.</w:t>
      </w:r>
    </w:p>
    <w:p w14:paraId="140816E6" w14:textId="77777777" w:rsidR="007A031A" w:rsidRPr="007A031A" w:rsidRDefault="007A031A" w:rsidP="007A031A">
      <w:pPr>
        <w:pStyle w:val="p1"/>
      </w:pPr>
      <w:r w:rsidRPr="007A031A">
        <w:rPr>
          <w:b/>
          <w:bCs/>
        </w:rPr>
        <w:t>Accessibility measure</w:t>
      </w:r>
    </w:p>
    <w:p w14:paraId="15632151" w14:textId="146479C7" w:rsidR="007A031A" w:rsidRPr="007A031A" w:rsidRDefault="00000000" w:rsidP="007A031A">
      <w:pPr>
        <w:pStyle w:val="p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 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</m:t>
                  </m:r>
                </m:den>
              </m:f>
            </m:e>
          </m:nary>
        </m:oMath>
      </m:oMathPara>
    </w:p>
    <w:p w14:paraId="1701D6E7" w14:textId="77777777" w:rsidR="007A031A" w:rsidRPr="007A031A" w:rsidRDefault="007A031A" w:rsidP="007A031A">
      <w:pPr>
        <w:pStyle w:val="p1"/>
      </w:pPr>
      <w:r w:rsidRPr="007A031A">
        <w:rPr>
          <w:b/>
          <w:bCs/>
        </w:rPr>
        <w:t>Variables</w:t>
      </w:r>
    </w:p>
    <w:p w14:paraId="3C9E116B" w14:textId="57C53604" w:rsidR="007A031A" w:rsidRPr="007A031A" w:rsidRDefault="00000000">
      <w:pPr>
        <w:pStyle w:val="p1"/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7A031A" w:rsidRPr="007A031A">
        <w:t xml:space="preserve">: accessibility score for LSOA </w:t>
      </w:r>
      <m:oMath>
        <m:r>
          <w:rPr>
            <w:rFonts w:ascii="Cambria Math" w:hAnsi="Cambria Math"/>
          </w:rPr>
          <m:t>i</m:t>
        </m:r>
      </m:oMath>
      <w:r w:rsidR="007A031A" w:rsidRPr="007A031A">
        <w:t xml:space="preserve">under equity scenario </w:t>
      </w:r>
      <m:oMath>
        <m:r>
          <w:rPr>
            <w:rFonts w:ascii="Cambria Math" w:hAnsi="Cambria Math"/>
          </w:rPr>
          <m:t>α</m:t>
        </m:r>
      </m:oMath>
      <w:r w:rsidR="007A031A" w:rsidRPr="007A031A">
        <w:t xml:space="preserve"> — the total charging provision reachable from $i$, discounted by distance. Higher values indicate greater accessibility.</w:t>
      </w:r>
    </w:p>
    <w:p w14:paraId="170F03E0" w14:textId="114C01E7" w:rsidR="007A031A" w:rsidRPr="007A031A" w:rsidRDefault="00000000">
      <w:pPr>
        <w:pStyle w:val="p1"/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7A031A" w:rsidRPr="007A031A">
        <w:t xml:space="preserve">: number of existing on-street charging locations in LSOA </w:t>
      </w:r>
      <m:oMath>
        <m:r>
          <w:rPr>
            <w:rFonts w:ascii="Cambria Math" w:hAnsi="Cambria Math"/>
          </w:rPr>
          <m:t>j</m:t>
        </m:r>
      </m:oMath>
      <w:r w:rsidR="007A031A" w:rsidRPr="007A031A">
        <w:t>, calculated in Phase 2 (unchanged across scenarios).</w:t>
      </w:r>
    </w:p>
    <w:p w14:paraId="36145F39" w14:textId="574EF13D" w:rsidR="007A031A" w:rsidRPr="007A031A" w:rsidRDefault="00000000">
      <w:pPr>
        <w:pStyle w:val="p1"/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7A031A" w:rsidRPr="007A031A">
        <w:t xml:space="preserve">: number of additional charging locations allocated to LSOA </w:t>
      </w:r>
      <m:oMath>
        <m:r>
          <w:rPr>
            <w:rFonts w:ascii="Cambria Math" w:hAnsi="Cambria Math"/>
          </w:rPr>
          <m:t>j</m:t>
        </m:r>
      </m:oMath>
      <w:r w:rsidR="007A031A" w:rsidRPr="007A031A">
        <w:t xml:space="preserve">under scenario </w:t>
      </w:r>
      <m:oMath>
        <m:r>
          <w:rPr>
            <w:rFonts w:ascii="Cambria Math" w:hAnsi="Cambria Math"/>
          </w:rPr>
          <m:t>α</m:t>
        </m:r>
      </m:oMath>
      <w:r w:rsidR="007A031A" w:rsidRPr="007A031A">
        <w:t>, taken from the Phase 3 p-median solution.</w:t>
      </w:r>
    </w:p>
    <w:p w14:paraId="4695E60C" w14:textId="0B70F6DB" w:rsidR="007A031A" w:rsidRPr="007A031A" w:rsidRDefault="00000000">
      <w:pPr>
        <w:pStyle w:val="p1"/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7A031A" w:rsidRPr="007A031A">
        <w:t xml:space="preserve">: total charging provision available at LSOA </w:t>
      </w:r>
      <m:oMath>
        <m:r>
          <w:rPr>
            <w:rFonts w:ascii="Cambria Math" w:hAnsi="Cambria Math"/>
          </w:rPr>
          <m:t>j</m:t>
        </m:r>
      </m:oMath>
      <w:r w:rsidR="007A031A" w:rsidRPr="007A031A">
        <w:t xml:space="preserve"> once new capacity from scenario </w:t>
      </w:r>
      <m:oMath>
        <m:r>
          <w:rPr>
            <w:rFonts w:ascii="Cambria Math" w:hAnsi="Cambria Math"/>
          </w:rPr>
          <m:t>α</m:t>
        </m:r>
      </m:oMath>
      <w:r w:rsidR="007A031A" w:rsidRPr="007A031A">
        <w:t xml:space="preserve"> is added — the supply term contributing to </w:t>
      </w:r>
      <m:oMath>
        <m:r>
          <w:rPr>
            <w:rFonts w:ascii="Cambria Math" w:hAnsi="Cambria Math"/>
          </w:rPr>
          <m:t>i</m:t>
        </m:r>
      </m:oMath>
      <w:r w:rsidR="007A031A" w:rsidRPr="007A031A">
        <w:t>'s accessibility.</w:t>
      </w:r>
    </w:p>
    <w:p w14:paraId="7FA73A1D" w14:textId="31DB96C2" w:rsidR="007A031A" w:rsidRPr="007A031A" w:rsidRDefault="00000000">
      <w:pPr>
        <w:pStyle w:val="p1"/>
        <w:numPr>
          <w:ilvl w:val="0"/>
          <w:numId w:val="5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7A031A" w:rsidRPr="007A031A">
        <w:t xml:space="preserve">: Euclidean distance between the centroids of LSOAs </w:t>
      </w:r>
      <m:oMath>
        <m:r>
          <w:rPr>
            <w:rFonts w:ascii="Cambria Math" w:hAnsi="Cambria Math"/>
          </w:rPr>
          <m:t>i</m:t>
        </m:r>
      </m:oMath>
      <w:r w:rsidR="007A031A" w:rsidRPr="007A031A">
        <w:t xml:space="preserve"> and </w:t>
      </w:r>
      <m:oMath>
        <m:r>
          <w:rPr>
            <w:rFonts w:ascii="Cambria Math" w:hAnsi="Cambria Math"/>
          </w:rPr>
          <m:t>j</m:t>
        </m:r>
      </m:oMath>
      <w:r w:rsidR="007A031A" w:rsidRPr="007A031A">
        <w:t>, as defined in Phase 3.</w:t>
      </w:r>
    </w:p>
    <w:p w14:paraId="4D6D6FFB" w14:textId="643BF63D" w:rsidR="007A031A" w:rsidRPr="007A031A" w:rsidRDefault="007A031A">
      <w:pPr>
        <w:pStyle w:val="p1"/>
        <w:numPr>
          <w:ilvl w:val="0"/>
          <w:numId w:val="52"/>
        </w:numPr>
      </w:pPr>
      <m:oMath>
        <m:r>
          <w:rPr>
            <w:rFonts w:ascii="Cambria Math" w:hAnsi="Cambria Math"/>
          </w:rPr>
          <m:t>c</m:t>
        </m:r>
      </m:oMath>
      <w:r w:rsidRPr="007A031A">
        <w:t xml:space="preserve">: a small positive constant added to the denominator to keep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A031A">
        <w:t xml:space="preserve"> finite when </w:t>
      </w:r>
      <m:oMath>
        <m:r>
          <w:rPr>
            <w:rFonts w:ascii="Cambria Math" w:hAnsi="Cambria Math"/>
          </w:rPr>
          <m:t>j=i</m:t>
        </m:r>
      </m:oMath>
      <w:r w:rsidRPr="007A031A">
        <w:t xml:space="preserve"> (where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  <m:r>
          <w:rPr>
            <w:rFonts w:ascii="Cambria Math" w:hAnsi="Cambria Math"/>
          </w:rPr>
          <m:t>=0</m:t>
        </m:r>
      </m:oMath>
      <w:r w:rsidRPr="007A031A">
        <w:t>); set to 100 m. It has no distance-decay role of its own and is not a parameter requiring separate justification.</w:t>
      </w:r>
    </w:p>
    <w:p w14:paraId="7A6DDD5A" w14:textId="102511EE" w:rsidR="007A031A" w:rsidRPr="007A031A" w:rsidRDefault="00000000">
      <w:pPr>
        <w:pStyle w:val="p1"/>
        <w:numPr>
          <w:ilvl w:val="0"/>
          <w:numId w:val="5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+c</m:t>
            </m:r>
          </m:den>
        </m:f>
      </m:oMath>
      <w:r w:rsidR="007A031A" w:rsidRPr="007A031A">
        <w:t xml:space="preserve">: the distance-decay weight. Provision nearby contributes strongly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7A031A" w:rsidRPr="007A031A">
        <w:t>; provision far away contributes little. Decay is continuous — there is no threshold at which provision abruptly stops counting.</w:t>
      </w:r>
    </w:p>
    <w:p w14:paraId="63D1B87C" w14:textId="77777777" w:rsidR="007A031A" w:rsidRPr="007A031A" w:rsidRDefault="007A031A" w:rsidP="007A031A">
      <w:pPr>
        <w:pStyle w:val="p1"/>
      </w:pPr>
      <w:r w:rsidRPr="007A031A">
        <w:rPr>
          <w:b/>
          <w:bCs/>
        </w:rPr>
        <w:t>Overall accessibility change</w:t>
      </w:r>
    </w:p>
    <w:p w14:paraId="7F9F515F" w14:textId="7BE37AA3" w:rsidR="007A031A" w:rsidRPr="007A031A" w:rsidRDefault="00000000" w:rsidP="007A031A">
      <w:pPr>
        <w:pStyle w:val="p1"/>
      </w:pP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sup>
                  </m:sSubSup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d>
                    </m:sup>
                  </m:sSubSup>
                </m:e>
              </m:nary>
            </m:den>
          </m:f>
        </m:oMath>
      </m:oMathPara>
    </w:p>
    <w:p w14:paraId="1E01B209" w14:textId="43E56905" w:rsidR="007A031A" w:rsidRPr="007A031A" w:rsidRDefault="007A031A">
      <w:pPr>
        <w:pStyle w:val="p1"/>
        <w:numPr>
          <w:ilvl w:val="0"/>
          <w:numId w:val="53"/>
        </w:numPr>
      </w:pPr>
      <w:r w:rsidRPr="007A031A">
        <w:t xml:space="preserve">The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sup>
        </m:sSubSup>
      </m:oMath>
      <w:r w:rsidRPr="007A031A">
        <w:t xml:space="preserve">-weighted mean accessibility score across Greater London under scenario </w:t>
      </w:r>
      <m:oMath>
        <m:r>
          <w:rPr>
            <w:rFonts w:ascii="Cambria Math" w:hAnsi="Cambria Math"/>
          </w:rPr>
          <m:t>α</m:t>
        </m:r>
      </m:oMath>
      <w:r w:rsidRPr="007A031A">
        <w:t>, using the same fixed baseline-demand weighting basis as the rest of Phase 4.</w:t>
      </w:r>
    </w:p>
    <w:p w14:paraId="4217B4CC" w14:textId="68F062E5" w:rsidR="007A031A" w:rsidRPr="007A031A" w:rsidRDefault="007A031A">
      <w:pPr>
        <w:pStyle w:val="p1"/>
        <w:numPr>
          <w:ilvl w:val="0"/>
          <w:numId w:val="53"/>
        </w:numPr>
      </w:pPr>
      <w:r w:rsidRPr="007A031A">
        <w:t xml:space="preserve">Compared against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7A031A">
        <w:t xml:space="preserve"> to assess whether stronger equity weighting raises or lowers accessibility overall.</w:t>
      </w:r>
    </w:p>
    <w:p w14:paraId="227FD26C" w14:textId="77777777" w:rsidR="007A031A" w:rsidRPr="007A031A" w:rsidRDefault="007A031A" w:rsidP="007A031A">
      <w:pPr>
        <w:pStyle w:val="p1"/>
      </w:pPr>
      <w:r w:rsidRPr="007A031A">
        <w:rPr>
          <w:b/>
          <w:bCs/>
        </w:rPr>
        <w:t>Distributional change</w:t>
      </w:r>
    </w:p>
    <w:p w14:paraId="1CB84AAF" w14:textId="36C1B54D" w:rsidR="007A031A" w:rsidRPr="007A031A" w:rsidRDefault="007A031A" w:rsidP="007A031A">
      <w:pPr>
        <w:pStyle w:val="p1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e>
          </m:d>
        </m:oMath>
      </m:oMathPara>
    </w:p>
    <w:p w14:paraId="6515E00F" w14:textId="6CD1B9BF" w:rsidR="007A031A" w:rsidRPr="007A031A" w:rsidRDefault="007A031A">
      <w:pPr>
        <w:pStyle w:val="p1"/>
        <w:numPr>
          <w:ilvl w:val="0"/>
          <w:numId w:val="54"/>
        </w:numPr>
      </w:pPr>
      <w:r w:rsidRPr="007A031A">
        <w:t xml:space="preserve">The change in LSOA </w:t>
      </w:r>
      <m:oMath>
        <m:r>
          <w:rPr>
            <w:rFonts w:ascii="Cambria Math" w:hAnsi="Cambria Math"/>
          </w:rPr>
          <m:t>i</m:t>
        </m:r>
      </m:oMath>
      <w:r w:rsidRPr="007A031A">
        <w:t>'s accessibility relative to the unweighted baseline.</w:t>
      </w:r>
    </w:p>
    <w:p w14:paraId="13417A0A" w14:textId="5711CF0F" w:rsidR="007A031A" w:rsidRPr="007A031A" w:rsidRDefault="007A031A">
      <w:pPr>
        <w:pStyle w:val="p1"/>
        <w:numPr>
          <w:ilvl w:val="0"/>
          <w:numId w:val="54"/>
        </w:numPr>
      </w:pPr>
      <w:r w:rsidRPr="007A031A">
        <w:t xml:space="preserve">Reported by London-specific deprivation decile: the mean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7A031A">
        <w:t xml:space="preserve">for the most deprived decile is compared against the mean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7A031A">
        <w:t>for the least deprived decile, to assess whether accessibility gains are concentrated in more deprived LSOAs.</w:t>
      </w:r>
    </w:p>
    <w:p w14:paraId="51F39C43" w14:textId="77777777" w:rsidR="007A031A" w:rsidRPr="007A031A" w:rsidRDefault="007A031A" w:rsidP="007A031A">
      <w:pPr>
        <w:pStyle w:val="p1"/>
      </w:pPr>
      <w:r w:rsidRPr="007A031A">
        <w:rPr>
          <w:b/>
          <w:bCs/>
        </w:rPr>
        <w:t>Model feasibility diagnostic</w:t>
      </w:r>
    </w:p>
    <w:p w14:paraId="09BE8CE3" w14:textId="1EFF0F78" w:rsidR="007A031A" w:rsidRPr="007A031A" w:rsidRDefault="007A031A">
      <w:pPr>
        <w:pStyle w:val="p1"/>
        <w:numPr>
          <w:ilvl w:val="0"/>
          <w:numId w:val="55"/>
        </w:numPr>
      </w:pPr>
      <w:r w:rsidRPr="007A031A">
        <w:t xml:space="preserve">The total slack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Pr="007A031A">
        <w:t xml:space="preserve"> from Phase 3, expressed as a share of total scenario demand, is reported alongside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7A031A"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Pr="007A031A">
        <w:t>. It answers a distinct question — how much recognised demand the capacity constraints could not accommodate — that the accessibility scores do not capture on their own.</w:t>
      </w:r>
    </w:p>
    <w:p w14:paraId="55490CD0" w14:textId="77777777" w:rsidR="00E03F0D" w:rsidRPr="002A03EB" w:rsidRDefault="00E03F0D" w:rsidP="006924FB">
      <w:pPr>
        <w:pStyle w:val="p1"/>
      </w:pPr>
    </w:p>
    <w:p w14:paraId="2C9638E4" w14:textId="77777777" w:rsidR="00E03F0D" w:rsidRPr="00E03F0D" w:rsidRDefault="00E03F0D" w:rsidP="00E03F0D">
      <w:pPr>
        <w:pStyle w:val="p1"/>
        <w:rPr>
          <w:b/>
          <w:bCs/>
        </w:rPr>
      </w:pPr>
      <w:r w:rsidRPr="00E03F0D">
        <w:rPr>
          <w:b/>
          <w:bCs/>
        </w:rPr>
        <w:t>Output</w:t>
      </w:r>
    </w:p>
    <w:p w14:paraId="1E0B8287" w14:textId="77777777" w:rsidR="00704ABC" w:rsidRPr="00704ABC" w:rsidRDefault="00704ABC" w:rsidP="00704ABC">
      <w:pPr>
        <w:pStyle w:val="p1"/>
      </w:pPr>
      <w:r w:rsidRPr="00704ABC">
        <w:t>Phase 4 produces:</w:t>
      </w:r>
    </w:p>
    <w:p w14:paraId="3A9B2F6A" w14:textId="189381BD" w:rsidR="00704ABC" w:rsidRPr="00704ABC" w:rsidRDefault="00704ABC" w:rsidP="00704ABC">
      <w:pPr>
        <w:pStyle w:val="p1"/>
        <w:numPr>
          <w:ilvl w:val="0"/>
          <w:numId w:val="57"/>
        </w:numPr>
      </w:pPr>
      <w:r w:rsidRPr="00704ABC">
        <w:lastRenderedPageBreak/>
        <w:t>a summary table of overall accessibility 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704ABC">
        <w:t xml:space="preserve"> across the 12 </w:t>
      </w:r>
      <w:proofErr w:type="gramStart"/>
      <w:r w:rsidRPr="00704ABC">
        <w:t>core</w:t>
      </w:r>
      <w:proofErr w:type="gramEnd"/>
      <w:r w:rsidRPr="00704ABC">
        <w:t> </w:t>
      </w:r>
      <m:oMath>
        <m:r>
          <w:rPr>
            <w:rFonts w:ascii="Cambria Math" w:hAnsi="Cambria Math"/>
          </w:rPr>
          <m:t>α×p</m:t>
        </m:r>
      </m:oMath>
      <w:r w:rsidRPr="00704ABC">
        <w:t> configurations, including its percentage change relative to </w:t>
      </w:r>
      <m:oMath>
        <m:r>
          <w:rPr>
            <w:rFonts w:ascii="Cambria Math" w:hAnsi="Cambria Math"/>
          </w:rPr>
          <m:t>α=0</m:t>
        </m:r>
      </m:oMath>
      <w:r w:rsidRPr="00704ABC">
        <w:t> at the same </w:t>
      </w:r>
      <m:oMath>
        <m:r>
          <w:rPr>
            <w:rFonts w:ascii="Cambria Math" w:hAnsi="Cambria Math"/>
          </w:rPr>
          <m:t>p</m:t>
        </m:r>
      </m:oMath>
      <w:r w:rsidRPr="00704ABC">
        <w:t>;</w:t>
      </w:r>
    </w:p>
    <w:p w14:paraId="6E76BC16" w14:textId="6EA72CD2" w:rsidR="00704ABC" w:rsidRPr="00704ABC" w:rsidRDefault="00704ABC" w:rsidP="00704ABC">
      <w:pPr>
        <w:pStyle w:val="p1"/>
        <w:numPr>
          <w:ilvl w:val="0"/>
          <w:numId w:val="57"/>
        </w:numPr>
      </w:pPr>
      <w:r w:rsidRPr="00704ABC">
        <w:t>maps showing the LSOA-level allocation of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704ABC">
        <w:t> under each core scenario;</w:t>
      </w:r>
    </w:p>
    <w:p w14:paraId="5C1A9C3D" w14:textId="16AF6020" w:rsidR="00704ABC" w:rsidRPr="00704ABC" w:rsidRDefault="00704ABC" w:rsidP="00704ABC">
      <w:pPr>
        <w:pStyle w:val="p1"/>
        <w:numPr>
          <w:ilvl w:val="0"/>
          <w:numId w:val="57"/>
        </w:numPr>
      </w:pPr>
      <w:r w:rsidRPr="00704ABC">
        <w:t>maps showing LSOA-level accessibility change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704ABC">
        <w:t> relative to the unweighted scenario at the same </w:t>
      </w:r>
      <m:oMath>
        <m:r>
          <w:rPr>
            <w:rFonts w:ascii="Cambria Math" w:hAnsi="Cambria Math"/>
          </w:rPr>
          <m:t>p</m:t>
        </m:r>
      </m:oMath>
      <w:r w:rsidRPr="00704ABC">
        <w:t>;</w:t>
      </w:r>
    </w:p>
    <w:p w14:paraId="03E8C0EE" w14:textId="46DD479C" w:rsidR="00704ABC" w:rsidRPr="00704ABC" w:rsidRDefault="00704ABC" w:rsidP="00704ABC">
      <w:pPr>
        <w:pStyle w:val="p1"/>
        <w:numPr>
          <w:ilvl w:val="0"/>
          <w:numId w:val="57"/>
        </w:numPr>
      </w:pPr>
      <w:r w:rsidRPr="00704ABC">
        <w:t>deprivation-decile profiles of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704ABC">
        <w:t>;</w:t>
      </w:r>
    </w:p>
    <w:p w14:paraId="133E2C1A" w14:textId="376682A1" w:rsidR="00704ABC" w:rsidRPr="00704ABC" w:rsidRDefault="00704ABC" w:rsidP="00704ABC">
      <w:pPr>
        <w:pStyle w:val="p1"/>
        <w:numPr>
          <w:ilvl w:val="0"/>
          <w:numId w:val="57"/>
        </w:numPr>
      </w:pPr>
      <w:r w:rsidRPr="00704ABC">
        <w:t>model-feasibility diagnostics (solver status, slack share </w:t>
      </w:r>
      <m:oMath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</m:oMath>
      <w:r w:rsidRPr="00704ABC">
        <w:t>) and sensitivity results for </w:t>
      </w:r>
      <m:oMath>
        <m:r>
          <w:rPr>
            <w:rFonts w:ascii="Cambria Math" w:hAnsi="Cambria Math"/>
          </w:rPr>
          <m:t>K</m:t>
        </m:r>
      </m:oMath>
      <w:r w:rsidRPr="00704ABC">
        <w:t>, </w:t>
      </w:r>
      <m:oMath>
        <m:r>
          <w:rPr>
            <w:rFonts w:ascii="Cambria Math" w:hAnsi="Cambria Math"/>
          </w:rPr>
          <m:t>k</m:t>
        </m:r>
      </m:oMath>
      <w:r w:rsidRPr="00704ABC">
        <w:t> and </w:t>
      </w:r>
      <m:oMath>
        <m:r>
          <w:rPr>
            <w:rFonts w:ascii="Cambria Math" w:hAnsi="Cambria Math"/>
          </w:rPr>
          <m:t>c</m:t>
        </m:r>
      </m:oMath>
      <w:r w:rsidRPr="00704ABC">
        <w:t>.</w:t>
      </w:r>
    </w:p>
    <w:p w14:paraId="532E996A" w14:textId="3A5CCC5A" w:rsidR="00704ABC" w:rsidRPr="00704ABC" w:rsidRDefault="00704ABC" w:rsidP="00704ABC">
      <w:pPr>
        <w:pStyle w:val="p1"/>
      </w:pPr>
      <w:r w:rsidRPr="00704ABC">
        <w:t>Whether accessibility gains are concentrated in more deprived deciles as </w:t>
      </w:r>
      <m:oMath>
        <m:r>
          <w:rPr>
            <w:rFonts w:ascii="Cambria Math" w:hAnsi="Cambria Math"/>
          </w:rPr>
          <m:t>α</m:t>
        </m:r>
      </m:oMath>
      <w:r w:rsidRPr="00704ABC">
        <w:t> increases will be assessed directly from the decile profiles of 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704ABC">
        <w:t>.</w:t>
      </w:r>
    </w:p>
    <w:p w14:paraId="7E6CA640" w14:textId="77777777" w:rsidR="00E03F0D" w:rsidRPr="00704ABC" w:rsidRDefault="00E03F0D" w:rsidP="006924FB">
      <w:pPr>
        <w:pStyle w:val="p1"/>
      </w:pPr>
    </w:p>
    <w:p w14:paraId="4CD8775A" w14:textId="0C9F1A89" w:rsidR="00A363F3" w:rsidRDefault="00A363F3" w:rsidP="00A363F3">
      <w:pPr>
        <w:pStyle w:val="p2"/>
      </w:pPr>
      <w:r>
        <w:t>3.</w:t>
      </w:r>
      <w:r>
        <w:rPr>
          <w:rFonts w:hint="eastAsia"/>
        </w:rPr>
        <w:t>4</w:t>
      </w:r>
      <w:r>
        <w:t>. Ethical Considerations</w:t>
      </w:r>
    </w:p>
    <w:p w14:paraId="2767853F" w14:textId="77777777" w:rsidR="00A363F3" w:rsidRDefault="00A363F3" w:rsidP="00A363F3">
      <w:pPr>
        <w:pStyle w:val="p2"/>
        <w:numPr>
          <w:ilvl w:val="0"/>
          <w:numId w:val="46"/>
        </w:numPr>
      </w:pPr>
      <w:r w:rsidRPr="00157E86">
        <w:t>ethical approval</w:t>
      </w:r>
    </w:p>
    <w:p w14:paraId="496F9BA7" w14:textId="77777777" w:rsidR="00A363F3" w:rsidRDefault="00A363F3" w:rsidP="00A363F3">
      <w:pPr>
        <w:pStyle w:val="p2"/>
        <w:numPr>
          <w:ilvl w:val="0"/>
          <w:numId w:val="46"/>
        </w:numPr>
      </w:pPr>
      <w:r w:rsidRPr="00157E86">
        <w:t>no personally identifiable information is present in, or used from, any data source.</w:t>
      </w:r>
    </w:p>
    <w:p w14:paraId="51E877B3" w14:textId="77777777" w:rsidR="00E03F0D" w:rsidRPr="00A363F3" w:rsidRDefault="00E03F0D" w:rsidP="006924FB">
      <w:pPr>
        <w:pStyle w:val="p1"/>
      </w:pPr>
    </w:p>
    <w:p w14:paraId="602F3AF9" w14:textId="77777777" w:rsidR="00E03F0D" w:rsidRPr="00E03F0D" w:rsidRDefault="00E03F0D" w:rsidP="006924FB">
      <w:pPr>
        <w:pStyle w:val="p1"/>
      </w:pPr>
    </w:p>
    <w:p w14:paraId="0A958B66" w14:textId="77777777" w:rsidR="00B76314" w:rsidRPr="00B76314" w:rsidRDefault="00B76314" w:rsidP="006924FB">
      <w:pPr>
        <w:pStyle w:val="p1"/>
      </w:pPr>
    </w:p>
    <w:p w14:paraId="17BCE6CC" w14:textId="2FFCDEFB" w:rsidR="006924FB" w:rsidRDefault="006924FB" w:rsidP="006924FB">
      <w:pPr>
        <w:pStyle w:val="p1"/>
      </w:pPr>
      <w:r>
        <w:rPr>
          <w:b/>
          <w:bCs/>
        </w:rPr>
        <w:t>4.</w:t>
      </w:r>
      <w:r>
        <w:rPr>
          <w:rStyle w:val="s1"/>
        </w:rPr>
        <w:t xml:space="preserve"> </w:t>
      </w:r>
      <w:r>
        <w:rPr>
          <w:b/>
          <w:bCs/>
        </w:rPr>
        <w:t>Results</w:t>
      </w:r>
      <w:r w:rsidR="00C766F6">
        <w:rPr>
          <w:rFonts w:hint="eastAsia"/>
          <w:b/>
          <w:bCs/>
        </w:rPr>
        <w:t xml:space="preserve"> 500-1000words</w:t>
      </w:r>
    </w:p>
    <w:p w14:paraId="78CD0D99" w14:textId="56C7A19F" w:rsidR="00222B2D" w:rsidRDefault="006924FB" w:rsidP="006924FB">
      <w:pPr>
        <w:pStyle w:val="p2"/>
      </w:pPr>
      <w:r>
        <w:t xml:space="preserve">4.1. </w:t>
      </w:r>
      <w:r w:rsidR="00222B2D" w:rsidRPr="00222B2D">
        <w:t>Demand Estimation Results</w:t>
      </w:r>
    </w:p>
    <w:p w14:paraId="6007F9BA" w14:textId="4091DD4A" w:rsidR="00222B2D" w:rsidRDefault="00222B2D" w:rsidP="006924FB">
      <w:pPr>
        <w:pStyle w:val="p2"/>
      </w:pPr>
      <w:r w:rsidRPr="00222B2D">
        <w:t xml:space="preserve">Figure 4.1a. Equity-adjusted demand across all four scenarios (shared </w:t>
      </w:r>
      <w:proofErr w:type="spellStart"/>
      <w:r w:rsidRPr="00222B2D">
        <w:t>colour</w:t>
      </w:r>
      <w:proofErr w:type="spellEnd"/>
      <w:r w:rsidRPr="00222B2D">
        <w:t xml:space="preserve"> scale)</w:t>
      </w:r>
    </w:p>
    <w:p w14:paraId="44EEE737" w14:textId="0927ADAC" w:rsidR="006924FB" w:rsidRDefault="00CE5CBD" w:rsidP="006924FB">
      <w:pPr>
        <w:pStyle w:val="p2"/>
      </w:pPr>
      <w:r w:rsidRPr="00CE5CBD">
        <w:rPr>
          <w:noProof/>
        </w:rPr>
        <w:lastRenderedPageBreak/>
        <w:drawing>
          <wp:inline distT="0" distB="0" distL="0" distR="0" wp14:anchorId="45DDDD7E" wp14:editId="0F6CFB45">
            <wp:extent cx="4311941" cy="3952959"/>
            <wp:effectExtent l="0" t="0" r="6350" b="0"/>
            <wp:docPr id="1201059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59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429" cy="396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CBD">
        <w:t xml:space="preserve"> </w:t>
      </w:r>
    </w:p>
    <w:p w14:paraId="4E16BA8A" w14:textId="15980D35" w:rsidR="00222B2D" w:rsidRDefault="00000000" w:rsidP="006924FB">
      <w:pPr>
        <w:pStyle w:val="p2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</m:oMath>
      <w:r w:rsidR="00222B2D" w:rsidRPr="00222B2D">
        <w:t> across all four equity scenarios, plotted on a shared colour scale for direct comparison.</w:t>
      </w:r>
    </w:p>
    <w:p w14:paraId="5603FDDD" w14:textId="2EBD477C" w:rsidR="00222B2D" w:rsidRDefault="00222B2D" w:rsidP="006924FB">
      <w:pPr>
        <w:pStyle w:val="p2"/>
      </w:pPr>
      <w:r w:rsidRPr="00222B2D">
        <w:t>The four panels look broadly similar: demand is dominated by household vehicle stock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22B2D">
        <w:t>), which varies far more across LSOAs than the equity multiplier does. Outer boroughs (notably the south-east and north-east) show consistently higher demand, reflecting higher car ownership rather than income deprivation.</w:t>
      </w:r>
    </w:p>
    <w:p w14:paraId="08D02CD2" w14:textId="63CC36C2" w:rsidR="00222B2D" w:rsidRDefault="00222B2D" w:rsidP="006924FB">
      <w:pPr>
        <w:pStyle w:val="p2"/>
      </w:pPr>
      <w:r w:rsidRPr="00222B2D">
        <w:t>This confirms the demand "skeleton" is not overwhelmed by the equity term — the multiplicative structure keeps household vehicle stock as the dominant driver, with the equity weighting acting as a secondary adjustment.</w:t>
      </w:r>
    </w:p>
    <w:p w14:paraId="7CFC0509" w14:textId="48B2D705" w:rsidR="00222B2D" w:rsidRDefault="00222B2D" w:rsidP="006924FB">
      <w:pPr>
        <w:pStyle w:val="p2"/>
      </w:pPr>
      <w:r w:rsidRPr="00222B2D">
        <w:t xml:space="preserve">Figure 4.1b. Where equity weighting adds </w:t>
      </w:r>
      <w:proofErr w:type="spellStart"/>
      <w:r w:rsidRPr="00222B2D">
        <w:t>recognised</w:t>
      </w:r>
      <w:proofErr w:type="spellEnd"/>
      <w:r w:rsidRPr="00222B2D">
        <w:t xml:space="preserve"> demand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222B2D">
        <w:t>, Scenarios B/C/D vs A)</w:t>
      </w:r>
    </w:p>
    <w:p w14:paraId="4BFEF4D4" w14:textId="5905E555" w:rsidR="00222B2D" w:rsidRDefault="00222B2D" w:rsidP="006924FB">
      <w:pPr>
        <w:pStyle w:val="p2"/>
      </w:pPr>
      <w:r w:rsidRPr="00222B2D">
        <w:rPr>
          <w:noProof/>
        </w:rPr>
        <w:drawing>
          <wp:inline distT="0" distB="0" distL="0" distR="0" wp14:anchorId="28240F9B" wp14:editId="13826462">
            <wp:extent cx="5270500" cy="1788795"/>
            <wp:effectExtent l="0" t="0" r="0" b="1905"/>
            <wp:docPr id="112286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5FA">
        <w:rPr>
          <w:rFonts w:hint="eastAsia"/>
        </w:rPr>
        <w:t xml:space="preserve"> </w:t>
      </w:r>
    </w:p>
    <w:p w14:paraId="0ABB6226" w14:textId="70E87FA7" w:rsidR="00222B2D" w:rsidRDefault="00222B2D" w:rsidP="006924FB">
      <w:pPr>
        <w:pStyle w:val="p2"/>
      </w:pPr>
      <w:r w:rsidRPr="00222B2D">
        <w:t xml:space="preserve">Isolates the demand added purely by the equity term, on its own </w:t>
      </w:r>
      <w:proofErr w:type="spellStart"/>
      <w:r w:rsidRPr="00222B2D">
        <w:t>colour</w:t>
      </w:r>
      <w:proofErr w:type="spellEnd"/>
      <w:r w:rsidRPr="00222B2D">
        <w:t xml:space="preserve"> scale (the added amounts are small relative to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22B2D">
        <w:t> itself).</w:t>
      </w:r>
    </w:p>
    <w:p w14:paraId="3E153EE7" w14:textId="559001B4" w:rsidR="00222B2D" w:rsidRDefault="00222B2D" w:rsidP="006924FB">
      <w:pPr>
        <w:pStyle w:val="p2"/>
      </w:pPr>
      <w:r w:rsidRPr="00222B2D">
        <w:t>The added demand grows in both magnitude and spatial extent as </w:t>
      </w:r>
      <m:oMath>
        <m:r>
          <w:rPr>
            <w:rFonts w:ascii="Cambria Math" w:hAnsi="Cambria Math"/>
          </w:rPr>
          <m:t>α</m:t>
        </m:r>
      </m:oMath>
      <w:r w:rsidRPr="00222B2D">
        <w:t> increases — barely visible at </w:t>
      </w:r>
      <m:oMath>
        <m:r>
          <w:rPr>
            <w:rFonts w:ascii="Cambria Math" w:hAnsi="Cambria Math"/>
          </w:rPr>
          <m:t>α=0.1</m:t>
        </m:r>
      </m:oMath>
      <w:r w:rsidRPr="00222B2D">
        <w:t>, clearly concentrated in specific LSOAs by </w:t>
      </w:r>
      <m:oMath>
        <m:r>
          <w:rPr>
            <w:rFonts w:ascii="Cambria Math" w:hAnsi="Cambria Math"/>
          </w:rPr>
          <m:t>α=0.3</m:t>
        </m:r>
      </m:oMath>
      <w:r w:rsidRPr="00222B2D">
        <w:t xml:space="preserve">, and covering a substantially larger area with several near-maximum values </w:t>
      </w:r>
      <w:r w:rsidRPr="00222B2D">
        <w:lastRenderedPageBreak/>
        <w:t>by </w:t>
      </w:r>
      <m:oMath>
        <m:r>
          <w:rPr>
            <w:rFonts w:ascii="Cambria Math" w:hAnsi="Cambria Math"/>
          </w:rPr>
          <m:t>α=0.5</m:t>
        </m:r>
      </m:oMath>
      <w:r w:rsidRPr="00222B2D">
        <w:t>.</w:t>
      </w:r>
      <w:r w:rsidRPr="00222B2D">
        <w:br/>
        <w:t>The spatial pattern of added demand tracks income deprivation (cf. EDA Panel B), confirming the equity mechanism is directing additional recognised demand toward the intended areas.</w:t>
      </w:r>
    </w:p>
    <w:p w14:paraId="3540FBC3" w14:textId="77777777" w:rsidR="00222B2D" w:rsidRDefault="00222B2D" w:rsidP="006924FB">
      <w:pPr>
        <w:pStyle w:val="p2"/>
      </w:pPr>
    </w:p>
    <w:p w14:paraId="0EA5BA2D" w14:textId="77777777" w:rsidR="00222B2D" w:rsidRPr="00222B2D" w:rsidRDefault="00222B2D" w:rsidP="006924FB">
      <w:pPr>
        <w:pStyle w:val="p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66"/>
        <w:gridCol w:w="66"/>
        <w:gridCol w:w="81"/>
      </w:tblGrid>
      <w:tr w:rsidR="00D26160" w:rsidRPr="00D26160" w14:paraId="3F886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7A59" w14:textId="77777777" w:rsidR="00D26160" w:rsidRPr="00D26160" w:rsidRDefault="00D26160" w:rsidP="00D26160">
            <w:pPr>
              <w:pStyle w:val="p2"/>
            </w:pPr>
            <w:r w:rsidRPr="00D26160">
              <w:t>4.2 Existing Provision &amp; Spatial Mismatch</w:t>
            </w:r>
          </w:p>
        </w:tc>
        <w:tc>
          <w:tcPr>
            <w:tcW w:w="0" w:type="auto"/>
            <w:vAlign w:val="center"/>
            <w:hideMark/>
          </w:tcPr>
          <w:p w14:paraId="6AAC51EA" w14:textId="77777777" w:rsidR="00D26160" w:rsidRPr="00D26160" w:rsidRDefault="00D26160" w:rsidP="00D26160">
            <w:pPr>
              <w:pStyle w:val="p2"/>
            </w:pPr>
          </w:p>
        </w:tc>
        <w:tc>
          <w:tcPr>
            <w:tcW w:w="0" w:type="auto"/>
            <w:vAlign w:val="center"/>
            <w:hideMark/>
          </w:tcPr>
          <w:p w14:paraId="6FCF76F1" w14:textId="77777777" w:rsidR="00D26160" w:rsidRPr="00D26160" w:rsidRDefault="00D26160" w:rsidP="00D26160">
            <w:pPr>
              <w:pStyle w:val="p2"/>
            </w:pPr>
          </w:p>
        </w:tc>
        <w:tc>
          <w:tcPr>
            <w:tcW w:w="0" w:type="auto"/>
            <w:vAlign w:val="center"/>
            <w:hideMark/>
          </w:tcPr>
          <w:p w14:paraId="0512DBD6" w14:textId="77777777" w:rsidR="00D26160" w:rsidRPr="00D26160" w:rsidRDefault="00D26160" w:rsidP="00D26160">
            <w:pPr>
              <w:pStyle w:val="p2"/>
            </w:pPr>
          </w:p>
        </w:tc>
      </w:tr>
    </w:tbl>
    <w:p w14:paraId="1C291148" w14:textId="527FAFCB" w:rsidR="006924FB" w:rsidRDefault="00CE5CBD" w:rsidP="006924FB">
      <w:pPr>
        <w:pStyle w:val="p2"/>
      </w:pPr>
      <w:r w:rsidRPr="00CE5CBD">
        <w:rPr>
          <w:noProof/>
        </w:rPr>
        <w:drawing>
          <wp:inline distT="0" distB="0" distL="0" distR="0" wp14:anchorId="0787E57A" wp14:editId="09D693C9">
            <wp:extent cx="5270500" cy="2776220"/>
            <wp:effectExtent l="0" t="0" r="0" b="5080"/>
            <wp:docPr id="172314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42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B7A8" w14:textId="77777777" w:rsidR="007E3A34" w:rsidRPr="007E3A34" w:rsidRDefault="007E3A34" w:rsidP="007E3A34">
      <w:pPr>
        <w:pStyle w:val="p2"/>
      </w:pPr>
      <w:r w:rsidRPr="007E3A34">
        <w:rPr>
          <w:b/>
          <w:bCs/>
        </w:rPr>
        <w:t>Finding 1 — counter-intuitive: True desert rises with affluence, not deprivation</w:t>
      </w:r>
    </w:p>
    <w:p w14:paraId="21699F52" w14:textId="77777777" w:rsidR="007E3A34" w:rsidRPr="007E3A34" w:rsidRDefault="007E3A34">
      <w:pPr>
        <w:pStyle w:val="p2"/>
        <w:numPr>
          <w:ilvl w:val="0"/>
          <w:numId w:val="47"/>
        </w:numPr>
      </w:pPr>
      <w:r w:rsidRPr="007E3A34">
        <w:t>Decile 1 (most deprived): 9.6% → Decile 10 (least deprived): 38.2%, roughly monotonic.</w:t>
      </w:r>
    </w:p>
    <w:p w14:paraId="6C11C6DB" w14:textId="4030FEC4" w:rsidR="007E3A34" w:rsidRPr="007E3A34" w:rsidRDefault="007E3A34">
      <w:pPr>
        <w:pStyle w:val="p2"/>
        <w:numPr>
          <w:ilvl w:val="0"/>
          <w:numId w:val="47"/>
        </w:numPr>
      </w:pPr>
      <w:r w:rsidRPr="007E3A34">
        <w:t>Likely explanation: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3A34">
        <w:t> (car-ownership demand) itself higher in affluent outer boroughs → more LSOAs cross the desert threshold even where off-street parking reduces reliance on on-street charging.</w:t>
      </w:r>
    </w:p>
    <w:p w14:paraId="0106B700" w14:textId="71ABC9F2" w:rsidR="007E3A34" w:rsidRPr="007E3A34" w:rsidRDefault="007E3A34">
      <w:pPr>
        <w:pStyle w:val="p2"/>
        <w:numPr>
          <w:ilvl w:val="0"/>
          <w:numId w:val="47"/>
        </w:numPr>
      </w:pPr>
      <w:r w:rsidRPr="007E3A34">
        <w:t>Reads as a limitation of on-street-only supply measure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3A34">
        <w:t>), not evidence deprived areas are well served.</w:t>
      </w:r>
    </w:p>
    <w:p w14:paraId="368FC958" w14:textId="77777777" w:rsidR="007E3A34" w:rsidRDefault="007E3A34" w:rsidP="006924FB">
      <w:pPr>
        <w:pStyle w:val="p2"/>
      </w:pPr>
    </w:p>
    <w:p w14:paraId="491327F5" w14:textId="77777777" w:rsidR="007E3A34" w:rsidRPr="007E3A34" w:rsidRDefault="007E3A34" w:rsidP="007E3A34">
      <w:pPr>
        <w:pStyle w:val="p2"/>
      </w:pPr>
      <w:r w:rsidRPr="007E3A34">
        <w:rPr>
          <w:b/>
          <w:bCs/>
        </w:rPr>
        <w:t>Finding 2 — consistent with equity motivation: saturation skews toward deprived deciles</w:t>
      </w:r>
    </w:p>
    <w:p w14:paraId="7EF0AE5A" w14:textId="77777777" w:rsidR="007E3A34" w:rsidRPr="007E3A34" w:rsidRDefault="007E3A34">
      <w:pPr>
        <w:pStyle w:val="p2"/>
        <w:numPr>
          <w:ilvl w:val="0"/>
          <w:numId w:val="48"/>
        </w:numPr>
      </w:pPr>
      <w:r w:rsidRPr="007E3A34">
        <w:t>Saturated/underprovided: Decile 1 = 33.2% vs Decile 10 = 25.2%.</w:t>
      </w:r>
    </w:p>
    <w:p w14:paraId="37D3B775" w14:textId="6F7D11D4" w:rsidR="007E3A34" w:rsidRDefault="007E3A34" w:rsidP="006924FB">
      <w:pPr>
        <w:pStyle w:val="p2"/>
        <w:numPr>
          <w:ilvl w:val="0"/>
          <w:numId w:val="48"/>
        </w:numPr>
      </w:pPr>
      <w:r w:rsidRPr="007E3A34">
        <w:t xml:space="preserve">Where provision exists in deprived areas, it's used more intensively — </w:t>
      </w:r>
      <w:r w:rsidR="00D154BB" w:rsidRPr="00D154BB">
        <w:t xml:space="preserve">consistent with greater observed </w:t>
      </w:r>
      <w:proofErr w:type="spellStart"/>
      <w:r w:rsidR="00D154BB" w:rsidRPr="00D154BB">
        <w:t>utilisation</w:t>
      </w:r>
      <w:proofErr w:type="spellEnd"/>
      <w:r w:rsidR="00D154BB" w:rsidRPr="00D154BB">
        <w:t xml:space="preserve"> pressure</w:t>
      </w:r>
    </w:p>
    <w:p w14:paraId="132DD845" w14:textId="77777777" w:rsidR="007E3A34" w:rsidRPr="007E3A34" w:rsidRDefault="007E3A34" w:rsidP="007E3A34">
      <w:pPr>
        <w:pStyle w:val="p2"/>
      </w:pPr>
      <w:r w:rsidRPr="007E3A34">
        <w:rPr>
          <w:b/>
          <w:bCs/>
        </w:rPr>
        <w:t>Finding 3 — most directly motivates O1's equity term</w:t>
      </w:r>
    </w:p>
    <w:p w14:paraId="60CE8D08" w14:textId="77777777" w:rsidR="007E3A34" w:rsidRPr="007E3A34" w:rsidRDefault="007E3A34">
      <w:pPr>
        <w:pStyle w:val="p2"/>
        <w:numPr>
          <w:ilvl w:val="0"/>
          <w:numId w:val="49"/>
        </w:numPr>
      </w:pPr>
      <w:r w:rsidRPr="007E3A34">
        <w:t>Low-demand, no provision: Decile 1 = 25.0% vs Decile 10 = 3.6% — steep gradient.</w:t>
      </w:r>
    </w:p>
    <w:p w14:paraId="6F054E0F" w14:textId="1EA581C8" w:rsidR="007E3A34" w:rsidRPr="007E3A34" w:rsidRDefault="007E3A34">
      <w:pPr>
        <w:pStyle w:val="p2"/>
        <w:numPr>
          <w:ilvl w:val="0"/>
          <w:numId w:val="49"/>
        </w:numPr>
      </w:pPr>
      <w:r w:rsidRPr="007E3A34">
        <w:t>Car-ownership-only demand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E3A34">
        <w:t>) systematically under-flags deprived LSOAs as low priority.</w:t>
      </w:r>
    </w:p>
    <w:p w14:paraId="399093B4" w14:textId="21482E08" w:rsidR="007E3A34" w:rsidRPr="007E3A34" w:rsidRDefault="007E3A34">
      <w:pPr>
        <w:pStyle w:val="p2"/>
        <w:numPr>
          <w:ilvl w:val="0"/>
          <w:numId w:val="49"/>
        </w:numPr>
      </w:pPr>
      <w:r w:rsidRPr="007E3A34">
        <w:t>Direct empirical bridge to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1+α⋅IM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7E3A34">
        <w:t> in §3.4.1 — this is the blind spot the equity weighting corrects.</w:t>
      </w:r>
    </w:p>
    <w:p w14:paraId="7445FC81" w14:textId="77777777" w:rsidR="007E3A34" w:rsidRPr="007E3A34" w:rsidRDefault="007E3A34" w:rsidP="006924FB">
      <w:pPr>
        <w:pStyle w:val="p2"/>
      </w:pPr>
    </w:p>
    <w:p w14:paraId="6E88CB00" w14:textId="75EB7053" w:rsidR="006924FB" w:rsidRDefault="006924FB" w:rsidP="006924FB">
      <w:pPr>
        <w:pStyle w:val="p2"/>
      </w:pPr>
      <w:r>
        <w:t xml:space="preserve">4.3. </w:t>
      </w:r>
      <w:r w:rsidR="00D26160" w:rsidRPr="00D26160">
        <w:t>Allocation &amp; Evaluation</w:t>
      </w:r>
    </w:p>
    <w:p w14:paraId="44F86F02" w14:textId="77777777" w:rsidR="008620A7" w:rsidRDefault="008620A7" w:rsidP="006924FB">
      <w:pPr>
        <w:pStyle w:val="p2"/>
        <w:rPr>
          <w:rFonts w:hint="eastAsia"/>
        </w:rPr>
      </w:pPr>
    </w:p>
    <w:p w14:paraId="43421059" w14:textId="77777777" w:rsidR="008620A7" w:rsidRDefault="008620A7" w:rsidP="006924FB">
      <w:pPr>
        <w:pStyle w:val="p2"/>
      </w:pPr>
    </w:p>
    <w:p w14:paraId="5DFA8BE9" w14:textId="77777777" w:rsidR="008620A7" w:rsidRDefault="008620A7" w:rsidP="006924FB">
      <w:pPr>
        <w:pStyle w:val="p2"/>
      </w:pPr>
    </w:p>
    <w:p w14:paraId="0B85AB19" w14:textId="77777777" w:rsidR="008620A7" w:rsidRDefault="008620A7" w:rsidP="006924FB">
      <w:pPr>
        <w:pStyle w:val="p2"/>
      </w:pPr>
    </w:p>
    <w:p w14:paraId="34368A39" w14:textId="77777777" w:rsidR="008620A7" w:rsidRDefault="008620A7" w:rsidP="006924FB">
      <w:pPr>
        <w:pStyle w:val="p2"/>
      </w:pPr>
    </w:p>
    <w:p w14:paraId="10E0A2A8" w14:textId="24B19C18" w:rsidR="006924FB" w:rsidRDefault="006924FB" w:rsidP="006924FB">
      <w:pPr>
        <w:pStyle w:val="p1"/>
      </w:pPr>
      <w:r>
        <w:rPr>
          <w:b/>
          <w:bCs/>
        </w:rPr>
        <w:t>5.</w:t>
      </w:r>
      <w:r>
        <w:rPr>
          <w:rStyle w:val="s1"/>
        </w:rPr>
        <w:t xml:space="preserve"> </w:t>
      </w:r>
      <w:r>
        <w:rPr>
          <w:b/>
          <w:bCs/>
        </w:rPr>
        <w:t>Discussion</w:t>
      </w:r>
      <w:r w:rsidR="00C766F6">
        <w:rPr>
          <w:rFonts w:hint="eastAsia"/>
          <w:b/>
          <w:bCs/>
        </w:rPr>
        <w:t xml:space="preserve"> 2000words</w:t>
      </w:r>
    </w:p>
    <w:p w14:paraId="14CCD0D7" w14:textId="23741046" w:rsidR="006924FB" w:rsidRDefault="006924FB" w:rsidP="006924FB">
      <w:pPr>
        <w:pStyle w:val="p2"/>
      </w:pPr>
      <w:r>
        <w:t>5.1. Implications</w:t>
      </w:r>
    </w:p>
    <w:p w14:paraId="1074785D" w14:textId="676EDF29" w:rsidR="006924FB" w:rsidRDefault="006924FB" w:rsidP="006924FB">
      <w:pPr>
        <w:pStyle w:val="p2"/>
      </w:pPr>
      <w:r>
        <w:t>5.2. Next steps</w:t>
      </w:r>
    </w:p>
    <w:p w14:paraId="5F3A3A5C" w14:textId="697F6675" w:rsidR="006924FB" w:rsidRDefault="006924FB" w:rsidP="006924FB">
      <w:pPr>
        <w:pStyle w:val="p2"/>
      </w:pPr>
      <w:r>
        <w:t>5.3. Limitations</w:t>
      </w:r>
    </w:p>
    <w:p w14:paraId="73621279" w14:textId="6C1ECF35" w:rsidR="00470FEB" w:rsidRDefault="00470FEB" w:rsidP="006924FB">
      <w:pPr>
        <w:pStyle w:val="p2"/>
      </w:pPr>
      <w:r w:rsidRPr="00470FEB">
        <w:rPr>
          <w:b/>
          <w:bCs/>
        </w:rPr>
        <w:t>L12</w:t>
      </w:r>
      <w:r w:rsidRPr="00470FEB">
        <w:t xml:space="preserve"> A maximum service-radius scenario (e.g. 800 m, following </w:t>
      </w:r>
      <w:proofErr w:type="spellStart"/>
      <w:r w:rsidRPr="00470FEB">
        <w:t>Kchaou-Boujelben</w:t>
      </w:r>
      <w:proofErr w:type="spellEnd"/>
      <w:r w:rsidRPr="00470FEB">
        <w:t xml:space="preserve"> 2021) was considered but not tested within the project timeline. This is a natural direction for future sensitivity analysis.</w:t>
      </w:r>
    </w:p>
    <w:p w14:paraId="57DDCC90" w14:textId="3BD3FA3E" w:rsidR="006924FB" w:rsidRDefault="006924FB" w:rsidP="006924FB">
      <w:pPr>
        <w:pStyle w:val="p1"/>
      </w:pPr>
      <w:r>
        <w:rPr>
          <w:b/>
          <w:bCs/>
        </w:rPr>
        <w:t>6.</w:t>
      </w:r>
      <w:r>
        <w:rPr>
          <w:rStyle w:val="s1"/>
        </w:rPr>
        <w:t xml:space="preserve"> </w:t>
      </w:r>
      <w:r>
        <w:rPr>
          <w:b/>
          <w:bCs/>
        </w:rPr>
        <w:t>Conclusion</w:t>
      </w:r>
      <w:r w:rsidR="00C766F6">
        <w:rPr>
          <w:rFonts w:hint="eastAsia"/>
          <w:b/>
          <w:bCs/>
        </w:rPr>
        <w:t xml:space="preserve"> 500words</w:t>
      </w:r>
    </w:p>
    <w:p w14:paraId="090E7D32" w14:textId="76F31B65" w:rsidR="00FC0F2C" w:rsidRDefault="006924FB" w:rsidP="006924FB">
      <w:pPr>
        <w:pStyle w:val="p1"/>
        <w:rPr>
          <w:b/>
          <w:bCs/>
        </w:rPr>
      </w:pPr>
      <w:r>
        <w:rPr>
          <w:b/>
          <w:bCs/>
        </w:rPr>
        <w:t>7.</w:t>
      </w:r>
      <w:r>
        <w:rPr>
          <w:rStyle w:val="s1"/>
        </w:rPr>
        <w:t xml:space="preserve"> </w:t>
      </w:r>
      <w:r>
        <w:rPr>
          <w:b/>
          <w:bCs/>
        </w:rPr>
        <w:t>References</w:t>
      </w:r>
    </w:p>
    <w:p w14:paraId="5A66EFAD" w14:textId="54D8A893" w:rsidR="00335368" w:rsidRDefault="00C766F6" w:rsidP="00C766F6">
      <w:pPr>
        <w:pStyle w:val="p1"/>
        <w:rPr>
          <w:b/>
          <w:bCs/>
        </w:rPr>
      </w:pPr>
      <w:r>
        <w:rPr>
          <w:rFonts w:hint="eastAsia"/>
          <w:b/>
          <w:bCs/>
        </w:rPr>
        <w:t>8</w:t>
      </w:r>
      <w:r>
        <w:rPr>
          <w:b/>
          <w:bCs/>
        </w:rPr>
        <w:t>.</w:t>
      </w:r>
      <w:r>
        <w:rPr>
          <w:rStyle w:val="s1"/>
        </w:rPr>
        <w:t xml:space="preserve"> </w:t>
      </w:r>
      <w:r>
        <w:rPr>
          <w:rFonts w:hint="eastAsia"/>
          <w:b/>
          <w:bCs/>
        </w:rPr>
        <w:t>Appendix</w:t>
      </w:r>
    </w:p>
    <w:p w14:paraId="48081678" w14:textId="3E3A3C5A" w:rsidR="00C766F6" w:rsidRDefault="00C766F6" w:rsidP="00C766F6">
      <w:pPr>
        <w:pStyle w:val="p1"/>
      </w:pPr>
      <w:r>
        <w:rPr>
          <w:b/>
          <w:bCs/>
        </w:rPr>
        <w:t>R</w:t>
      </w:r>
      <w:r>
        <w:rPr>
          <w:rFonts w:hint="eastAsia"/>
          <w:b/>
          <w:bCs/>
        </w:rPr>
        <w:t>esearch log</w:t>
      </w:r>
    </w:p>
    <w:p w14:paraId="54EB6F5B" w14:textId="025362B8" w:rsidR="00C766F6" w:rsidRPr="00E71AAD" w:rsidRDefault="00E71AAD" w:rsidP="006924FB">
      <w:pPr>
        <w:pStyle w:val="p1"/>
      </w:pPr>
      <w:r>
        <w:rPr>
          <w:rFonts w:hint="eastAsia"/>
        </w:rPr>
        <w:t>整理</w:t>
      </w:r>
      <w:r>
        <w:rPr>
          <w:rFonts w:hint="eastAsia"/>
        </w:rPr>
        <w:t>repository</w:t>
      </w:r>
    </w:p>
    <w:sectPr w:rsidR="00C766F6" w:rsidRPr="00E71AAD" w:rsidSect="0052721F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841AC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4461"/>
    <w:multiLevelType w:val="multilevel"/>
    <w:tmpl w:val="DF2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22D8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0C7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A13EF"/>
    <w:multiLevelType w:val="multilevel"/>
    <w:tmpl w:val="EFA8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85D80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70D1B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63AC2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42C05"/>
    <w:multiLevelType w:val="multilevel"/>
    <w:tmpl w:val="EDF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57451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900DF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30904"/>
    <w:multiLevelType w:val="multilevel"/>
    <w:tmpl w:val="032CF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84EC4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A3E97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06267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B6E3A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8586F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81879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E7A3F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84759"/>
    <w:multiLevelType w:val="hybridMultilevel"/>
    <w:tmpl w:val="DC6CBA98"/>
    <w:lvl w:ilvl="0" w:tplc="B464EA46">
      <w:numFmt w:val="bullet"/>
      <w:lvlText w:val=""/>
      <w:lvlJc w:val="left"/>
      <w:pPr>
        <w:ind w:left="440" w:hanging="44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A0D54AC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96E56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C5D24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A73FA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E7A8D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40448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E2369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E6B7B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F5B92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E2B4E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6211FC"/>
    <w:multiLevelType w:val="multilevel"/>
    <w:tmpl w:val="544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0350C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964AB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67B9D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0176F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12DB3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90F60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20298"/>
    <w:multiLevelType w:val="hybridMultilevel"/>
    <w:tmpl w:val="F6F003FA"/>
    <w:lvl w:ilvl="0" w:tplc="B464EA46">
      <w:numFmt w:val="bullet"/>
      <w:lvlText w:val=""/>
      <w:lvlJc w:val="left"/>
      <w:pPr>
        <w:ind w:left="440" w:hanging="44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FAF0C79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511FBB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7C228E"/>
    <w:multiLevelType w:val="hybridMultilevel"/>
    <w:tmpl w:val="A2CE42CA"/>
    <w:lvl w:ilvl="0" w:tplc="B464EA46">
      <w:numFmt w:val="bullet"/>
      <w:lvlText w:val=""/>
      <w:lvlJc w:val="left"/>
      <w:pPr>
        <w:ind w:left="440" w:hanging="44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4BB2E02"/>
    <w:multiLevelType w:val="hybridMultilevel"/>
    <w:tmpl w:val="791E0FFE"/>
    <w:lvl w:ilvl="0" w:tplc="B464EA46">
      <w:numFmt w:val="bullet"/>
      <w:lvlText w:val=""/>
      <w:lvlJc w:val="left"/>
      <w:pPr>
        <w:ind w:left="440" w:hanging="44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9006D10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F2DAE"/>
    <w:multiLevelType w:val="hybridMultilevel"/>
    <w:tmpl w:val="5F8C0FE8"/>
    <w:lvl w:ilvl="0" w:tplc="B464EA46">
      <w:numFmt w:val="bullet"/>
      <w:lvlText w:val=""/>
      <w:lvlJc w:val="left"/>
      <w:pPr>
        <w:ind w:left="440" w:hanging="44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6A830365"/>
    <w:multiLevelType w:val="multilevel"/>
    <w:tmpl w:val="B6C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D94BA2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5946B2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854209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31607F"/>
    <w:multiLevelType w:val="multilevel"/>
    <w:tmpl w:val="644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5C4E62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248B3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A5822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902E0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57CD7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26158A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522B75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A3127"/>
    <w:multiLevelType w:val="hybridMultilevel"/>
    <w:tmpl w:val="E264C53A"/>
    <w:lvl w:ilvl="0" w:tplc="B464EA46">
      <w:numFmt w:val="bullet"/>
      <w:lvlText w:val=""/>
      <w:lvlJc w:val="left"/>
      <w:pPr>
        <w:ind w:left="440" w:hanging="44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7" w15:restartNumberingAfterBreak="0">
    <w:nsid w:val="7FE65E23"/>
    <w:multiLevelType w:val="multilevel"/>
    <w:tmpl w:val="2D1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075605">
    <w:abstractNumId w:val="30"/>
  </w:num>
  <w:num w:numId="2" w16cid:durableId="1935094216">
    <w:abstractNumId w:val="48"/>
  </w:num>
  <w:num w:numId="3" w16cid:durableId="116265985">
    <w:abstractNumId w:val="44"/>
  </w:num>
  <w:num w:numId="4" w16cid:durableId="1624461229">
    <w:abstractNumId w:val="8"/>
  </w:num>
  <w:num w:numId="5" w16cid:durableId="970935669">
    <w:abstractNumId w:val="1"/>
  </w:num>
  <w:num w:numId="6" w16cid:durableId="1076441561">
    <w:abstractNumId w:val="24"/>
  </w:num>
  <w:num w:numId="7" w16cid:durableId="1707028066">
    <w:abstractNumId w:val="22"/>
  </w:num>
  <w:num w:numId="8" w16cid:durableId="2006742231">
    <w:abstractNumId w:val="36"/>
  </w:num>
  <w:num w:numId="9" w16cid:durableId="1271158900">
    <w:abstractNumId w:val="32"/>
  </w:num>
  <w:num w:numId="10" w16cid:durableId="868228387">
    <w:abstractNumId w:val="53"/>
  </w:num>
  <w:num w:numId="11" w16cid:durableId="958337166">
    <w:abstractNumId w:val="45"/>
  </w:num>
  <w:num w:numId="12" w16cid:durableId="1092432561">
    <w:abstractNumId w:val="49"/>
  </w:num>
  <w:num w:numId="13" w16cid:durableId="1264265605">
    <w:abstractNumId w:val="5"/>
  </w:num>
  <w:num w:numId="14" w16cid:durableId="657224165">
    <w:abstractNumId w:val="21"/>
  </w:num>
  <w:num w:numId="15" w16cid:durableId="120654980">
    <w:abstractNumId w:val="33"/>
  </w:num>
  <w:num w:numId="16" w16cid:durableId="242489787">
    <w:abstractNumId w:val="23"/>
  </w:num>
  <w:num w:numId="17" w16cid:durableId="227230717">
    <w:abstractNumId w:val="18"/>
  </w:num>
  <w:num w:numId="18" w16cid:durableId="877427552">
    <w:abstractNumId w:val="38"/>
  </w:num>
  <w:num w:numId="19" w16cid:durableId="1862431608">
    <w:abstractNumId w:val="6"/>
  </w:num>
  <w:num w:numId="20" w16cid:durableId="838740095">
    <w:abstractNumId w:val="34"/>
  </w:num>
  <w:num w:numId="21" w16cid:durableId="334722650">
    <w:abstractNumId w:val="27"/>
  </w:num>
  <w:num w:numId="22" w16cid:durableId="2121023039">
    <w:abstractNumId w:val="29"/>
  </w:num>
  <w:num w:numId="23" w16cid:durableId="881748502">
    <w:abstractNumId w:val="0"/>
  </w:num>
  <w:num w:numId="24" w16cid:durableId="1826435958">
    <w:abstractNumId w:val="52"/>
  </w:num>
  <w:num w:numId="25" w16cid:durableId="1213157030">
    <w:abstractNumId w:val="42"/>
  </w:num>
  <w:num w:numId="26" w16cid:durableId="1971671214">
    <w:abstractNumId w:val="12"/>
  </w:num>
  <w:num w:numId="27" w16cid:durableId="112484887">
    <w:abstractNumId w:val="9"/>
  </w:num>
  <w:num w:numId="28" w16cid:durableId="2073232409">
    <w:abstractNumId w:val="3"/>
  </w:num>
  <w:num w:numId="29" w16cid:durableId="688602484">
    <w:abstractNumId w:val="10"/>
  </w:num>
  <w:num w:numId="30" w16cid:durableId="1517769290">
    <w:abstractNumId w:val="55"/>
  </w:num>
  <w:num w:numId="31" w16cid:durableId="249393731">
    <w:abstractNumId w:val="17"/>
  </w:num>
  <w:num w:numId="32" w16cid:durableId="810295026">
    <w:abstractNumId w:val="26"/>
  </w:num>
  <w:num w:numId="33" w16cid:durableId="1802381768">
    <w:abstractNumId w:val="35"/>
  </w:num>
  <w:num w:numId="34" w16cid:durableId="1752041048">
    <w:abstractNumId w:val="15"/>
  </w:num>
  <w:num w:numId="35" w16cid:durableId="222909875">
    <w:abstractNumId w:val="54"/>
  </w:num>
  <w:num w:numId="36" w16cid:durableId="1744569265">
    <w:abstractNumId w:val="51"/>
  </w:num>
  <w:num w:numId="37" w16cid:durableId="55706896">
    <w:abstractNumId w:val="39"/>
  </w:num>
  <w:num w:numId="38" w16cid:durableId="1719669510">
    <w:abstractNumId w:val="46"/>
  </w:num>
  <w:num w:numId="39" w16cid:durableId="1078284497">
    <w:abstractNumId w:val="28"/>
  </w:num>
  <w:num w:numId="40" w16cid:durableId="1992785799">
    <w:abstractNumId w:val="2"/>
  </w:num>
  <w:num w:numId="41" w16cid:durableId="666521578">
    <w:abstractNumId w:val="37"/>
  </w:num>
  <w:num w:numId="42" w16cid:durableId="811597922">
    <w:abstractNumId w:val="41"/>
  </w:num>
  <w:num w:numId="43" w16cid:durableId="1456409239">
    <w:abstractNumId w:val="40"/>
  </w:num>
  <w:num w:numId="44" w16cid:durableId="1151676940">
    <w:abstractNumId w:val="19"/>
  </w:num>
  <w:num w:numId="45" w16cid:durableId="1846430533">
    <w:abstractNumId w:val="43"/>
  </w:num>
  <w:num w:numId="46" w16cid:durableId="2105300563">
    <w:abstractNumId w:val="56"/>
  </w:num>
  <w:num w:numId="47" w16cid:durableId="867989242">
    <w:abstractNumId w:val="50"/>
  </w:num>
  <w:num w:numId="48" w16cid:durableId="1639260071">
    <w:abstractNumId w:val="14"/>
  </w:num>
  <w:num w:numId="49" w16cid:durableId="1573924955">
    <w:abstractNumId w:val="31"/>
  </w:num>
  <w:num w:numId="50" w16cid:durableId="1794715320">
    <w:abstractNumId w:val="4"/>
  </w:num>
  <w:num w:numId="51" w16cid:durableId="2029328539">
    <w:abstractNumId w:val="25"/>
  </w:num>
  <w:num w:numId="52" w16cid:durableId="1830780300">
    <w:abstractNumId w:val="11"/>
  </w:num>
  <w:num w:numId="53" w16cid:durableId="1647661044">
    <w:abstractNumId w:val="16"/>
  </w:num>
  <w:num w:numId="54" w16cid:durableId="786389856">
    <w:abstractNumId w:val="57"/>
  </w:num>
  <w:num w:numId="55" w16cid:durableId="222062057">
    <w:abstractNumId w:val="20"/>
  </w:num>
  <w:num w:numId="56" w16cid:durableId="1386300398">
    <w:abstractNumId w:val="7"/>
  </w:num>
  <w:num w:numId="57" w16cid:durableId="1700230466">
    <w:abstractNumId w:val="13"/>
  </w:num>
  <w:num w:numId="58" w16cid:durableId="357895646">
    <w:abstractNumId w:val="47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89"/>
    <w:rsid w:val="000028D8"/>
    <w:rsid w:val="00011BF8"/>
    <w:rsid w:val="000200D8"/>
    <w:rsid w:val="00021AC9"/>
    <w:rsid w:val="000258CB"/>
    <w:rsid w:val="00037226"/>
    <w:rsid w:val="00037FE1"/>
    <w:rsid w:val="00043DDA"/>
    <w:rsid w:val="0005697B"/>
    <w:rsid w:val="00056EDD"/>
    <w:rsid w:val="00097E88"/>
    <w:rsid w:val="000B2DFA"/>
    <w:rsid w:val="000C6195"/>
    <w:rsid w:val="00130422"/>
    <w:rsid w:val="00130BC7"/>
    <w:rsid w:val="00133CFE"/>
    <w:rsid w:val="00133E1A"/>
    <w:rsid w:val="00157E86"/>
    <w:rsid w:val="0016435C"/>
    <w:rsid w:val="00165059"/>
    <w:rsid w:val="001669CF"/>
    <w:rsid w:val="00166FA6"/>
    <w:rsid w:val="00177067"/>
    <w:rsid w:val="001856A6"/>
    <w:rsid w:val="001C0641"/>
    <w:rsid w:val="001E2A57"/>
    <w:rsid w:val="001E45CA"/>
    <w:rsid w:val="001F0DDD"/>
    <w:rsid w:val="001F23E8"/>
    <w:rsid w:val="001F28F7"/>
    <w:rsid w:val="0021535C"/>
    <w:rsid w:val="00220E23"/>
    <w:rsid w:val="00222B2D"/>
    <w:rsid w:val="00224FD7"/>
    <w:rsid w:val="00227BCC"/>
    <w:rsid w:val="002438ED"/>
    <w:rsid w:val="00264DFF"/>
    <w:rsid w:val="00277250"/>
    <w:rsid w:val="00281D58"/>
    <w:rsid w:val="002833C0"/>
    <w:rsid w:val="0028534A"/>
    <w:rsid w:val="002A03EB"/>
    <w:rsid w:val="002B2444"/>
    <w:rsid w:val="002E67FA"/>
    <w:rsid w:val="002E7136"/>
    <w:rsid w:val="002F6E4B"/>
    <w:rsid w:val="0030495F"/>
    <w:rsid w:val="00306078"/>
    <w:rsid w:val="00325A4B"/>
    <w:rsid w:val="00335368"/>
    <w:rsid w:val="003565A6"/>
    <w:rsid w:val="003A14C0"/>
    <w:rsid w:val="003A33C4"/>
    <w:rsid w:val="003F42C2"/>
    <w:rsid w:val="00411A99"/>
    <w:rsid w:val="0041641D"/>
    <w:rsid w:val="00441B19"/>
    <w:rsid w:val="0044604B"/>
    <w:rsid w:val="00457617"/>
    <w:rsid w:val="00470FEB"/>
    <w:rsid w:val="0048487D"/>
    <w:rsid w:val="00510096"/>
    <w:rsid w:val="0052721F"/>
    <w:rsid w:val="0054662F"/>
    <w:rsid w:val="00552396"/>
    <w:rsid w:val="00562683"/>
    <w:rsid w:val="00562E1D"/>
    <w:rsid w:val="00581788"/>
    <w:rsid w:val="005C3BC3"/>
    <w:rsid w:val="005E7014"/>
    <w:rsid w:val="005F444F"/>
    <w:rsid w:val="006070EF"/>
    <w:rsid w:val="006147C1"/>
    <w:rsid w:val="006179EE"/>
    <w:rsid w:val="006365CD"/>
    <w:rsid w:val="0064610E"/>
    <w:rsid w:val="00690DD0"/>
    <w:rsid w:val="006924FB"/>
    <w:rsid w:val="006D048A"/>
    <w:rsid w:val="00704ABC"/>
    <w:rsid w:val="00720734"/>
    <w:rsid w:val="0072310B"/>
    <w:rsid w:val="00764783"/>
    <w:rsid w:val="00765EC3"/>
    <w:rsid w:val="00792313"/>
    <w:rsid w:val="007A031A"/>
    <w:rsid w:val="007B3325"/>
    <w:rsid w:val="007C360D"/>
    <w:rsid w:val="007D2145"/>
    <w:rsid w:val="007E3A34"/>
    <w:rsid w:val="00821F0F"/>
    <w:rsid w:val="008234A8"/>
    <w:rsid w:val="00837CEC"/>
    <w:rsid w:val="008573F4"/>
    <w:rsid w:val="008620A7"/>
    <w:rsid w:val="008645FA"/>
    <w:rsid w:val="00876491"/>
    <w:rsid w:val="00886D3B"/>
    <w:rsid w:val="00891BD4"/>
    <w:rsid w:val="008F407A"/>
    <w:rsid w:val="008F7B37"/>
    <w:rsid w:val="00903627"/>
    <w:rsid w:val="009137B3"/>
    <w:rsid w:val="0093503B"/>
    <w:rsid w:val="00945D7A"/>
    <w:rsid w:val="00960EB6"/>
    <w:rsid w:val="009634DC"/>
    <w:rsid w:val="0098024A"/>
    <w:rsid w:val="009A66DF"/>
    <w:rsid w:val="009B5B6C"/>
    <w:rsid w:val="009B5CEA"/>
    <w:rsid w:val="009D44A2"/>
    <w:rsid w:val="009D6E3D"/>
    <w:rsid w:val="009E72CC"/>
    <w:rsid w:val="009F19AF"/>
    <w:rsid w:val="009F68BC"/>
    <w:rsid w:val="00A002E9"/>
    <w:rsid w:val="00A00828"/>
    <w:rsid w:val="00A13CBC"/>
    <w:rsid w:val="00A15A2C"/>
    <w:rsid w:val="00A175EB"/>
    <w:rsid w:val="00A30CDC"/>
    <w:rsid w:val="00A363F3"/>
    <w:rsid w:val="00A86D74"/>
    <w:rsid w:val="00A963B6"/>
    <w:rsid w:val="00AA626C"/>
    <w:rsid w:val="00AB4AD3"/>
    <w:rsid w:val="00AC311A"/>
    <w:rsid w:val="00AC62CD"/>
    <w:rsid w:val="00AE0A82"/>
    <w:rsid w:val="00AE1F0D"/>
    <w:rsid w:val="00B0283A"/>
    <w:rsid w:val="00B028E4"/>
    <w:rsid w:val="00B14B7E"/>
    <w:rsid w:val="00B278D4"/>
    <w:rsid w:val="00B64191"/>
    <w:rsid w:val="00B66574"/>
    <w:rsid w:val="00B724CE"/>
    <w:rsid w:val="00B76314"/>
    <w:rsid w:val="00BA5B74"/>
    <w:rsid w:val="00BE1965"/>
    <w:rsid w:val="00BF4946"/>
    <w:rsid w:val="00C069A6"/>
    <w:rsid w:val="00C24A8E"/>
    <w:rsid w:val="00C40E9E"/>
    <w:rsid w:val="00C72625"/>
    <w:rsid w:val="00C766F6"/>
    <w:rsid w:val="00C8334A"/>
    <w:rsid w:val="00CE34CF"/>
    <w:rsid w:val="00CE5CBD"/>
    <w:rsid w:val="00D03D53"/>
    <w:rsid w:val="00D04020"/>
    <w:rsid w:val="00D0421C"/>
    <w:rsid w:val="00D12AFE"/>
    <w:rsid w:val="00D154BB"/>
    <w:rsid w:val="00D20A9F"/>
    <w:rsid w:val="00D26160"/>
    <w:rsid w:val="00D335D0"/>
    <w:rsid w:val="00D46208"/>
    <w:rsid w:val="00D6640F"/>
    <w:rsid w:val="00D7657F"/>
    <w:rsid w:val="00D91B0B"/>
    <w:rsid w:val="00D95FD0"/>
    <w:rsid w:val="00DB2265"/>
    <w:rsid w:val="00DC5BF1"/>
    <w:rsid w:val="00E01D2D"/>
    <w:rsid w:val="00E03F0D"/>
    <w:rsid w:val="00E07961"/>
    <w:rsid w:val="00E13DCA"/>
    <w:rsid w:val="00E31FDF"/>
    <w:rsid w:val="00E32480"/>
    <w:rsid w:val="00E333AE"/>
    <w:rsid w:val="00E35B19"/>
    <w:rsid w:val="00E411A5"/>
    <w:rsid w:val="00E470FB"/>
    <w:rsid w:val="00E71AAD"/>
    <w:rsid w:val="00E729DA"/>
    <w:rsid w:val="00E75857"/>
    <w:rsid w:val="00E80986"/>
    <w:rsid w:val="00E811D1"/>
    <w:rsid w:val="00E94428"/>
    <w:rsid w:val="00EB14EE"/>
    <w:rsid w:val="00ED4C21"/>
    <w:rsid w:val="00F0399D"/>
    <w:rsid w:val="00F06A89"/>
    <w:rsid w:val="00F108A1"/>
    <w:rsid w:val="00F12523"/>
    <w:rsid w:val="00F20D0F"/>
    <w:rsid w:val="00F23A28"/>
    <w:rsid w:val="00F26092"/>
    <w:rsid w:val="00F711E5"/>
    <w:rsid w:val="00F776DC"/>
    <w:rsid w:val="00F82392"/>
    <w:rsid w:val="00FA2AFC"/>
    <w:rsid w:val="00FB57A0"/>
    <w:rsid w:val="00FB60AF"/>
    <w:rsid w:val="00FC0F2C"/>
    <w:rsid w:val="00FE4011"/>
    <w:rsid w:val="00FF1888"/>
    <w:rsid w:val="00FF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02CC"/>
  <w14:defaultImageDpi w14:val="32767"/>
  <w15:chartTrackingRefBased/>
  <w15:docId w15:val="{BB9275E1-F172-4646-A603-244045A0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3A14C0"/>
    <w:rPr>
      <w:rFonts w:ascii="宋体" w:eastAsia="宋体" w:hAnsi="宋体" w:cs="宋体"/>
      <w:kern w:val="0"/>
    </w:rPr>
  </w:style>
  <w:style w:type="paragraph" w:styleId="1">
    <w:name w:val="heading 1"/>
    <w:basedOn w:val="a"/>
    <w:next w:val="a"/>
    <w:link w:val="10"/>
    <w:uiPriority w:val="9"/>
    <w:qFormat/>
    <w:rsid w:val="00F06A89"/>
    <w:pPr>
      <w:keepNext/>
      <w:keepLines/>
      <w:widowControl w:val="0"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6A89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6A89"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A89"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A89"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A89"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A89"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A89"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A89"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6A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06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6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6A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6A89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06A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6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6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6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6A8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A89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6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6A89"/>
    <w:pPr>
      <w:widowControl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</w:rPr>
  </w:style>
  <w:style w:type="character" w:customStyle="1" w:styleId="a8">
    <w:name w:val="引用 字符"/>
    <w:basedOn w:val="a0"/>
    <w:link w:val="a7"/>
    <w:uiPriority w:val="29"/>
    <w:rsid w:val="00F06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6A89"/>
    <w:pPr>
      <w:widowControl w:val="0"/>
      <w:ind w:left="720"/>
      <w:contextualSpacing/>
      <w:jc w:val="both"/>
    </w:pPr>
    <w:rPr>
      <w:rFonts w:asciiTheme="minorHAnsi" w:eastAsiaTheme="minorEastAsia" w:hAnsiTheme="minorHAnsi" w:cstheme="minorBidi"/>
      <w:kern w:val="2"/>
    </w:rPr>
  </w:style>
  <w:style w:type="character" w:styleId="aa">
    <w:name w:val="Intense Emphasis"/>
    <w:basedOn w:val="a0"/>
    <w:uiPriority w:val="21"/>
    <w:qFormat/>
    <w:rsid w:val="00F06A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6A8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</w:rPr>
  </w:style>
  <w:style w:type="character" w:customStyle="1" w:styleId="ac">
    <w:name w:val="明显引用 字符"/>
    <w:basedOn w:val="a0"/>
    <w:link w:val="ab"/>
    <w:uiPriority w:val="30"/>
    <w:rsid w:val="00F06A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6A8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6924FB"/>
    <w:rPr>
      <w:rFonts w:ascii="Times New Roman" w:hAnsi="Times New Roman" w:cs="Times New Roman"/>
      <w:color w:val="000000"/>
      <w:sz w:val="18"/>
      <w:szCs w:val="18"/>
    </w:rPr>
  </w:style>
  <w:style w:type="paragraph" w:customStyle="1" w:styleId="p2">
    <w:name w:val="p2"/>
    <w:basedOn w:val="a"/>
    <w:rsid w:val="006924FB"/>
    <w:rPr>
      <w:rFonts w:ascii="Times New Roman" w:hAnsi="Times New Roman" w:cs="Times New Roman"/>
      <w:color w:val="000000"/>
      <w:sz w:val="17"/>
      <w:szCs w:val="17"/>
    </w:rPr>
  </w:style>
  <w:style w:type="character" w:customStyle="1" w:styleId="s1">
    <w:name w:val="s1"/>
    <w:basedOn w:val="a0"/>
    <w:rsid w:val="006924FB"/>
    <w:rPr>
      <w:rFonts w:ascii="Times New Roman" w:hAnsi="Times New Roman" w:cs="Times New Roman" w:hint="default"/>
      <w:sz w:val="17"/>
      <w:szCs w:val="17"/>
    </w:rPr>
  </w:style>
  <w:style w:type="paragraph" w:styleId="ae">
    <w:name w:val="Normal (Web)"/>
    <w:basedOn w:val="a"/>
    <w:uiPriority w:val="99"/>
    <w:semiHidden/>
    <w:unhideWhenUsed/>
    <w:rsid w:val="006924FB"/>
    <w:pPr>
      <w:spacing w:before="100" w:beforeAutospacing="1" w:after="100" w:afterAutospacing="1"/>
    </w:pPr>
  </w:style>
  <w:style w:type="table" w:styleId="21">
    <w:name w:val="Plain Table 2"/>
    <w:basedOn w:val="a1"/>
    <w:uiPriority w:val="42"/>
    <w:rsid w:val="00562E1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1">
    <w:name w:val="Plain Table 5"/>
    <w:basedOn w:val="a1"/>
    <w:uiPriority w:val="45"/>
    <w:rsid w:val="0079231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79231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Strong"/>
    <w:basedOn w:val="a0"/>
    <w:uiPriority w:val="22"/>
    <w:qFormat/>
    <w:rsid w:val="00D20A9F"/>
    <w:rPr>
      <w:b/>
      <w:bCs/>
    </w:rPr>
  </w:style>
  <w:style w:type="character" w:styleId="HTML">
    <w:name w:val="HTML Code"/>
    <w:basedOn w:val="a0"/>
    <w:uiPriority w:val="99"/>
    <w:semiHidden/>
    <w:unhideWhenUsed/>
    <w:rsid w:val="00D20A9F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1856A6"/>
  </w:style>
  <w:style w:type="character" w:styleId="af0">
    <w:name w:val="Placeholder Text"/>
    <w:basedOn w:val="a0"/>
    <w:uiPriority w:val="99"/>
    <w:semiHidden/>
    <w:rsid w:val="008234A8"/>
    <w:rPr>
      <w:color w:val="666666"/>
    </w:rPr>
  </w:style>
  <w:style w:type="character" w:customStyle="1" w:styleId="mord">
    <w:name w:val="mord"/>
    <w:basedOn w:val="a0"/>
    <w:rsid w:val="00A963B6"/>
  </w:style>
  <w:style w:type="character" w:customStyle="1" w:styleId="mopen">
    <w:name w:val="mopen"/>
    <w:basedOn w:val="a0"/>
    <w:rsid w:val="00A963B6"/>
  </w:style>
  <w:style w:type="character" w:customStyle="1" w:styleId="mclose">
    <w:name w:val="mclose"/>
    <w:basedOn w:val="a0"/>
    <w:rsid w:val="00A963B6"/>
  </w:style>
  <w:style w:type="character" w:customStyle="1" w:styleId="vlist-s">
    <w:name w:val="vlist-s"/>
    <w:basedOn w:val="a0"/>
    <w:rsid w:val="00A963B6"/>
  </w:style>
  <w:style w:type="character" w:customStyle="1" w:styleId="mrel">
    <w:name w:val="mrel"/>
    <w:basedOn w:val="a0"/>
    <w:rsid w:val="00A963B6"/>
  </w:style>
  <w:style w:type="character" w:customStyle="1" w:styleId="mbin">
    <w:name w:val="mbin"/>
    <w:basedOn w:val="a0"/>
    <w:rsid w:val="00A963B6"/>
  </w:style>
  <w:style w:type="character" w:customStyle="1" w:styleId="mop">
    <w:name w:val="mop"/>
    <w:basedOn w:val="a0"/>
    <w:rsid w:val="00E729DA"/>
  </w:style>
  <w:style w:type="table" w:styleId="af1">
    <w:name w:val="Table Grid"/>
    <w:basedOn w:val="a1"/>
    <w:uiPriority w:val="39"/>
    <w:rsid w:val="00ED4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A0082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20</Pages>
  <Words>4935</Words>
  <Characters>28131</Characters>
  <Application>Microsoft Office Word</Application>
  <DocSecurity>0</DocSecurity>
  <Lines>234</Lines>
  <Paragraphs>65</Paragraphs>
  <ScaleCrop>false</ScaleCrop>
  <Company/>
  <LinksUpToDate>false</LinksUpToDate>
  <CharactersWithSpaces>33001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Yuyue Xia</dc:creator>
  <cp:keywords/>
  <dc:description/>
  <cp:lastModifiedBy>Yuyue Xia</cp:lastModifiedBy>
  <cp:revision>198</cp:revision>
  <dcterms:created xsi:type="dcterms:W3CDTF">2026-08-02T15:07:00Z</dcterms:created>
  <dcterms:modified xsi:type="dcterms:W3CDTF">2026-08-09T14:37:00Z</dcterms:modified>
</cp:coreProperties>
</file>