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2E7" w:rsidRDefault="000342E7" w:rsidP="000342E7">
      <w:r>
        <w:t>Sử dụng tài liệu bị rò rỉ tại tòa án</w:t>
      </w:r>
    </w:p>
    <w:p w:rsidR="000342E7" w:rsidRDefault="000342E7" w:rsidP="000342E7">
      <w:r>
        <w:t xml:space="preserve">Vào ngày 8 tháng 2 năm 2018, Tòa án Tối cao Vương quốc Anh đã nhất trí phán quyết rằng một tài liệu bị rò rỉ qua WikiLeaks "có thể được thừa nhận là bằng chứng". Cáp đã bị loại trừ khỏi việc sử dụng trong phần trước của vụ </w:t>
      </w:r>
      <w:proofErr w:type="gramStart"/>
      <w:r>
        <w:t>án</w:t>
      </w:r>
      <w:proofErr w:type="gramEnd"/>
      <w:r>
        <w:t xml:space="preserve"> trước Tòa án hành chính. Phiên điều trần của Tòa án Tối cao được coi là một thử nghiệm quan trọng đối với Công ước Viên liên quan đến các tài liệu của Wikileaks</w:t>
      </w:r>
      <w:proofErr w:type="gramStart"/>
      <w:r>
        <w:t>.[</w:t>
      </w:r>
      <w:proofErr w:type="gramEnd"/>
      <w:r>
        <w:t>111][112][113]</w:t>
      </w:r>
    </w:p>
    <w:p w:rsidR="000342E7" w:rsidRDefault="000342E7" w:rsidP="000342E7"/>
    <w:p w:rsidR="000342E7" w:rsidRDefault="000342E7" w:rsidP="000342E7">
      <w:r>
        <w:t>Kháng cáo dẫn đến phán quyết này tập trung vào một đường cáp của chính phủ Hoa Kỳ do Chelsea Manning cung cấp và được WikiLeaks công bố. Theo RT, người dân đảo Chagos lập luận rằng tài liệu cho thấy động cơ của Vương quốc Anh khi thành lập công viên biển trên lãnh thổ của họ là để chấm dứt yêu sách tái định cư của người dân trên đảo, một động cơ mà người dân trên đảo cho là không đúng đắn.[114] RT đưa tin, Tòa án Tối cao cũng ra phán quyết rằng việc thừa nhận bằng chứng của tài liệu Wikileaks sẽ không tạo ra sự khác biệt so với quyết định ban đầu của Tòa án Hành chính rằng không có động cơ không chính đáng đằng sau đề xuất công viên biển.[114]  ] [112][113]</w:t>
      </w:r>
    </w:p>
    <w:p w:rsidR="000342E7" w:rsidRDefault="000342E7" w:rsidP="000342E7"/>
    <w:p w:rsidR="000342E7" w:rsidRDefault="000342E7" w:rsidP="000342E7">
      <w:r>
        <w:t>Tài chính</w:t>
      </w:r>
    </w:p>
    <w:p w:rsidR="000342E7" w:rsidRDefault="000342E7" w:rsidP="000342E7">
      <w:proofErr w:type="gramStart"/>
      <w:r>
        <w:t>WikiLeaks tự mô tả là một tổ chức phi lợi nhuận, được tài trợ phần lớn bởi các tình nguyện viên và phụ thuộc vào sự đóng góp của công chúng.</w:t>
      </w:r>
      <w:proofErr w:type="gramEnd"/>
      <w:r>
        <w:t xml:space="preserve"> </w:t>
      </w:r>
      <w:proofErr w:type="gramStart"/>
      <w:r>
        <w:t>Các phương thức tài trợ chính của nó bao gồm chuyển khoản ngân hàng thông thường và hệ thống thanh toán trực tuyến.</w:t>
      </w:r>
      <w:proofErr w:type="gramEnd"/>
      <w:r>
        <w:t xml:space="preserve"> Theo Assange, luật sư của WikiLeaks thường làm việc pro bono. Assange đã nói rằng trong một số trường hợp, trợ giúp pháp lý đã được tài trợ bởi các tổ chức truyền thông như Associated Press, Los Angeles Times và Hiệp hội các nhà xuất bản báo chí quốc gia.[68] Assange cho biết vào năm 2010 rằng doanh thu duy nhất của WikiLeaks bao gồm các khoản đóng góp, nhưng họ đã xem xét các lựa chọn khác bao gồm bán đấu giá quyền truy cập sớm vào các tài liệu.[68] Trong tháng 9 năm 2011, WikiLeaks bắt đầu bán đấu giá các vật phẩm trên eBay để gây quỹ, và Assange nói với một khán giả tại Lễ hội Ý tưởng Nguy hiểm ở Sydney rằng tổ chức này có thể không tồn tại được.  [</w:t>
      </w:r>
      <w:proofErr w:type="gramStart"/>
      <w:r>
        <w:t>cần</w:t>
      </w:r>
      <w:proofErr w:type="gramEnd"/>
      <w:r>
        <w:t xml:space="preserve"> cập nhật]</w:t>
      </w:r>
    </w:p>
    <w:p w:rsidR="000342E7" w:rsidRDefault="000342E7" w:rsidP="000342E7"/>
    <w:p w:rsidR="000342E7" w:rsidRDefault="000342E7" w:rsidP="000342E7">
      <w:r>
        <w:t>Vào ngày 24 tháng 12 năm 2009, WikiLeaks thông báo rằng họ đang bị thiếu tiền[cần dẫn nguồn] và đình chỉ tất cả quyền truy cập vào trang web của mình ngoại trừ một biểu mẫu để gửi tài liệu mới.[115] Các tài liệu đã được xuất bản trước đây không còn nữa, mặc dù một số vẫn có thể được truy cập trên các trang web phản chiếu không chính thức vào thời điểm đó.[116] WikiLeaks tuyên bố trên trang web của mình rằng nó sẽ hoạt động trở lại hoàn toàn sau khi chi phí hoạt động được thanh toán.[115] WikiLeaks coi đây là một hình thức ngừng công việc "để đảm bảo rằng tất cả những người có liên quan ngừng công việc bình thường và thực sự dành thời gian tăng doanh thu".[68] Mặc dù ban đầu tổ chức đã lên kế hoạch để các quỹ được đảm bảo vào ngày 6 tháng 1 năm 2010,[cần dẫn nguồn] phải đến ngày 3 tháng 2 năm 2010, WikiLeaks mới thông báo rằng mục tiêu gây quỹ tối thiểu của họ đã đạt được.[cần dẫn nguồn]</w:t>
      </w:r>
    </w:p>
    <w:p w:rsidR="000342E7" w:rsidRDefault="000342E7" w:rsidP="000342E7"/>
    <w:p w:rsidR="000342E7" w:rsidRDefault="000342E7" w:rsidP="000342E7">
      <w:proofErr w:type="gramStart"/>
      <w:r>
        <w:t>Wau Holland Foundation giúp xử lý các khoản quyên góp cho WikiLeaks.</w:t>
      </w:r>
      <w:proofErr w:type="gramEnd"/>
      <w:r>
        <w:t xml:space="preserve"> Vào tháng 7 năm 2010, Tổ chức tuyên bố rằng WikiLeaks không nhận được bất kỳ khoản tiền nào cho chi phí nhân sự, chỉ cho phần cứng, di chuyển và băng thông</w:t>
      </w:r>
      <w:proofErr w:type="gramStart"/>
      <w:r>
        <w:t>.[</w:t>
      </w:r>
      <w:proofErr w:type="gramEnd"/>
      <w:r>
        <w:t>117] Một bài báo trên TechEye đã nêu:</w:t>
      </w:r>
    </w:p>
    <w:p w:rsidR="000342E7" w:rsidRDefault="000342E7" w:rsidP="000342E7"/>
    <w:p w:rsidR="000342E7" w:rsidRDefault="000342E7" w:rsidP="000342E7">
      <w:r>
        <w:t>As a charity accountable under German law, donations for WikiLeaks can be made to the foundation. Funds are held in escrow and are given to WikiLeaks after the whistleblower website files an application containing a statement with proof of payment. The foundation does not pay any sort of salary nor give any renumeration [sic] to WikiLeaks' personnel, corroborating the statement of the site's former German representative Daniel Schmitt [real name Daniel Domscheit-Berg][118] on national television that all personnel works voluntarily, even its speakers.[117]</w:t>
      </w:r>
    </w:p>
    <w:p w:rsidR="000342E7" w:rsidRDefault="000342E7" w:rsidP="000342E7"/>
    <w:p w:rsidR="000342E7" w:rsidRDefault="000342E7" w:rsidP="000342E7">
      <w:r>
        <w:t>Tuy nhiên, vào tháng 12 năm 2010, Wau Holland Foundation tuyên bố rằng 4 nhân viên cố định, bao gồm cả Julian Assange, đã bắt đầu nhận lương.[119]</w:t>
      </w:r>
    </w:p>
    <w:p w:rsidR="000342E7" w:rsidRDefault="000342E7" w:rsidP="000342E7"/>
    <w:p w:rsidR="000342E7" w:rsidRDefault="000342E7" w:rsidP="000342E7">
      <w:r>
        <w:t>Vào năm 2010, Assange cho biết tổ chức này đã được đăng ký như một thư viện ở Úc, một tổ chức ở Pháp và một tờ báo ở Thụy Điển, đồng thời tổ chức này cũng sử dụng hai tổ chức phi lợi nhuận 501c3 có trụ sở tại Hoa Kỳ cho mục đích tài trợ.[120]</w:t>
      </w:r>
    </w:p>
    <w:p w:rsidR="000342E7" w:rsidRDefault="000342E7" w:rsidP="000342E7"/>
    <w:p w:rsidR="000342E7" w:rsidRDefault="000342E7" w:rsidP="000342E7">
      <w:proofErr w:type="gramStart"/>
      <w:r>
        <w:t>Vào ngày 22 tháng 1 năm 2010, trung gian thanh toán Internet PayPal đã đình chỉ tài khoản quyên góp của WikiLeaks và đóng băng tài sản của nó.</w:t>
      </w:r>
      <w:proofErr w:type="gramEnd"/>
      <w:r>
        <w:t xml:space="preserve"> WikiLeaks nói rằng điều này đã xảy ra trước đây, và được thực hiện "không có lý do rõ ràng"</w:t>
      </w:r>
      <w:proofErr w:type="gramStart"/>
      <w:r>
        <w:t>.[</w:t>
      </w:r>
      <w:proofErr w:type="gramEnd"/>
      <w:r>
        <w:t>cần dẫn nguồn] Tài khoản đã được khôi phục vào ngày 25 tháng 1 năm 2010.[cần dẫn nguồn] Vào ngày 18 tháng 5 năm 2010, WikiLeaks thông báo rằng trang web và kho lưu trữ của họ đã hoạt động trở lại.[cần dẫn nguồn]</w:t>
      </w:r>
    </w:p>
    <w:p w:rsidR="000342E7" w:rsidRDefault="000342E7" w:rsidP="000342E7"/>
    <w:p w:rsidR="000342E7" w:rsidRDefault="000342E7" w:rsidP="000342E7">
      <w:r>
        <w:t>Vào tháng 6 năm 2010, WikiLeaks đã lọt vào vòng chung kết cho khoản tài trợ hơn nửa triệu đô la từ Quỹ John S. và James L. Knight</w:t>
      </w:r>
      <w:proofErr w:type="gramStart"/>
      <w:r>
        <w:t>,[</w:t>
      </w:r>
      <w:proofErr w:type="gramEnd"/>
      <w:r>
        <w:t xml:space="preserve">45] nhưng không được vào giai đoạn phê duyệt cuối cùng.[121] WikiLeaks bình luận qua Twitter: “WikiLeaks được đánh giá cao nhất trong dự án Thử thách Hiệp sĩ, được đề xuất mạnh mẽ với hội đồng quản trị nhưng không nhận được tài trợ. Hãy tự đi tìm hiểu lý do." [122] WikiLeaks nói rằng quỹ Knight đã công bố giải thưởng cho "'12 dự án được tài trợ, những người sẽ ảnh hưởng đến tương lai của tin tức' - nhưng không phải WikiLeaks "và đặt câu hỏi liệu quỹ Knight có" thực sự đang tìm kiếm tác động ".[121] Một phát ngôn viên của Tổ chức Hiệp sĩ đã phản bác các phần trong tuyên bố của WikiLeaks, nói rằng "WikiLeaks không được nhân viên Hiệp sĩ giới thiệu vào hội đồng quản trị." [122] Tuy nhiên, ông từ chối cho biết liệu WikiLeaks có phải là dự án được đánh giá cao nhất </w:t>
      </w:r>
      <w:r>
        <w:lastRenderedPageBreak/>
        <w:t xml:space="preserve">bởi ban cố vấn, bao gồm những người không phải là nhân viên, trong số đó có nhà báo Jennifer 8. </w:t>
      </w:r>
      <w:proofErr w:type="gramStart"/>
      <w:r>
        <w:t>Lee hay không.</w:t>
      </w:r>
      <w:proofErr w:type="gramEnd"/>
      <w:r>
        <w:t xml:space="preserve"> Lee đã làm công việc PR cho WikiLeaks với báo chí và trên các trang mạng xã hội</w:t>
      </w:r>
      <w:proofErr w:type="gramStart"/>
      <w:r>
        <w:t>.[</w:t>
      </w:r>
      <w:proofErr w:type="gramEnd"/>
      <w:r>
        <w:t>122]</w:t>
      </w:r>
    </w:p>
    <w:p w:rsidR="000342E7" w:rsidRDefault="000342E7" w:rsidP="000342E7"/>
    <w:p w:rsidR="000342E7" w:rsidRDefault="000342E7" w:rsidP="000342E7">
      <w:proofErr w:type="gramStart"/>
      <w:r>
        <w:t>Trong năm 2010, WikiLeaks đã nhận được 635.772,73 € từ các khoản đóng góp cho PayPal, trừ đi 30.000 € phí PayPal và 695.925,46 € chuyển khoản ngân hàng.</w:t>
      </w:r>
      <w:proofErr w:type="gramEnd"/>
      <w:r>
        <w:t xml:space="preserve"> </w:t>
      </w:r>
      <w:proofErr w:type="gramStart"/>
      <w:r>
        <w:t>500.988,89 € trong tổng số tiền đã được nhận vào tháng 12, chủ yếu là chuyển khoản ngân hàng khi PayPal tạm ngừng thanh toán vào ngày 4 tháng 12.</w:t>
      </w:r>
      <w:proofErr w:type="gramEnd"/>
      <w:r>
        <w:t xml:space="preserve"> 298.057,38 € phần còn lại đã được nhận vào tháng 4</w:t>
      </w:r>
      <w:proofErr w:type="gramStart"/>
      <w:r>
        <w:t>.[</w:t>
      </w:r>
      <w:proofErr w:type="gramEnd"/>
      <w:r>
        <w:t>123]</w:t>
      </w:r>
    </w:p>
    <w:p w:rsidR="000342E7" w:rsidRDefault="000342E7" w:rsidP="000342E7"/>
    <w:p w:rsidR="000342E7" w:rsidRDefault="000342E7" w:rsidP="000342E7">
      <w:r>
        <w:t xml:space="preserve">Wau Holland Foundation, một trong những kênh tài trợ chính của WikiLeaks, tuyên bố rằng họ đã nhận được hơn 900.000 € quyên góp từ công chúng từ tháng 10 năm 2009 đến tháng 12 năm 2010, trong đó 370.000 € đã được chuyển cho WikiLeaks. </w:t>
      </w:r>
      <w:proofErr w:type="gramStart"/>
      <w:r>
        <w:t>Hendrik Fulda, phó chủ tịch của Wau Holland Foundation, đề cập rằng Quỹ đã nhận được số tiền quyên góp qua PayPal nhiều gấp đôi so với thông qua các ngân hàng thông thường, trước khi PayPal quyết định đình chỉ tài khoản của WikiLeaks.</w:t>
      </w:r>
      <w:proofErr w:type="gramEnd"/>
      <w:r>
        <w:t xml:space="preserve"> Ông cũng lưu ý rằng mọi ấn phẩm mới của WikiLeaks đều mang lại "làn sóng ủng hộ", và các khoản quyên góp mạnh nhất trong những tuần sau khi WikiLeaks bắt đầu công bố các bức điện ngoại giao bị rò rỉ.[124][125]</w:t>
      </w:r>
    </w:p>
    <w:p w:rsidR="000342E7" w:rsidRDefault="000342E7" w:rsidP="000342E7"/>
    <w:p w:rsidR="0032567C" w:rsidRPr="006551EC" w:rsidRDefault="000342E7" w:rsidP="000342E7">
      <w:r>
        <w:t xml:space="preserve">Cơ quan tư pháp Iceland đã quyết định rằng Valitor (một công ty liên quan đến Visa và MasterCard) đã </w:t>
      </w:r>
      <w:proofErr w:type="gramStart"/>
      <w:r>
        <w:t>vi</w:t>
      </w:r>
      <w:proofErr w:type="gramEnd"/>
      <w:r>
        <w:t xml:space="preserve"> phạm luật khi ngăn cản việc đóng góp cho trang web bằng thẻ tín dụng. Một công lý đã phán quyết rằng các khoản đóng góp sẽ được phép quay trở lại trang web sau 14 ngày hoặc họ sẽ bị phạt với số tiền 6.000 đô la Mỹ một ngày.[126]</w:t>
      </w:r>
      <w:bookmarkStart w:id="0" w:name="_GoBack"/>
      <w:bookmarkEnd w:id="0"/>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5682"/>
    <w:rsid w:val="000342E7"/>
    <w:rsid w:val="000C06C3"/>
    <w:rsid w:val="0011066A"/>
    <w:rsid w:val="00273C5D"/>
    <w:rsid w:val="0032567C"/>
    <w:rsid w:val="003860A7"/>
    <w:rsid w:val="003C2D4F"/>
    <w:rsid w:val="006551EC"/>
    <w:rsid w:val="007D3E27"/>
    <w:rsid w:val="00872560"/>
    <w:rsid w:val="00877BD5"/>
    <w:rsid w:val="00A016C4"/>
    <w:rsid w:val="00A13062"/>
    <w:rsid w:val="00A3692A"/>
    <w:rsid w:val="00B9513B"/>
    <w:rsid w:val="00E42932"/>
    <w:rsid w:val="00EC41D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375593669">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2023-07-25T15:21:00Z</dcterms:created>
  <dcterms:modified xsi:type="dcterms:W3CDTF">2023-07-25T15:21:00Z</dcterms:modified>
</cp:coreProperties>
</file>