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Visor GIS web</w:t>
      </w:r>
    </w:p>
    <w:p>
      <w:r>
        <w:t>Memoria resumida de la versión 1.2 · 2 de octubre de 2026</w:t>
      </w:r>
    </w:p>
    <w:p>
      <w:r>
        <w:t xml:space="preserve">Esta memoria explica la utilidad del visor, cómo se implementa y qué archivos permiten ampliarlo. Las comprobaciones se recogen en </w:t>
      </w:r>
      <w:r>
        <w:rPr>
          <w:rFonts w:ascii="Consolas" w:hAnsi="Consolas"/>
          <w:sz w:val="19"/>
        </w:rPr>
        <w:t>docs/VERIFICACION.md</w:t>
      </w:r>
      <w:r>
        <w:t>.</w:t>
      </w:r>
    </w:p>
    <w:p>
      <w:r>
        <w:t>En Word, actualiza el índice con el botón derecho y «Actualizar campo».</w:t>
      </w:r>
    </w:p>
    <w:p>
      <w:pPr>
        <w:keepNext/>
        <w:spacing w:before="200"/>
      </w:pPr>
      <w:r>
        <w:rPr>
          <w:b/>
          <w:sz w:val="32"/>
        </w:rPr>
        <w:t>Índice</w:t>
      </w:r>
    </w:p>
    <w:p>
      <w:pPr>
        <w:pStyle w:val="Manual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hyperlink w:anchor="sec_1">
        <w:r>
          <w:rPr>
            <w:color w:val="000000"/>
          </w:rPr>
          <w:t>1 Objetivo y utilidad</w:t>
        </w:r>
      </w:hyperlink>
    </w:p>
    <w:p>
      <w:pPr>
        <w:pStyle w:val="ManualTOC1"/>
      </w:pPr>
      <w:hyperlink w:anchor="sec_2">
        <w:r>
          <w:rPr>
            <w:color w:val="000000"/>
          </w:rPr>
          <w:t>2 Alcance y cambios de versión</w:t>
        </w:r>
      </w:hyperlink>
    </w:p>
    <w:p>
      <w:pPr>
        <w:pStyle w:val="ManualTOC1"/>
      </w:pPr>
      <w:hyperlink w:anchor="sec_3">
        <w:r>
          <w:rPr>
            <w:color w:val="000000"/>
          </w:rPr>
          <w:t>3 Funcionalidades y cumplimiento</w:t>
        </w:r>
      </w:hyperlink>
    </w:p>
    <w:p>
      <w:pPr>
        <w:pStyle w:val="ManualTOC1"/>
      </w:pPr>
      <w:hyperlink w:anchor="sec_4">
        <w:r>
          <w:rPr>
            <w:color w:val="000000"/>
          </w:rPr>
          <w:t>4 Tecnologías y motivo de uso</w:t>
        </w:r>
      </w:hyperlink>
    </w:p>
    <w:p>
      <w:pPr>
        <w:pStyle w:val="ManualTOC1"/>
      </w:pPr>
      <w:hyperlink w:anchor="sec_5">
        <w:r>
          <w:rPr>
            <w:color w:val="000000"/>
          </w:rPr>
          <w:t>5 Estructura del proyecto</w:t>
        </w:r>
      </w:hyperlink>
    </w:p>
    <w:p>
      <w:pPr>
        <w:pStyle w:val="ManualTOC1"/>
      </w:pPr>
      <w:hyperlink w:anchor="sec_6">
        <w:r>
          <w:rPr>
            <w:color w:val="000000"/>
          </w:rPr>
          <w:t>6 Flujo de datos</w:t>
        </w:r>
      </w:hyperlink>
    </w:p>
    <w:p>
      <w:pPr>
        <w:pStyle w:val="ManualTOC1"/>
      </w:pPr>
      <w:hyperlink w:anchor="sec_7">
        <w:r>
          <w:rPr>
            <w:color w:val="000000"/>
          </w:rPr>
          <w:t>7 Procedencia de bibliotecas y datos</w:t>
        </w:r>
      </w:hyperlink>
    </w:p>
    <w:p>
      <w:pPr>
        <w:pStyle w:val="ManualTOC1"/>
      </w:pPr>
      <w:hyperlink w:anchor="sec_8">
        <w:r>
          <w:rPr>
            <w:color w:val="000000"/>
          </w:rPr>
          <w:t>8 Implementación y uso de las herramientas</w:t>
        </w:r>
      </w:hyperlink>
    </w:p>
    <w:p>
      <w:pPr>
        <w:pStyle w:val="ManualTOC1"/>
      </w:pPr>
      <w:hyperlink w:anchor="sec_9">
        <w:r>
          <w:rPr>
            <w:color w:val="000000"/>
          </w:rPr>
          <w:t>9 Importar y añadir capas</w:t>
        </w:r>
      </w:hyperlink>
    </w:p>
    <w:p>
      <w:pPr>
        <w:pStyle w:val="ManualTOC1"/>
      </w:pPr>
      <w:hyperlink w:anchor="sec_10">
        <w:r>
          <w:rPr>
            <w:color w:val="000000"/>
          </w:rPr>
          <w:t>10 Crear otro visor con esta base</w:t>
        </w:r>
      </w:hyperlink>
    </w:p>
    <w:p>
      <w:pPr>
        <w:pStyle w:val="ManualTOC1"/>
      </w:pPr>
      <w:hyperlink w:anchor="sec_11">
        <w:r>
          <w:rPr>
            <w:color w:val="000000"/>
          </w:rPr>
          <w:t>11 Instalación en Windows</w:t>
        </w:r>
      </w:hyperlink>
    </w:p>
    <w:p>
      <w:pPr>
        <w:pStyle w:val="ManualTOC1"/>
      </w:pPr>
      <w:hyperlink w:anchor="sec_12">
        <w:r>
          <w:rPr>
            <w:color w:val="000000"/>
          </w:rPr>
          <w:t>12 Despliegue en GitHub Pages</w:t>
        </w:r>
      </w:hyperlink>
    </w:p>
    <w:p>
      <w:pPr>
        <w:pStyle w:val="ManualTOC1"/>
      </w:pPr>
      <w:hyperlink w:anchor="sec_13">
        <w:r>
          <w:rPr>
            <w:color w:val="000000"/>
          </w:rPr>
          <w:t>13 Backend y almacenamiento</w:t>
        </w:r>
      </w:hyperlink>
    </w:p>
    <w:p>
      <w:pPr>
        <w:pStyle w:val="ManualTOC1"/>
      </w:pPr>
      <w:hyperlink w:anchor="sec_14">
        <w:r>
          <w:rPr>
            <w:color w:val="000000"/>
          </w:rPr>
          <w:t>14 Evolución futura</w:t>
        </w:r>
      </w:hyperlink>
    </w:p>
    <w:p>
      <w:pPr>
        <w:pStyle w:val="ManualTOC1"/>
      </w:pPr>
      <w:hyperlink w:anchor="sec_15">
        <w:r>
          <w:rPr>
            <w:color w:val="000000"/>
          </w:rPr>
          <w:t>15 Pruebas y límites</w:t>
        </w:r>
      </w:hyperlink>
      <w:r>
        <w:fldChar w:fldCharType="end"/>
      </w:r>
    </w:p>
    <w:p>
      <w:r>
        <w:rPr>
          <w:sz w:val="19"/>
        </w:rPr>
        <w:t>En Word: clic derecho en el índice → Actualizar campo → Actualizar toda la tabla.</w:t>
      </w:r>
    </w:p>
    <w:p>
      <w:r>
        <w:br w:type="page"/>
      </w:r>
    </w:p>
    <w:p>
      <w:pPr>
        <w:pStyle w:val="Heading1"/>
        <w:numPr>
          <w:ilvl w:val="0"/>
          <w:numId w:val="10"/>
        </w:numPr>
      </w:pPr>
      <w:bookmarkStart w:id="1" w:name="sec_1"/>
      <w:r>
        <w:t>Objetivo y utilidad</w:t>
      </w:r>
      <w:bookmarkEnd w:id="1"/>
    </w:p>
    <w:p>
      <w:r>
        <w:t>El visor permite consultar datos geográficos desde el navegador. Por ejemplo, contar tramos de carretera dentro de una zona de Asturias, consultar la ortofoto de España o estimar el área accesible en coche en 20 minutos. Los paneles toman como referencia funcional Global Nature Watch, adaptada a este proyecto.</w:t>
      </w:r>
    </w:p>
    <w:p>
      <w:pPr>
        <w:pStyle w:val="Heading1"/>
        <w:numPr>
          <w:ilvl w:val="0"/>
          <w:numId w:val="10"/>
        </w:numPr>
      </w:pPr>
      <w:bookmarkStart w:id="2" w:name="sec_2"/>
      <w:r>
        <w:t>Alcance y cambios de versión</w:t>
      </w:r>
      <w:bookmarkEnd w:id="2"/>
    </w:p>
    <w:p>
      <w:r>
        <w:t>Se conservan React, TypeScript, deck.gl, los datos originales y el backend local. La 1.0 incorporó capas, análisis rectangular y libre, rutas, importación y Pages. La 1.1 añadió isócronas y un terreno único para apoyar las capas sin que flotasen; también mantuvo el fondo fuera de PNOA.</w:t>
      </w:r>
    </w:p>
    <w:p>
      <w:r>
        <w:t>La 1.2 elimina el acceso separado «Fuentes», reúne los fondos en «Mapa y relieve» y coloca hidrografía en «Capas». Añade Cartográfico en color y Satélite global; PNOA siempre conserva imágenes fuera de España aunque antes se usara Oscuro. Cambia «Alcance» por «Isócronas», ajusta la iluminación del terreno, incorpora Mapterhorn como fuente de alturas y añade edificios con volumen opcionales. Edición de geometrías, usuarios y datos compartidos siguen pendientes.</w:t>
      </w:r>
    </w:p>
    <w:p>
      <w:pPr>
        <w:pStyle w:val="Heading1"/>
        <w:numPr>
          <w:ilvl w:val="0"/>
          <w:numId w:val="10"/>
        </w:numPr>
      </w:pPr>
      <w:bookmarkStart w:id="3" w:name="sec_3"/>
      <w:r>
        <w:t>Funcionalidades y cumplimiento</w:t>
      </w:r>
      <w:bookmarkEnd w:id="3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118"/>
        <w:gridCol w:w="6293"/>
      </w:tblGrid>
      <w:tr>
        <w:trPr>
          <w:cantSplit/>
          <w:tblHeader w:val="true"/>
        </w:trPr>
        <w:tc>
          <w:tcPr>
            <w:tcW w:type="dxa" w:w="3118"/>
            <w:vAlign w:val="center"/>
            <w:shd w:fill="D9E5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Función</w:t>
            </w:r>
          </w:p>
        </w:tc>
        <w:tc>
          <w:tcPr>
            <w:tcW w:type="dxa" w:w="6293"/>
            <w:vAlign w:val="center"/>
            <w:shd w:fill="D9E5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Estado real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Capas e interfaz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Estilos, leyenda, opacidad, orden, panel plegable y adaptación a pantallas pequeñas. Hidrografía y otros servicios se gestionan en Capas.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Análisis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Rectángulo y polígono libre cerrado; recuentos, estadísticas, medidas interiores, resaltado y exportación.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Rutas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Búsqueda, puntos en mapa, intercambio, recorrido real, distancia, duración e indicaciones en coche.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Isócronas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Contorno aproximado accesible desde un origen en 5–60 minutos y exportación GeoJSON.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Mapa y 3D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Claro, Oscuro, Cartográfico, Satélite y PNOA; relieve Mapterhorn o AWS con capas adaptadas y edificios opcionales de altura orientativa.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Importación y almacenamiento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GeoJSON y WMS/WMTS compatibles; backend local y modo estático con almacenamiento del navegador.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Pendiente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Usuarios, datos compartidos, otros transportes, tráfico y optimización para grandes conjuntos.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bookmarkStart w:id="4" w:name="sec_4"/>
      <w:r>
        <w:t>Tecnologías y motivo de uso</w:t>
      </w:r>
      <w:bookmarkEnd w:id="4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118"/>
        <w:gridCol w:w="6293"/>
      </w:tblGrid>
      <w:tr>
        <w:trPr>
          <w:cantSplit/>
          <w:tblHeader w:val="true"/>
        </w:trPr>
        <w:tc>
          <w:tcPr>
            <w:tcW w:type="dxa" w:w="3118"/>
            <w:vAlign w:val="center"/>
            <w:shd w:fill="D9E5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Tecnología</w:t>
            </w:r>
          </w:p>
        </w:tc>
        <w:tc>
          <w:tcPr>
            <w:tcW w:type="dxa" w:w="6293"/>
            <w:vAlign w:val="center"/>
            <w:shd w:fill="D9E5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Para qué se utiliza y por qué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React y TypeScript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Dividen la interfaz en componentes y comprueban los tipos antes de ejecutar.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Vite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Sirve el desarrollo y genera los archivos estáticos de publicación.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deck.gl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Motor principal: dibuja vectores, imágenes, selecciones, rutas, terreno y edificios con la GPU.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MapLibre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Controla cámara, navegación y fondo 2D; MapboxOverlay sincroniza la vista con deck.gl.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Turf y proj4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Calculan intersecciones y medidas y transforman coordenadas.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loaders.gl y TerrainExtension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Decodifican teselas y adaptan capas a la malla del terreno.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Ant Design y CSS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Aportan formularios y paneles adaptados al tamaño de pantalla.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Node.js, Express y SQLite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Ejecutan la API local y conservan la configuración de capas.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IndexedDB y localStorage</w:t>
            </w:r>
          </w:p>
        </w:tc>
        <w:tc>
          <w:tcPr>
            <w:tcW w:type="dxa" w:w="6293"/>
            <w:vAlign w:val="center"/>
            <w:shd w:fill="FFFFFF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Guardan importaciones, configuración y preferencias en el navegador.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GitHub Actions y Pages</w:t>
            </w:r>
          </w:p>
        </w:tc>
        <w:tc>
          <w:tcPr>
            <w:tcW w:type="dxa" w:w="6293"/>
            <w:vAlign w:val="center"/>
            <w:shd w:fill="F6F8FA"/>
          </w:tcPr>
          <w:p>
            <w:pPr>
              <w:spacing w:after="40" w:line="252" w:lineRule="auto"/>
            </w:pPr>
            <w:r>
              <w:rPr>
                <w:color w:val="000000"/>
                <w:sz w:val="19"/>
              </w:rPr>
              <w:t>Comprueban, compilan y publican el modo estático.</w:t>
            </w:r>
          </w:p>
        </w:tc>
      </w:tr>
    </w:tbl>
    <w:p>
      <w:pPr>
        <w:spacing w:after="40"/>
      </w:pPr>
    </w:p>
    <w:p>
      <w:pPr>
        <w:pStyle w:val="Heading1"/>
        <w:numPr>
          <w:ilvl w:val="0"/>
          <w:numId w:val="10"/>
        </w:numPr>
      </w:pPr>
      <w:bookmarkStart w:id="5" w:name="sec_5"/>
      <w:r>
        <w:t>Estructura del proyecto</w:t>
      </w:r>
      <w:bookmarkEnd w:id="5"/>
    </w:p>
    <w:p>
      <w:pPr>
        <w:pStyle w:val="ListBullet"/>
      </w:pPr>
      <w:r>
        <w:rPr>
          <w:rFonts w:ascii="Consolas" w:hAnsi="Consolas"/>
          <w:sz w:val="19"/>
        </w:rPr>
        <w:t>src/App.tsx</w:t>
      </w:r>
      <w:r>
        <w:t>: conecta paneles y estado general.</w:t>
      </w:r>
    </w:p>
    <w:p>
      <w:pPr>
        <w:pStyle w:val="ListBullet"/>
      </w:pPr>
      <w:r>
        <w:rPr>
          <w:rFonts w:ascii="Consolas" w:hAnsi="Consolas"/>
          <w:sz w:val="19"/>
        </w:rPr>
        <w:t>src/components/MapView.tsx</w:t>
      </w:r>
      <w:r>
        <w:t>: conecta la cámara de MapLibre y el dibujo deck.gl.</w:t>
      </w:r>
    </w:p>
    <w:p>
      <w:pPr>
        <w:pStyle w:val="ListBullet"/>
      </w:pPr>
      <w:r>
        <w:rPr>
          <w:rFonts w:ascii="Consolas" w:hAnsi="Consolas"/>
          <w:sz w:val="19"/>
        </w:rPr>
        <w:t>src/components/</w:t>
      </w:r>
      <w:r>
        <w:t>: paneles de capas, análisis, rutas, isócronas e importación.</w:t>
      </w:r>
    </w:p>
    <w:p>
      <w:pPr>
        <w:pStyle w:val="ListBullet"/>
      </w:pPr>
      <w:r>
        <w:rPr>
          <w:rFonts w:ascii="Consolas" w:hAnsi="Consolas"/>
          <w:sz w:val="19"/>
        </w:rPr>
        <w:t>src/lib/</w:t>
      </w:r>
      <w:r>
        <w:t xml:space="preserve">: cálculos, proveedores, coordenadas, imágenes y almacenamiento; </w:t>
      </w:r>
      <w:r>
        <w:rPr>
          <w:rFonts w:ascii="Consolas" w:hAnsi="Consolas"/>
          <w:sz w:val="19"/>
        </w:rPr>
        <w:t>basemaps.ts</w:t>
      </w:r>
      <w:r>
        <w:t xml:space="preserve"> registra fondos, </w:t>
      </w:r>
      <w:r>
        <w:rPr>
          <w:rFonts w:ascii="Consolas" w:hAnsi="Consolas"/>
          <w:sz w:val="19"/>
        </w:rPr>
        <w:t>terrainSource.ts</w:t>
      </w:r>
      <w:r>
        <w:t xml:space="preserve"> carga alturas, </w:t>
      </w:r>
      <w:r>
        <w:rPr>
          <w:rFonts w:ascii="Consolas" w:hAnsi="Consolas"/>
          <w:sz w:val="19"/>
        </w:rPr>
        <w:t>buildings.ts</w:t>
      </w:r>
      <w:r>
        <w:t xml:space="preserve"> valida edificios y </w:t>
      </w:r>
      <w:r>
        <w:rPr>
          <w:rFonts w:ascii="Consolas" w:hAnsi="Consolas"/>
          <w:sz w:val="19"/>
        </w:rPr>
        <w:t>basemapTone.ts</w:t>
      </w:r>
      <w:r>
        <w:t xml:space="preserve"> ajusta los tonos 3D.</w:t>
      </w:r>
    </w:p>
    <w:p>
      <w:pPr>
        <w:pStyle w:val="ListBullet"/>
      </w:pPr>
      <w:r>
        <w:rPr>
          <w:rFonts w:ascii="Consolas" w:hAnsi="Consolas"/>
          <w:sz w:val="19"/>
        </w:rPr>
        <w:t>src/model/</w:t>
      </w:r>
      <w:r>
        <w:t>: PointLayer, LineLayer y PolygonLayer, con estilos y atributos.</w:t>
      </w:r>
    </w:p>
    <w:p>
      <w:pPr>
        <w:pStyle w:val="ListBullet"/>
      </w:pPr>
      <w:r>
        <w:rPr>
          <w:rFonts w:ascii="Consolas" w:hAnsi="Consolas"/>
          <w:sz w:val="19"/>
        </w:rPr>
        <w:t>src/hooks/useLayers.ts</w:t>
      </w:r>
      <w:r>
        <w:t>: carga capas y guarda su configuración.</w:t>
      </w:r>
    </w:p>
    <w:p>
      <w:pPr>
        <w:pStyle w:val="ListBullet"/>
      </w:pPr>
      <w:r>
        <w:rPr>
          <w:rFonts w:ascii="Consolas" w:hAnsi="Consolas"/>
          <w:sz w:val="19"/>
        </w:rPr>
        <w:t>src/config/defaultLayers.ts</w:t>
      </w:r>
      <w:r>
        <w:t xml:space="preserve"> y </w:t>
      </w:r>
      <w:r>
        <w:rPr>
          <w:rFonts w:ascii="Consolas" w:hAnsi="Consolas"/>
          <w:sz w:val="19"/>
        </w:rPr>
        <w:t>server/database.js</w:t>
      </w:r>
      <w:r>
        <w:t>: configuración inicial estática y local.</w:t>
      </w:r>
    </w:p>
    <w:p>
      <w:pPr>
        <w:pStyle w:val="ListBullet"/>
      </w:pPr>
      <w:r>
        <w:rPr>
          <w:rFonts w:ascii="Consolas" w:hAnsi="Consolas"/>
          <w:sz w:val="19"/>
        </w:rPr>
        <w:t>public/data/</w:t>
      </w:r>
      <w:r>
        <w:t xml:space="preserve">, </w:t>
      </w:r>
      <w:r>
        <w:rPr>
          <w:rFonts w:ascii="Consolas" w:hAnsi="Consolas"/>
          <w:sz w:val="19"/>
        </w:rPr>
        <w:t>server/</w:t>
      </w:r>
      <w:r>
        <w:t xml:space="preserve">, </w:t>
      </w:r>
      <w:r>
        <w:rPr>
          <w:rFonts w:ascii="Consolas" w:hAnsi="Consolas"/>
          <w:sz w:val="19"/>
        </w:rPr>
        <w:t>tests/</w:t>
      </w:r>
      <w:r>
        <w:t xml:space="preserve">, </w:t>
      </w:r>
      <w:r>
        <w:rPr>
          <w:rFonts w:ascii="Consolas" w:hAnsi="Consolas"/>
          <w:sz w:val="19"/>
        </w:rPr>
        <w:t>docs/</w:t>
      </w:r>
      <w:r>
        <w:t>: datos, API, pruebas y documentación.</w:t>
      </w:r>
    </w:p>
    <w:p>
      <w:pPr>
        <w:pStyle w:val="ListBullet"/>
      </w:pPr>
      <w:r>
        <w:rPr>
          <w:rFonts w:ascii="Consolas" w:hAnsi="Consolas"/>
          <w:sz w:val="19"/>
        </w:rPr>
        <w:t>pages.yml</w:t>
      </w:r>
      <w:r>
        <w:t xml:space="preserve">, </w:t>
      </w:r>
      <w:r>
        <w:rPr>
          <w:rFonts w:ascii="Consolas" w:hAnsi="Consolas"/>
          <w:sz w:val="19"/>
        </w:rPr>
        <w:t>vite.config.ts</w:t>
      </w:r>
      <w:r>
        <w:t xml:space="preserve"> y </w:t>
      </w:r>
      <w:r>
        <w:rPr>
          <w:rFonts w:ascii="Consolas" w:hAnsi="Consolas"/>
          <w:sz w:val="19"/>
        </w:rPr>
        <w:t>package.json</w:t>
      </w:r>
      <w:r>
        <w:t>: publicación, compilación, comandos y versión.</w:t>
      </w:r>
    </w:p>
    <w:p>
      <w:pPr>
        <w:pStyle w:val="Heading1"/>
        <w:numPr>
          <w:ilvl w:val="0"/>
          <w:numId w:val="10"/>
        </w:numPr>
      </w:pPr>
      <w:bookmarkStart w:id="6" w:name="sec_6"/>
      <w:r>
        <w:t>Flujo de datos</w:t>
      </w:r>
      <w:bookmarkEnd w:id="6"/>
    </w:p>
    <w:p>
      <w:r>
        <w:rPr>
          <w:rFonts w:ascii="Consolas" w:hAnsi="Consolas"/>
          <w:sz w:val="19"/>
        </w:rPr>
        <w:t>useLayers.ts</w:t>
      </w:r>
      <w:r>
        <w:t xml:space="preserve"> lee la configuración de la API local o del almacenamiento estático. Carga los GeoJSON y </w:t>
      </w:r>
      <w:r>
        <w:rPr>
          <w:rFonts w:ascii="Consolas" w:hAnsi="Consolas"/>
          <w:sz w:val="19"/>
        </w:rPr>
        <w:t>geojson.ts</w:t>
      </w:r>
      <w:r>
        <w:t xml:space="preserve"> valida geometrías y coordenadas. Las clases de </w:t>
      </w:r>
      <w:r>
        <w:rPr>
          <w:rFonts w:ascii="Consolas" w:hAnsi="Consolas"/>
          <w:sz w:val="19"/>
        </w:rPr>
        <w:t>src/model/</w:t>
      </w:r>
      <w:r>
        <w:t xml:space="preserve"> crean las capas que dibuja </w:t>
      </w:r>
      <w:r>
        <w:rPr>
          <w:rFonts w:ascii="Consolas" w:hAnsi="Consolas"/>
          <w:sz w:val="19"/>
        </w:rPr>
        <w:t>MapView.tsx</w:t>
      </w:r>
      <w:r>
        <w:t>.</w:t>
      </w:r>
    </w:p>
    <w:p>
      <w:r>
        <w:t>Al cambiar un control, React actualiza el mapa y guarda las preferencias correspondientes. El análisis se calcula en el navegador. Rutas e isócronas consultan proveedores externos; deck.gl dibuja sus respuestas. WMS devuelve imágenes y las teselas de edificios y relieve se cargan según la vista.</w:t>
      </w:r>
    </w:p>
    <w:p>
      <w:pPr>
        <w:pStyle w:val="Heading1"/>
        <w:numPr>
          <w:ilvl w:val="0"/>
          <w:numId w:val="10"/>
        </w:numPr>
      </w:pPr>
      <w:bookmarkStart w:id="7" w:name="sec_7"/>
      <w:r>
        <w:t>Procedencia de bibliotecas y datos</w:t>
      </w:r>
      <w:bookmarkEnd w:id="7"/>
    </w:p>
    <w:p>
      <w:r>
        <w:t xml:space="preserve">Las bibliotecas se instalan desde npm. </w:t>
      </w:r>
      <w:r>
        <w:rPr>
          <w:rFonts w:ascii="Consolas" w:hAnsi="Consolas"/>
          <w:sz w:val="19"/>
        </w:rPr>
        <w:t>package.json</w:t>
      </w:r>
      <w:r>
        <w:t xml:space="preserve"> declara dependencias y </w:t>
      </w:r>
      <w:r>
        <w:rPr>
          <w:rFonts w:ascii="Consolas" w:hAnsi="Consolas"/>
          <w:sz w:val="19"/>
        </w:rPr>
        <w:t>package-lock.json</w:t>
      </w:r>
      <w:r>
        <w:t xml:space="preserve"> fija versiones para repetir la instalación. Importar </w:t>
      </w:r>
      <w:r>
        <w:rPr>
          <w:rFonts w:ascii="Consolas" w:hAnsi="Consolas"/>
          <w:sz w:val="19"/>
        </w:rPr>
        <w:t>@deck.gl/layers</w:t>
      </w:r>
      <w:r>
        <w:t xml:space="preserve"> utiliza una biblioteca; importar </w:t>
      </w:r>
      <w:r>
        <w:rPr>
          <w:rFonts w:ascii="Consolas" w:hAnsi="Consolas"/>
          <w:sz w:val="19"/>
        </w:rPr>
        <w:t>../lib/analysis.ts</w:t>
      </w:r>
      <w:r>
        <w:t xml:space="preserve"> utiliza código propio.</w:t>
      </w:r>
    </w:p>
    <w:p>
      <w:r>
        <w:t xml:space="preserve">Se mantienen 9.999 puntos de Chile en EPSG:31994, 6.233 entidades de líneas de Asturias en EPSG:4258 y 399 polígonos de Chile en EPSG:4326. Son datos heredados; no se ha acreditado una nueva licencia de redistribución. </w:t>
      </w:r>
      <w:r>
        <w:rPr>
          <w:rFonts w:ascii="Consolas" w:hAnsi="Consolas"/>
          <w:sz w:val="19"/>
        </w:rPr>
        <w:t>example-import.geojson</w:t>
      </w:r>
      <w:r>
        <w:t xml:space="preserve"> contiene cuatro entidades ficticias para practicar.</w:t>
      </w:r>
    </w:p>
    <w:p>
      <w:r>
        <w:t xml:space="preserve">PNOA e hidrografía proceden de IGN/IDEE. OpenFreeMap aporta cartografía y edificios basados en OpenStreetMap; OpenMapTiles aporta su esquema de datos. VersaTiles aporta imágenes globales de Sentinel-2 y ortofotos regionales, entre ellas Portugal. Mapterhorn combina elevaciones globales y fuentes regionales más detalladas; AWS Terrain Tiles queda como alternativa. Photon busca direcciones, OSRM calcula rutas y Valhalla calcula isócronas. </w:t>
      </w:r>
      <w:r>
        <w:rPr>
          <w:rFonts w:ascii="Consolas" w:hAnsi="Consolas"/>
          <w:sz w:val="19"/>
        </w:rPr>
        <w:t>docs/PROVEEDORES.md</w:t>
      </w:r>
      <w:r>
        <w:t xml:space="preserve"> explica URLs, acceso, atribución y límites.</w:t>
      </w:r>
    </w:p>
    <w:p>
      <w:pPr>
        <w:pStyle w:val="Heading1"/>
        <w:numPr>
          <w:ilvl w:val="0"/>
          <w:numId w:val="10"/>
        </w:numPr>
      </w:pPr>
      <w:bookmarkStart w:id="8" w:name="sec_8"/>
      <w:r>
        <w:t>Implementación y uso de las herramientas</w:t>
      </w:r>
      <w:bookmarkEnd w:id="8"/>
    </w:p>
    <w:p>
      <w:r>
        <w:rPr>
          <w:b/>
        </w:rPr>
        <w:t>Capas.</w:t>
      </w:r>
      <w:r>
        <w:t xml:space="preserve"> Cambia visibilidad, estilos, opacidad y encuadre. Hidrografía aparece aquí como imagen WMS. </w:t>
      </w:r>
      <w:r>
        <w:rPr>
          <w:rFonts w:ascii="Consolas" w:hAnsi="Consolas"/>
          <w:sz w:val="19"/>
        </w:rPr>
        <w:t>LayerCard.tsx</w:t>
      </w:r>
      <w:r>
        <w:t xml:space="preserve"> y </w:t>
      </w:r>
      <w:r>
        <w:rPr>
          <w:rFonts w:ascii="Consolas" w:hAnsi="Consolas"/>
          <w:sz w:val="19"/>
        </w:rPr>
        <w:t>src/model/</w:t>
      </w:r>
      <w:r>
        <w:t xml:space="preserve"> manejan vectores; </w:t>
      </w:r>
      <w:r>
        <w:rPr>
          <w:rFonts w:ascii="Consolas" w:hAnsi="Consolas"/>
          <w:sz w:val="19"/>
        </w:rPr>
        <w:t>raster.ts</w:t>
      </w:r>
      <w:r>
        <w:t xml:space="preserve"> define servicios. </w:t>
      </w:r>
      <w:r>
        <w:rPr>
          <w:rFonts w:ascii="Consolas" w:hAnsi="Consolas"/>
          <w:sz w:val="19"/>
        </w:rPr>
        <w:t>App.tsx</w:t>
      </w:r>
      <w:r>
        <w:t xml:space="preserve"> y </w:t>
      </w:r>
      <w:r>
        <w:rPr>
          <w:rFonts w:ascii="Consolas" w:hAnsi="Consolas"/>
          <w:sz w:val="19"/>
        </w:rPr>
        <w:t>style.css</w:t>
      </w:r>
      <w:r>
        <w:t xml:space="preserve"> organizan paneles. En móvil se pliegan al elegir puntos o zonas y vuelven a abrir al terminar.</w:t>
      </w:r>
    </w:p>
    <w:p>
      <w:r>
        <w:rPr>
          <w:b/>
        </w:rPr>
        <w:t>Análisis.</w:t>
      </w:r>
      <w:r>
        <w:t xml:space="preserve"> Arrastra un rectángulo o toca dos esquinas. En Libre marca al menos tres puntos y cierra tocando el primero o pulsando «Cerrar y analizar». Mientras esté abierto no se calcula. </w:t>
      </w:r>
      <w:r>
        <w:rPr>
          <w:rFonts w:ascii="Consolas" w:hAnsi="Consolas"/>
          <w:sz w:val="19"/>
        </w:rPr>
        <w:t>MapView.tsx</w:t>
      </w:r>
      <w:r>
        <w:t xml:space="preserve"> recoge la selección y </w:t>
      </w:r>
      <w:r>
        <w:rPr>
          <w:rFonts w:ascii="Consolas" w:hAnsi="Consolas"/>
          <w:sz w:val="19"/>
        </w:rPr>
        <w:t>analysis.ts</w:t>
      </w:r>
      <w:r>
        <w:t xml:space="preserve"> valida el contorno y calcula.</w:t>
      </w:r>
    </w:p>
    <w:p>
      <w:r>
        <w:t>Cada Feature que intersecta la zona, incluido su borde, cuenta una vez. Un MultiPoint, MultiLineString o MultiPolygon sigue siendo una entidad; dos registros iguales cuentan como dos. Participan vectores visibles con opacidad mayor que cero. Imágenes y edificios del fondo quedan fuera. Si falta una capa visible por cargar, se avisa del resultado parcial.</w:t>
      </w:r>
    </w:p>
    <w:p>
      <w:r>
        <w:t>Se muestran superficie, recuentos, estadísticas numéricas y longitudes y áreas interiores. Se respetan huecos; las áreas superpuestas se suman por entidad. Tocar un borde puede contar con medida interior cero. Se excluyen identificadores y estadísticas sin sentido, aunque la clasificación por nombre de atributo puede requerir adaptación. Las medidas son aproximadas del plano geográfico. Se exportan CSV, JSON y entidades completas en GeoJSON.</w:t>
      </w:r>
    </w:p>
    <w:p>
      <w:r>
        <w:rPr>
          <w:b/>
        </w:rPr>
        <w:t>Rutas.</w:t>
      </w:r>
      <w:r>
        <w:t xml:space="preserve"> Busca A y B o márcalos en el mapa; puedes intercambiarlos y limpiar. </w:t>
      </w:r>
      <w:r>
        <w:rPr>
          <w:rFonts w:ascii="Consolas" w:hAnsi="Consolas"/>
          <w:sz w:val="19"/>
        </w:rPr>
        <w:t>routing.ts</w:t>
      </w:r>
      <w:r>
        <w:t xml:space="preserve"> consulta Photon y OSRM, valida las respuestas y gestiona cancelaciones y errores. El recorrido procede de la red de carreteras. La configuración ofrece coche sin tráfico en tiempo real.</w:t>
      </w:r>
    </w:p>
    <w:p>
      <w:r>
        <w:rPr>
          <w:b/>
        </w:rPr>
        <w:t>Isócronas.</w:t>
      </w:r>
      <w:r>
        <w:t xml:space="preserve"> Una isócrona delimita el área aproximada alcanzable desde un origen en un tiempo. Elige 5–60 minutos, con 20 por defecto. </w:t>
      </w:r>
      <w:r>
        <w:rPr>
          <w:rFonts w:ascii="Consolas" w:hAnsi="Consolas"/>
          <w:sz w:val="19"/>
        </w:rPr>
        <w:t>serviceArea.ts</w:t>
      </w:r>
      <w:r>
        <w:t xml:space="preserve"> consulta </w:t>
      </w:r>
      <w:r>
        <w:rPr>
          <w:rFonts w:ascii="Consolas" w:hAnsi="Consolas"/>
          <w:sz w:val="19"/>
        </w:rPr>
        <w:t>/locate</w:t>
      </w:r>
      <w:r>
        <w:t xml:space="preserve"> de Valhalla para comprobar un acceso a carretera a menos de 1 km y después </w:t>
      </w:r>
      <w:r>
        <w:rPr>
          <w:rFonts w:ascii="Consolas" w:hAnsi="Consolas"/>
          <w:sz w:val="19"/>
        </w:rPr>
        <w:t>/isochrone</w:t>
      </w:r>
      <w:r>
        <w:t xml:space="preserve">. </w:t>
      </w:r>
      <w:r>
        <w:rPr>
          <w:rFonts w:ascii="Consolas" w:hAnsi="Consolas"/>
          <w:sz w:val="19"/>
        </w:rPr>
        <w:t>ServiceAreaPanel.tsx</w:t>
      </w:r>
      <w:r>
        <w:t xml:space="preserve"> permite calcular, borrar y exportar.</w:t>
      </w:r>
    </w:p>
    <w:p>
      <w:r>
        <w:t>El contorno puede incluir zonas sin acceso directo y no enumera cada calle. El tiempo empieza en el acceso a carretera; la distancia desde el punto elegido se muestra aparte. No calcula batería, ida y vuelta ni tráfico. El servicio puede fallar por carga o cobertura.</w:t>
      </w:r>
    </w:p>
    <w:p>
      <w:r>
        <w:rPr>
          <w:b/>
        </w:rPr>
        <w:t>Mapa, relieve y Z.</w:t>
      </w:r>
      <w:r>
        <w:t xml:space="preserve"> En «Mapa y relieve» elige Claro, Oscuro, Cartográfico en color, Satélite global u Ortofoto PNOA. </w:t>
      </w:r>
      <w:r>
        <w:rPr>
          <w:rFonts w:ascii="Consolas" w:hAnsi="Consolas"/>
          <w:sz w:val="19"/>
        </w:rPr>
        <w:t>backgroundFor</w:t>
      </w:r>
      <w:r>
        <w:t xml:space="preserve"> en </w:t>
      </w:r>
      <w:r>
        <w:rPr>
          <w:rFonts w:ascii="Consolas" w:hAnsi="Consolas"/>
          <w:sz w:val="19"/>
        </w:rPr>
        <w:t>basemaps.ts</w:t>
      </w:r>
      <w:r>
        <w:t xml:space="preserve"> hace que PNOA utilice siempre Satélite debajo; cambiar desde Oscuro ya no oscurece Portugal. PNOA tapa el fondo donde aporta imagen y su transparencia deja pasar el fondo. No se detectan automáticamente huecos opacos. Cambiar el fondo conserva capas temáticas.</w:t>
      </w:r>
    </w:p>
    <w:p>
      <w:r>
        <w:rPr>
          <w:rFonts w:ascii="Consolas" w:hAnsi="Consolas"/>
          <w:sz w:val="19"/>
        </w:rPr>
        <w:t>TerrainLayer</w:t>
      </w:r>
      <w:r>
        <w:t xml:space="preserve"> dibuja una malla de elevaciones Terrarium. </w:t>
      </w:r>
      <w:r>
        <w:rPr>
          <w:rFonts w:ascii="Consolas" w:hAnsi="Consolas"/>
          <w:sz w:val="19"/>
        </w:rPr>
        <w:t>terrainDecoder</w:t>
      </w:r>
      <w:r>
        <w:t xml:space="preserve"> convierte colores en alturas: exageración 0 aplana, 1 respeta el modelo y hasta 3 acentúa el relieve. </w:t>
      </w:r>
      <w:r>
        <w:rPr>
          <w:rFonts w:ascii="Consolas" w:hAnsi="Consolas"/>
          <w:sz w:val="19"/>
        </w:rPr>
        <w:t>elevation.ts</w:t>
      </w:r>
      <w:r>
        <w:t xml:space="preserve"> prepara una copia sin Z propia para apoyar calles y ríos; las exportaciones conservan los originales. </w:t>
      </w:r>
      <w:r>
        <w:rPr>
          <w:rFonts w:ascii="Consolas" w:hAnsi="Consolas"/>
          <w:sz w:val="19"/>
        </w:rPr>
        <w:t>TerrainExtension</w:t>
      </w:r>
      <w:r>
        <w:t xml:space="preserve"> adapta capas a esa superficie con </w:t>
      </w:r>
      <w:r>
        <w:rPr>
          <w:rFonts w:ascii="Consolas" w:hAnsi="Consolas"/>
          <w:sz w:val="19"/>
        </w:rPr>
        <w:t>drape</w:t>
      </w:r>
      <w:r>
        <w:t>. Análisis y elección de puntos se realizan en 2D.</w:t>
      </w:r>
    </w:p>
    <w:p>
      <w:r>
        <w:t xml:space="preserve">La 1.2 usa iluminación neutra en el terreno para evitar oscurecer otra vez la ortofoto y destacar facetas como manchas. Una </w:t>
      </w:r>
      <w:r>
        <w:rPr>
          <w:rFonts w:ascii="Consolas" w:hAnsi="Consolas"/>
          <w:sz w:val="19"/>
        </w:rPr>
        <w:t>TileLayer</w:t>
      </w:r>
      <w:r>
        <w:t xml:space="preserve"> independiente permite ver imágenes detalladas sin exigir esa misma resolución al DEM. Claro y Oscuro convierten imágenes OSM a tonos monocromos; Cartográfico conserva color; Satélite y el apoyo de PNOA utilizan VersaTiles sin ese filtro. Liberty se usa en 2D; la textura OSM de Cartográfico en 3D tiene otro aspecto y etiquetas. Las sombras presentes en una fotografía permanecen.</w:t>
      </w:r>
    </w:p>
    <w:p>
      <w:r>
        <w:rPr>
          <w:rFonts w:ascii="Consolas" w:hAnsi="Consolas"/>
          <w:sz w:val="19"/>
        </w:rPr>
        <w:t>terrainSource.ts</w:t>
      </w:r>
      <w:r>
        <w:t xml:space="preserve"> descarga Mapterhorn hasta zoom 16. Cuando recibe 404 busca un nivel anterior y recorta solo el cuadrante de la zona solicitada. Se evita suavizar los canales RGB porque codifican alturas; suavizarlos como colores inventaría elevaciones. La caché y dos descargas simultáneas limitan la carga. Errores de red, 503 o timeout se muestran, sin fingir terreno. El selector permite volver a AWS, hasta zoom 14. Acercar el mapa no mejora los datos originales.</w:t>
      </w:r>
    </w:p>
    <w:p>
      <w:r>
        <w:rPr>
          <w:rFonts w:ascii="Consolas" w:hAnsi="Consolas"/>
          <w:sz w:val="19"/>
        </w:rPr>
        <w:t>satelliteSource.ts</w:t>
      </w:r>
      <w:r>
        <w:t xml:space="preserve"> aplica esa recuperación también a las imágenes, que no tienen el mismo detalle en todas las zonas. MapLibre usa el protocolo local </w:t>
      </w:r>
      <w:r>
        <w:rPr>
          <w:rFonts w:ascii="Consolas" w:hAnsi="Consolas"/>
          <w:sz w:val="19"/>
        </w:rPr>
        <w:t>visor-satellite://</w:t>
      </w:r>
      <w:r>
        <w:t xml:space="preserve"> en 2D y deck.gl usa el mismo cargador en 3D. Ambos descargan realmente por HTTPS de VersaTiles; el protocolo no necesita un backend y funciona en Pages.</w:t>
      </w:r>
    </w:p>
    <w:p>
      <w:r>
        <w:rPr>
          <w:b/>
        </w:rPr>
        <w:t>Edificios.</w:t>
      </w:r>
      <w:r>
        <w:t xml:space="preserve"> El control opcional carga teselas vectoriales de OpenFreeMap al acercarse a una ciudad. </w:t>
      </w:r>
      <w:r>
        <w:rPr>
          <w:rFonts w:ascii="Consolas" w:hAnsi="Consolas"/>
          <w:sz w:val="19"/>
        </w:rPr>
        <w:t>MVTLayer</w:t>
      </w:r>
      <w:r>
        <w:t xml:space="preserve"> y </w:t>
      </w:r>
      <w:r>
        <w:rPr>
          <w:rFonts w:ascii="Consolas" w:hAnsi="Consolas"/>
          <w:sz w:val="19"/>
        </w:rPr>
        <w:t>MVTLoader</w:t>
      </w:r>
      <w:r>
        <w:t xml:space="preserve"> decodifican las huellas; el trabajador MVT se incluye en la compilación para no depender de un CDN. deck.gl extruye polígonos con </w:t>
      </w:r>
      <w:r>
        <w:rPr>
          <w:rFonts w:ascii="Consolas" w:hAnsi="Consolas"/>
          <w:sz w:val="19"/>
        </w:rPr>
        <w:t>render_height</w:t>
      </w:r>
      <w:r>
        <w:t xml:space="preserve"> y </w:t>
      </w:r>
      <w:r>
        <w:rPr>
          <w:rFonts w:ascii="Consolas" w:hAnsi="Consolas"/>
          <w:sz w:val="19"/>
        </w:rPr>
        <w:t>render_min_height</w:t>
      </w:r>
      <w:r>
        <w:t xml:space="preserve">, y </w:t>
      </w:r>
      <w:r>
        <w:rPr>
          <w:rFonts w:ascii="Consolas" w:hAnsi="Consolas"/>
          <w:sz w:val="19"/>
        </w:rPr>
        <w:t>offset</w:t>
      </w:r>
      <w:r>
        <w:t xml:space="preserve"> los apoya en el terreno. Se omiten alturas inválidas y elementos marcados para ocultarse. Las alturas son orientativas, derivadas de OSM; no se asigna una altura fija a todos. No es fotogrametría; no participan en el recuento GIS. La extensión es experimental y puede deformar edificios grandes en laderas.</w:t>
      </w:r>
    </w:p>
    <w:p>
      <w:pPr>
        <w:pStyle w:val="Heading1"/>
        <w:numPr>
          <w:ilvl w:val="0"/>
          <w:numId w:val="10"/>
        </w:numPr>
      </w:pPr>
      <w:bookmarkStart w:id="9" w:name="sec_9"/>
      <w:r>
        <w:t>Importar y añadir capas</w:t>
      </w:r>
      <w:bookmarkEnd w:id="9"/>
    </w:p>
    <w:p>
      <w:r>
        <w:t xml:space="preserve">Importar admite GeoJSON desde archivo o enlace directo, hasta 30 MiB, en EPSG:4326, 4258, 3857 o 31994. </w:t>
      </w:r>
      <w:r>
        <w:rPr>
          <w:rFonts w:ascii="Consolas" w:hAnsi="Consolas"/>
          <w:sz w:val="19"/>
        </w:rPr>
        <w:t>import.ts</w:t>
      </w:r>
      <w:r>
        <w:t xml:space="preserve"> distingue archivos, servicios y páginas de visores y separa geometrías mixtas. En Importar se registran WMS 1.1.1 EPSG:3857 y plantillas WMTS Web Mercator compatibles XYZ; los servicios temáticos aparecen en Capas y los mapas regionales en el selector de fondos. Una página HTML no es un archivo geográfico.</w:t>
      </w:r>
    </w:p>
    <w:p>
      <w:r>
        <w:t xml:space="preserve">Para una capa fija, copia </w:t>
      </w:r>
      <w:r>
        <w:rPr>
          <w:rFonts w:ascii="Consolas" w:hAnsi="Consolas"/>
          <w:sz w:val="19"/>
        </w:rPr>
        <w:t>mis-puntos.geojson</w:t>
      </w:r>
      <w:r>
        <w:t xml:space="preserve"> a </w:t>
      </w:r>
      <w:r>
        <w:rPr>
          <w:rFonts w:ascii="Consolas" w:hAnsi="Consolas"/>
          <w:sz w:val="19"/>
        </w:rPr>
        <w:t>public/data/</w:t>
      </w:r>
      <w:r>
        <w:t xml:space="preserve"> y añade en </w:t>
      </w:r>
      <w:r>
        <w:rPr>
          <w:rFonts w:ascii="Consolas" w:hAnsi="Consolas"/>
          <w:sz w:val="19"/>
        </w:rPr>
        <w:t>src/config/defaultLayers.ts</w:t>
      </w:r>
      <w:r>
        <w:t>:</w:t>
      </w:r>
    </w:p>
    <w:p>
      <w:pPr>
        <w:pStyle w:val="CodeBlock"/>
        <w:keepNext/>
      </w:pPr>
      <w:r>
        <w:t>{ id: 'mis-puntos', name: 'Mis puntos', kind: 'point',</w:t>
      </w:r>
    </w:p>
    <w:p>
      <w:pPr>
        <w:pStyle w:val="CodeBlock"/>
        <w:keepNext/>
      </w:pPr>
      <w:r>
        <w:t xml:space="preserve">  source: 'mis-puntos.geojson', crs: 'EPSG:4326',</w:t>
      </w:r>
    </w:p>
    <w:p>
      <w:pPr>
        <w:pStyle w:val="CodeBlock"/>
        <w:keepNext/>
      </w:pPr>
      <w:r>
        <w:t xml:space="preserve">  visible: true, stroke: '#245c28', fill: '#4caf50',</w:t>
      </w:r>
    </w:p>
    <w:p>
      <w:pPr>
        <w:pStyle w:val="CodeBlock"/>
        <w:keepNext w:val="0"/>
      </w:pPr>
      <w:r>
        <w:t xml:space="preserve">  width: 1, radius: 5, opacity: 0.9, sort_order: 3 },</w:t>
      </w:r>
    </w:p>
    <w:p>
      <w:pPr>
        <w:spacing w:after="20"/>
      </w:pPr>
    </w:p>
    <w:p>
      <w:r>
        <w:t xml:space="preserve">Añade la configuración equivalente en </w:t>
      </w:r>
      <w:r>
        <w:rPr>
          <w:rFonts w:ascii="Consolas" w:hAnsi="Consolas"/>
          <w:sz w:val="19"/>
        </w:rPr>
        <w:t>server/database.js</w:t>
      </w:r>
      <w:r>
        <w:t xml:space="preserve">. Una SQLite existente conserva ajustes; cambiar valores iniciales no los sobrescribe. Modifica atributos de la ficha en </w:t>
      </w:r>
      <w:r>
        <w:rPr>
          <w:rFonts w:ascii="Consolas" w:hAnsi="Consolas"/>
          <w:sz w:val="19"/>
        </w:rPr>
        <w:t>src/model/PointLayer.ts</w:t>
      </w:r>
      <w:r>
        <w:t xml:space="preserve">, </w:t>
      </w:r>
      <w:r>
        <w:rPr>
          <w:rFonts w:ascii="Consolas" w:hAnsi="Consolas"/>
          <w:sz w:val="19"/>
        </w:rPr>
        <w:t>LineLayer.ts</w:t>
      </w:r>
      <w:r>
        <w:t xml:space="preserve"> o </w:t>
      </w:r>
      <w:r>
        <w:rPr>
          <w:rFonts w:ascii="Consolas" w:hAnsi="Consolas"/>
          <w:sz w:val="19"/>
        </w:rPr>
        <w:t>PolygonLayer.ts</w:t>
      </w:r>
      <w:r>
        <w:t xml:space="preserve">, por ejemplo con </w:t>
      </w:r>
      <w:r>
        <w:rPr>
          <w:rFonts w:ascii="Consolas" w:hAnsi="Consolas"/>
          <w:sz w:val="19"/>
        </w:rPr>
        <w:t>['nombre', 'Nombre']</w:t>
      </w:r>
      <w:r>
        <w:t xml:space="preserve"> en </w:t>
      </w:r>
      <w:r>
        <w:rPr>
          <w:rFonts w:ascii="Consolas" w:hAnsi="Consolas"/>
          <w:sz w:val="19"/>
        </w:rPr>
        <w:t>fields</w:t>
      </w:r>
      <w:r>
        <w:t>.</w:t>
      </w:r>
    </w:p>
    <w:p>
      <w:r>
        <w:t xml:space="preserve">Registra servicios fijos en </w:t>
      </w:r>
      <w:r>
        <w:rPr>
          <w:rFonts w:ascii="Consolas" w:hAnsi="Consolas"/>
          <w:sz w:val="19"/>
        </w:rPr>
        <w:t>officialSources</w:t>
      </w:r>
      <w:r>
        <w:t xml:space="preserve"> de </w:t>
      </w:r>
      <w:r>
        <w:rPr>
          <w:rFonts w:ascii="Consolas" w:hAnsi="Consolas"/>
          <w:sz w:val="19"/>
        </w:rPr>
        <w:t>src/lib/raster.ts</w:t>
      </w:r>
      <w:r>
        <w:t xml:space="preserve">: URL, capa, atribución, uso y cobertura. Comprueba GetCapabilities, HTTPS, CORS y coordenadas. Pages no puede actuar como proxy. Para cambiar proveedores de rutas o isócronas, modifica </w:t>
      </w:r>
      <w:r>
        <w:rPr>
          <w:rFonts w:ascii="Consolas" w:hAnsi="Consolas"/>
          <w:sz w:val="19"/>
        </w:rPr>
        <w:t>routing.ts</w:t>
      </w:r>
      <w:r>
        <w:t xml:space="preserve"> o </w:t>
      </w:r>
      <w:r>
        <w:rPr>
          <w:rFonts w:ascii="Consolas" w:hAnsi="Consolas"/>
          <w:sz w:val="19"/>
        </w:rPr>
        <w:t>serviceArea.ts</w:t>
      </w:r>
      <w:r>
        <w:t xml:space="preserve"> y adapta la validación.</w:t>
      </w:r>
    </w:p>
    <w:p>
      <w:r>
        <w:t xml:space="preserve">Para diseñar un fondo usa Maputnik con un estilo abierto de OpenFreeMap, guarda el JSON en </w:t>
      </w:r>
      <w:r>
        <w:rPr>
          <w:rFonts w:ascii="Consolas" w:hAnsi="Consolas"/>
          <w:sz w:val="19"/>
        </w:rPr>
        <w:t>public/styles/</w:t>
      </w:r>
      <w:r>
        <w:t xml:space="preserve"> y regístralo en </w:t>
      </w:r>
      <w:r>
        <w:rPr>
          <w:rFonts w:ascii="Consolas" w:hAnsi="Consolas"/>
          <w:sz w:val="19"/>
        </w:rPr>
        <w:t>styles</w:t>
      </w:r>
      <w:r>
        <w:t xml:space="preserve"> de </w:t>
      </w:r>
      <w:r>
        <w:rPr>
          <w:rFonts w:ascii="Consolas" w:hAnsi="Consolas"/>
          <w:sz w:val="19"/>
        </w:rPr>
        <w:t>src/lib/basemaps.ts</w:t>
      </w:r>
      <w:r>
        <w:t xml:space="preserve">; añade su opción en </w:t>
      </w:r>
      <w:r>
        <w:rPr>
          <w:rFonts w:ascii="Consolas" w:hAnsi="Consolas"/>
          <w:sz w:val="19"/>
        </w:rPr>
        <w:t>MapView.tsx</w:t>
      </w:r>
      <w:r>
        <w:t xml:space="preserve">. El JSON cambia colores y etiquetas, no aporta alturas. No hay importador de estilos ni GeoTIFF en la interfaz. </w:t>
      </w:r>
      <w:r>
        <w:rPr>
          <w:rFonts w:ascii="Consolas" w:hAnsi="Consolas"/>
          <w:sz w:val="19"/>
        </w:rPr>
        <w:t>docs/ESTILOS-Y-RELIEVE.md</w:t>
      </w:r>
      <w:r>
        <w:t xml:space="preserve"> contiene el ejemplo y explica PMTiles y otras alternativas sin clave.</w:t>
      </w:r>
    </w:p>
    <w:p>
      <w:pPr>
        <w:pStyle w:val="Heading1"/>
        <w:numPr>
          <w:ilvl w:val="0"/>
          <w:numId w:val="10"/>
        </w:numPr>
      </w:pPr>
      <w:bookmarkStart w:id="10" w:name="sec_10"/>
      <w:r>
        <w:t>Crear otro visor con esta base</w:t>
      </w:r>
      <w:bookmarkEnd w:id="10"/>
    </w:p>
    <w:p>
      <w:r>
        <w:t xml:space="preserve">Copia el proyecto sin dependencias, compilados ni bases locales. Sustituye GeoJSON, configuraciones estática y local, nombres y atribuciones. Ajusta </w:t>
      </w:r>
      <w:r>
        <w:rPr>
          <w:rFonts w:ascii="Consolas" w:hAnsi="Consolas"/>
          <w:sz w:val="19"/>
        </w:rPr>
        <w:t>App.tsx</w:t>
      </w:r>
      <w:r>
        <w:t xml:space="preserve">, </w:t>
      </w:r>
      <w:r>
        <w:rPr>
          <w:rFonts w:ascii="Consolas" w:hAnsi="Consolas"/>
          <w:sz w:val="19"/>
        </w:rPr>
        <w:t>style.css</w:t>
      </w:r>
      <w:r>
        <w:t xml:space="preserve"> y los catálogos de lugares. El encuadre inicial busca </w:t>
      </w:r>
      <w:r>
        <w:rPr>
          <w:rFonts w:ascii="Consolas" w:hAnsi="Consolas"/>
          <w:sz w:val="19"/>
        </w:rPr>
        <w:t>points</w:t>
      </w:r>
      <w:r>
        <w:t>: cambia esa referencia si usas otro identificador.</w:t>
      </w:r>
    </w:p>
    <w:p>
      <w:r>
        <w:t xml:space="preserve">Una herramienta nueva necesita una función en </w:t>
      </w:r>
      <w:r>
        <w:rPr>
          <w:rFonts w:ascii="Consolas" w:hAnsi="Consolas"/>
          <w:sz w:val="19"/>
        </w:rPr>
        <w:t>src/lib/</w:t>
      </w:r>
      <w:r>
        <w:t xml:space="preserve">, un panel en </w:t>
      </w:r>
      <w:r>
        <w:rPr>
          <w:rFonts w:ascii="Consolas" w:hAnsi="Consolas"/>
          <w:sz w:val="19"/>
        </w:rPr>
        <w:t>src/components/</w:t>
      </w:r>
      <w:r>
        <w:t xml:space="preserve"> y su conexión en </w:t>
      </w:r>
      <w:r>
        <w:rPr>
          <w:rFonts w:ascii="Consolas" w:hAnsi="Consolas"/>
          <w:sz w:val="19"/>
        </w:rPr>
        <w:t>App.tsx</w:t>
      </w:r>
      <w:r>
        <w:t>. Mantén cálculos separados de la interfaz y prueba con datos conocidos.</w:t>
      </w:r>
    </w:p>
    <w:p>
      <w:pPr>
        <w:pStyle w:val="Heading1"/>
        <w:numPr>
          <w:ilvl w:val="0"/>
          <w:numId w:val="10"/>
        </w:numPr>
      </w:pPr>
      <w:bookmarkStart w:id="11" w:name="sec_11"/>
      <w:r>
        <w:t>Instalación en Windows</w:t>
      </w:r>
      <w:bookmarkEnd w:id="11"/>
    </w:p>
    <w:p>
      <w:r>
        <w:t>Instala Node.js 24 y abre la carpeta en Visual Studio Code. En PowerShell:</w:t>
      </w:r>
    </w:p>
    <w:p>
      <w:pPr>
        <w:pStyle w:val="CodeBlock"/>
        <w:keepNext/>
      </w:pPr>
      <w:r>
        <w:t>npm.cmd ci</w:t>
      </w:r>
    </w:p>
    <w:p>
      <w:pPr>
        <w:pStyle w:val="CodeBlock"/>
        <w:keepNext w:val="0"/>
      </w:pPr>
      <w:r>
        <w:t>npm.cmd run dev</w:t>
      </w:r>
    </w:p>
    <w:p>
      <w:pPr>
        <w:spacing w:after="20"/>
      </w:pPr>
    </w:p>
    <w:p>
      <w:r>
        <w:t xml:space="preserve">Abre </w:t>
      </w:r>
      <w:hyperlink r:id="rId10">
        <w:r>
          <w:rPr>
            <w:color w:val="000000"/>
            <w:u w:val="single"/>
          </w:rPr>
          <w:t>http://127.0.0.1:5173/</w:t>
        </w:r>
      </w:hyperlink>
      <w:r>
        <w:t>.</w:t>
      </w:r>
      <w:r>
        <w:t xml:space="preserve"> Express utiliza el puerto 3001. </w:t>
      </w:r>
      <w:r>
        <w:rPr>
          <w:rFonts w:ascii="Consolas" w:hAnsi="Consolas"/>
          <w:sz w:val="19"/>
        </w:rPr>
        <w:t>Ctrl+C</w:t>
      </w:r>
      <w:r>
        <w:t xml:space="preserve"> detiene el proceso; detén servidores antes de reinstalar para evitar bloqueos de </w:t>
      </w:r>
      <w:r>
        <w:rPr>
          <w:rFonts w:ascii="Consolas" w:hAnsi="Consolas"/>
          <w:sz w:val="19"/>
        </w:rPr>
        <w:t>esbuild.exe</w:t>
      </w:r>
      <w:r>
        <w:t xml:space="preserve">. </w:t>
      </w:r>
      <w:r>
        <w:rPr>
          <w:rFonts w:ascii="Consolas" w:hAnsi="Consolas"/>
          <w:sz w:val="19"/>
        </w:rPr>
        <w:t>npm.cmd run dev:static</w:t>
      </w:r>
      <w:r>
        <w:t xml:space="preserve"> prueba el modo sin backend. Para el proyecto local compilado, ejecuta </w:t>
      </w:r>
      <w:r>
        <w:rPr>
          <w:rFonts w:ascii="Consolas" w:hAnsi="Consolas"/>
          <w:sz w:val="19"/>
        </w:rPr>
        <w:t>npm.cmd run build</w:t>
      </w:r>
      <w:r>
        <w:t xml:space="preserve"> y después </w:t>
      </w:r>
      <w:r>
        <w:rPr>
          <w:rFonts w:ascii="Consolas" w:hAnsi="Consolas"/>
          <w:sz w:val="19"/>
        </w:rPr>
        <w:t>npm.cmd start</w:t>
      </w:r>
      <w:r>
        <w:t>; abre el puerto 3001.</w:t>
      </w:r>
    </w:p>
    <w:p>
      <w:pPr>
        <w:pStyle w:val="Heading1"/>
        <w:numPr>
          <w:ilvl w:val="0"/>
          <w:numId w:val="10"/>
        </w:numPr>
      </w:pPr>
      <w:bookmarkStart w:id="12" w:name="sec_12"/>
      <w:r>
        <w:t>Despliegue en GitHub Pages</w:t>
      </w:r>
      <w:bookmarkEnd w:id="12"/>
    </w:p>
    <w:p>
      <w:r>
        <w:rPr>
          <w:rFonts w:ascii="Consolas" w:hAnsi="Consolas"/>
          <w:sz w:val="19"/>
        </w:rPr>
        <w:t>.github/workflows/pages.yml</w:t>
      </w:r>
      <w:r>
        <w:t xml:space="preserve"> instala dependencias, ejecuta pruebas, compila </w:t>
      </w:r>
      <w:r>
        <w:rPr>
          <w:rFonts w:ascii="Consolas" w:hAnsi="Consolas"/>
          <w:sz w:val="19"/>
        </w:rPr>
        <w:t>build:pages</w:t>
      </w:r>
      <w:r>
        <w:t xml:space="preserve"> y publica </w:t>
      </w:r>
      <w:r>
        <w:rPr>
          <w:rFonts w:ascii="Consolas" w:hAnsi="Consolas"/>
          <w:sz w:val="19"/>
        </w:rPr>
        <w:t>dist/</w:t>
      </w:r>
      <w:r>
        <w:t xml:space="preserve">. </w:t>
      </w:r>
      <w:r>
        <w:rPr>
          <w:rFonts w:ascii="Consolas" w:hAnsi="Consolas"/>
          <w:sz w:val="19"/>
        </w:rPr>
        <w:t>.env.static</w:t>
      </w:r>
      <w:r>
        <w:t xml:space="preserve"> selecciona el modo navegador. </w:t>
      </w:r>
      <w:r>
        <w:rPr>
          <w:rFonts w:ascii="Consolas" w:hAnsi="Consolas"/>
          <w:sz w:val="19"/>
        </w:rPr>
        <w:t>VITE_BASE_PATH</w:t>
      </w:r>
      <w:r>
        <w:t xml:space="preserve"> en </w:t>
      </w:r>
      <w:r>
        <w:rPr>
          <w:rFonts w:ascii="Consolas" w:hAnsi="Consolas"/>
          <w:sz w:val="19"/>
        </w:rPr>
        <w:t>vite.config.ts</w:t>
      </w:r>
      <w:r>
        <w:t xml:space="preserve"> y </w:t>
      </w:r>
      <w:r>
        <w:rPr>
          <w:rFonts w:ascii="Consolas" w:hAnsi="Consolas"/>
          <w:sz w:val="19"/>
        </w:rPr>
        <w:t>environment.ts</w:t>
      </w:r>
      <w:r>
        <w:t xml:space="preserve"> conserva rutas de recursos bajo </w:t>
      </w:r>
      <w:r>
        <w:rPr>
          <w:rFonts w:ascii="Consolas" w:hAnsi="Consolas"/>
          <w:sz w:val="19"/>
        </w:rPr>
        <w:t>/visor-gis/</w:t>
      </w:r>
      <w:r>
        <w:t>.</w:t>
      </w:r>
    </w:p>
    <w:p>
      <w:r>
        <w:t xml:space="preserve">En un repositorio nuevo: créalo, inicia Git, añade archivos, crea un commit, configura el remoto y sube </w:t>
      </w:r>
      <w:r>
        <w:rPr>
          <w:rFonts w:ascii="Consolas" w:hAnsi="Consolas"/>
          <w:sz w:val="19"/>
        </w:rPr>
        <w:t>main</w:t>
      </w:r>
      <w:r>
        <w:t xml:space="preserve">. En uno existente, revisa </w:t>
      </w:r>
      <w:r>
        <w:rPr>
          <w:rFonts w:ascii="Consolas" w:hAnsi="Consolas"/>
          <w:sz w:val="19"/>
        </w:rPr>
        <w:t>git remote -v</w:t>
      </w:r>
      <w:r>
        <w:t xml:space="preserve"> y reutilízalo. En Settings → Pages elige GitHub Actions. Revisa la ejecución en Actions y abre la dirección indicada en Settings → Pages. Los comandos completos están en </w:t>
      </w:r>
      <w:r>
        <w:rPr>
          <w:rFonts w:ascii="Consolas" w:hAnsi="Consolas"/>
          <w:sz w:val="19"/>
        </w:rPr>
        <w:t>docs/PAGES.md</w:t>
      </w:r>
      <w:r>
        <w:t>.</w:t>
      </w:r>
    </w:p>
    <w:p>
      <w:r>
        <w:t>Para actualizar, ejecuta pruebas y compilación, revisa el diff, crea un commit y haz push. El workflow conserva el registro de Pages más reciente tras un despliegue correcto; no elimina commits ni ejecuciones de Actions. La web solo cambia al completar la publicación.</w:t>
      </w:r>
    </w:p>
    <w:p>
      <w:pPr>
        <w:pStyle w:val="Heading1"/>
        <w:numPr>
          <w:ilvl w:val="0"/>
          <w:numId w:val="10"/>
        </w:numPr>
      </w:pPr>
      <w:bookmarkStart w:id="13" w:name="sec_13"/>
      <w:r>
        <w:t>Backend y almacenamiento</w:t>
      </w:r>
      <w:bookmarkEnd w:id="13"/>
    </w:p>
    <w:p>
      <w:r>
        <w:rPr>
          <w:rFonts w:ascii="Consolas" w:hAnsi="Consolas"/>
          <w:sz w:val="19"/>
        </w:rPr>
        <w:t>server/index.js</w:t>
      </w:r>
      <w:r>
        <w:t xml:space="preserve"> arranca Express, </w:t>
      </w:r>
      <w:r>
        <w:rPr>
          <w:rFonts w:ascii="Consolas" w:hAnsi="Consolas"/>
          <w:sz w:val="19"/>
        </w:rPr>
        <w:t>server/app.js</w:t>
      </w:r>
      <w:r>
        <w:t xml:space="preserve"> define la API y </w:t>
      </w:r>
      <w:r>
        <w:rPr>
          <w:rFonts w:ascii="Consolas" w:hAnsi="Consolas"/>
          <w:sz w:val="19"/>
        </w:rPr>
        <w:t>server/database.js</w:t>
      </w:r>
      <w:r>
        <w:t xml:space="preserve"> gestiona </w:t>
      </w:r>
      <w:r>
        <w:rPr>
          <w:rFonts w:ascii="Consolas" w:hAnsi="Consolas"/>
          <w:sz w:val="19"/>
        </w:rPr>
        <w:t>server/visor.sqlite</w:t>
      </w:r>
      <w:r>
        <w:t>. SQLite guarda configuración y referencias; las geometrías originales siguen en GeoJSON.</w:t>
      </w:r>
    </w:p>
    <w:p>
      <w:r>
        <w:t>En Pages, IndexedDB guarda configuración. Las importaciones usan IndexedDB en ambos modos; preferencias de servicios usan localStorage. Rutas, selecciones e isócronas están en memoria y se conservan exportándolas. Borrar datos del sitio elimina lo guardado; otro navegador, origen o dispositivo utiliza su propio almacén. Se mantienen los nombres internos anteriores para conservar preferencias.</w:t>
      </w:r>
    </w:p>
    <w:p>
      <w:r>
        <w:t>Pages no ejecuta Express ni SQLite. Compartir datos requiere un backend externo; no hay cuentas ni sincronización.</w:t>
      </w:r>
    </w:p>
    <w:p>
      <w:pPr>
        <w:pStyle w:val="Heading1"/>
        <w:numPr>
          <w:ilvl w:val="0"/>
          <w:numId w:val="10"/>
        </w:numPr>
      </w:pPr>
      <w:bookmarkStart w:id="14" w:name="sec_14"/>
      <w:r>
        <w:t>Evolución futura</w:t>
      </w:r>
      <w:bookmarkEnd w:id="14"/>
    </w:p>
    <w:p>
      <w:r>
        <w:t>Una API con PostgreSQL/PostGIS permitiría compartir datos y consultar geometrías en el servidor. Usuarios y permisos controlarían cambios. Para grandes volúmenes convendrían servicios que entreguen solo la zona necesaria. Quedan reducir el tamaño de carga y revisar dependencias.</w:t>
      </w:r>
    </w:p>
    <w:p>
      <w:r>
        <w:t xml:space="preserve">Se revisó Mapbox Standard, que ofrece edificios, monumentos, terreno e iluminación detallada. Requiere cuenta, token, renderer compatible y revisar costes de uso. La 1.2 implementa OpenFreeMap/deck.gl sin esos requisitos; Mapbox no está integrado. La comparación oficial está en </w:t>
      </w:r>
      <w:r>
        <w:rPr>
          <w:rFonts w:ascii="Consolas" w:hAnsi="Consolas"/>
          <w:sz w:val="19"/>
        </w:rPr>
        <w:t>docs/PROVEEDORES.md</w:t>
      </w:r>
      <w:r>
        <w:t>.</w:t>
      </w:r>
    </w:p>
    <w:p>
      <w:pPr>
        <w:pStyle w:val="Heading1"/>
        <w:numPr>
          <w:ilvl w:val="0"/>
          <w:numId w:val="10"/>
        </w:numPr>
      </w:pPr>
      <w:bookmarkStart w:id="15" w:name="sec_15"/>
      <w:r>
        <w:t>Pruebas y límites</w:t>
      </w:r>
      <w:bookmarkEnd w:id="15"/>
    </w:p>
    <w:p>
      <w:r>
        <w:t>La versión anterior tenía 48 pruebas de geometrías, análisis, API, almacenamiento, importación, rutas, imágenes y alturas. El recuento se contrastó en 45 casos con Shapely/GEOS, todos coincidentes. Las evidencias conservan su fecha y no equivalen a repetir hoy esas peticiones.</w:t>
      </w:r>
    </w:p>
    <w:p>
      <w:r>
        <w:t xml:space="preserve">Han pasado 68 pruebas automáticas de la 1.2, incluidas edificios, fondo independiente de PNOA y carga del nuevo relieve e imágenes: recorte geográfico, caché, cancelación, límite de descargas, falta de cobertura y errores. El navegador confirmó además los cuatro cuadrantes y sus alturas con el decodificador real. Se han comprobado 15 recursos externos con HTTP 200 y CORS. Se conservan las comprobaciones anteriores de instalación limpia e isócronas. </w:t>
      </w:r>
      <w:r>
        <w:rPr>
          <w:rFonts w:ascii="Consolas" w:hAnsi="Consolas"/>
          <w:sz w:val="19"/>
        </w:rPr>
        <w:t>docs/VERIFICACION.md</w:t>
      </w:r>
      <w:r>
        <w:t xml:space="preserve"> distingue pruebas repetidas y evidencias anteriores.</w:t>
      </w:r>
    </w:p>
    <w:p>
      <w:r>
        <w:t>Los servicios necesitan conexión y 3D necesita WebGL; su aspecto depende de GPU, navegador y calidad de datos. La textura puede perder nitidez al acercarse mucho y algunos iconos externos pueden faltar. No se han probado todos los dispositivos físicos ni todas las importaciones posibles. El Word está generado y comprobado estructuralmente, pero no se ha revisado su paginación por falta de LibreOffice en este entorno.</w:t>
      </w:r>
    </w:p>
    <w:p>
      <w:r>
        <w:t xml:space="preserve">La compilación estática se ha abierto bajo </w:t>
      </w:r>
      <w:r>
        <w:rPr>
          <w:rFonts w:ascii="Consolas" w:hAnsi="Consolas"/>
          <w:sz w:val="19"/>
        </w:rPr>
        <w:t>/visor-gis/</w:t>
      </w:r>
      <w:r>
        <w:t>, cargando datos, PNOA, terreno y edificios con sus workers locales.</w:t>
      </w:r>
    </w:p>
    <w:p>
      <w:pPr>
        <w:pStyle w:val="CodeBlock"/>
        <w:keepNext/>
      </w:pPr>
      <w:r>
        <w:t>npm.cmd test</w:t>
      </w:r>
    </w:p>
    <w:p>
      <w:pPr>
        <w:pStyle w:val="CodeBlock"/>
        <w:keepNext/>
      </w:pPr>
      <w:r>
        <w:t>npm.cmd run build</w:t>
      </w:r>
    </w:p>
    <w:p>
      <w:pPr>
        <w:pStyle w:val="CodeBlock"/>
        <w:keepNext/>
      </w:pPr>
      <w:r>
        <w:t>npm.cmd run build:pages</w:t>
      </w:r>
    </w:p>
    <w:p>
      <w:pPr>
        <w:pStyle w:val="CodeBlock"/>
        <w:keepNext w:val="0"/>
      </w:pPr>
      <w:r>
        <w:t>npm.cmd run check:routing</w:t>
      </w:r>
    </w:p>
    <w:p>
      <w:pPr>
        <w:spacing w:after="20"/>
      </w:pPr>
    </w:p>
    <w:p>
      <w:r>
        <w:t>El estado de revisión visual del Word se indica en la guía de verificación. Compilar localmente tampoco demuestra que Pages haya publicado esta versión.</w:t>
      </w:r>
    </w:p>
    <w:sectPr w:rsidR="00FC693F" w:rsidRPr="0006063C" w:rsidSect="00034616">
      <w:footerReference w:type="default" r:id="rId9"/>
      <w:pgSz w:w="11906" w:h="16838"/>
      <w:pgMar w:top="1247" w:right="1247" w:bottom="1191" w:left="1247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Visor GIS 1.2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pStyle w:val="Heading1"/>
      <w:lvlText w:val="%1"/>
      <w:suff w:val="space"/>
      <w:lvlJc w:val="left"/>
    </w:lvl>
    <w:lvl w:ilvl="1">
      <w:start w:val="1"/>
      <w:numFmt w:val="decimal"/>
      <w:pStyle w:val="Heading2"/>
      <w:lvlText w:val="%1.%2"/>
      <w:suff w:val="space"/>
      <w:lvlJc w:val="left"/>
    </w:lvl>
    <w:lvl w:ilvl="2">
      <w:start w:val="1"/>
      <w:numFmt w:val="decimal"/>
      <w:pStyle w:val="Heading3"/>
      <w:lvlText w:val="%1.%2.%3"/>
      <w:suff w:val="space"/>
      <w:lvlJc w:val="left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40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/>
      <w:spacing w:after="0" w:line="252" w:lineRule="auto"/>
      <w:ind w:left="142"/>
    </w:pPr>
    <w:rPr>
      <w:rFonts w:ascii="Consolas" w:hAnsi="Consolas"/>
      <w:color w:val="000000"/>
      <w:sz w:val="18"/>
    </w:rPr>
  </w:style>
  <w:style w:type="paragraph" w:customStyle="1" w:styleId="ManualTOC1">
    <w:name w:val="Manual TOC 1"/>
    <w:pPr>
      <w:spacing w:after="80" w:line="240" w:lineRule="auto"/>
      <w:ind w:left="0"/>
    </w:pPr>
    <w:rPr>
      <w:rFonts w:ascii="Calibri" w:hAnsi="Calibri"/>
      <w:b/>
      <w:color w:val="000000"/>
      <w:sz w:val="21"/>
    </w:rPr>
  </w:style>
  <w:style w:type="paragraph" w:customStyle="1" w:styleId="ManualTOC2">
    <w:name w:val="Manual TOC 2"/>
    <w:pPr>
      <w:spacing w:after="80" w:line="240" w:lineRule="auto"/>
      <w:ind w:left="312"/>
    </w:pPr>
    <w:rPr>
      <w:rFonts w:ascii="Calibri" w:hAnsi="Calibri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://127.0.0.1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Visor GIS web versión 1.2</dc:title>
  <dc:subject>Informe resumido del visor GIS</dc:subject>
  <dc:creator>Proyecto Visor GIS</dc:creator>
  <cp:keywords>GIS, deck.gl, MapLibre, React, análisis, rutas, GitHub Pages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