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Visor GIS web</w:t>
      </w:r>
    </w:p>
    <w:p>
      <w:pPr>
        <w:pStyle w:val="Subtitle"/>
      </w:pPr>
      <w:r>
        <w:t>Informe resumido de la versión 1.1</w:t>
      </w:r>
    </w:p>
    <w:p>
      <w:r>
        <w:t>Esta memoria explica qué hace el visor, cómo se ha construido y qué archivos permiten ampliarlo. La versión 1.1 se entrega en GitHub. Revisión del 29 de septiembre de 2026.</w:t>
      </w:r>
    </w:p>
    <w:p>
      <w:pPr>
        <w:keepNext/>
        <w:spacing w:before="200"/>
      </w:pPr>
      <w:r>
        <w:rPr>
          <w:b/>
          <w:sz w:val="32"/>
        </w:rPr>
        <w:t>Índice</w:t>
      </w:r>
    </w:p>
    <w:p>
      <w:pPr>
        <w:pStyle w:val="Manual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sec_1">
        <w:r>
          <w:rPr>
            <w:color w:val="000000"/>
          </w:rPr>
          <w:t>1 Objetivo y utilidad</w:t>
        </w:r>
      </w:hyperlink>
    </w:p>
    <w:p>
      <w:pPr>
        <w:pStyle w:val="ManualTOC1"/>
      </w:pPr>
      <w:hyperlink w:anchor="sec_2">
        <w:r>
          <w:rPr>
            <w:color w:val="000000"/>
          </w:rPr>
          <w:t>2 Alcance y cambios de versión</w:t>
        </w:r>
      </w:hyperlink>
    </w:p>
    <w:p>
      <w:pPr>
        <w:pStyle w:val="ManualTOC1"/>
      </w:pPr>
      <w:hyperlink w:anchor="sec_3">
        <w:r>
          <w:rPr>
            <w:color w:val="000000"/>
          </w:rPr>
          <w:t>3 Funcionalidades y cumplimiento</w:t>
        </w:r>
      </w:hyperlink>
    </w:p>
    <w:p>
      <w:pPr>
        <w:pStyle w:val="ManualTOC1"/>
      </w:pPr>
      <w:hyperlink w:anchor="sec_4">
        <w:r>
          <w:rPr>
            <w:color w:val="000000"/>
          </w:rPr>
          <w:t>4 Tecnologías y motivo de uso</w:t>
        </w:r>
      </w:hyperlink>
    </w:p>
    <w:p>
      <w:pPr>
        <w:pStyle w:val="ManualTOC1"/>
      </w:pPr>
      <w:hyperlink w:anchor="sec_5">
        <w:r>
          <w:rPr>
            <w:color w:val="000000"/>
          </w:rPr>
          <w:t>5 Estructura del proyecto</w:t>
        </w:r>
      </w:hyperlink>
    </w:p>
    <w:p>
      <w:pPr>
        <w:pStyle w:val="ManualTOC1"/>
      </w:pPr>
      <w:hyperlink w:anchor="sec_6">
        <w:r>
          <w:rPr>
            <w:color w:val="000000"/>
          </w:rPr>
          <w:t>6 Flujo de datos</w:t>
        </w:r>
      </w:hyperlink>
    </w:p>
    <w:p>
      <w:pPr>
        <w:pStyle w:val="ManualTOC1"/>
      </w:pPr>
      <w:hyperlink w:anchor="sec_7">
        <w:r>
          <w:rPr>
            <w:color w:val="000000"/>
          </w:rPr>
          <w:t>7 Procedencia de bibliotecas y datos</w:t>
        </w:r>
      </w:hyperlink>
    </w:p>
    <w:p>
      <w:pPr>
        <w:pStyle w:val="ManualTOC1"/>
      </w:pPr>
      <w:hyperlink w:anchor="sec_8">
        <w:r>
          <w:rPr>
            <w:color w:val="000000"/>
          </w:rPr>
          <w:t>8 Implementación y uso de las herramientas</w:t>
        </w:r>
      </w:hyperlink>
    </w:p>
    <w:p>
      <w:pPr>
        <w:pStyle w:val="ManualTOC1"/>
      </w:pPr>
      <w:hyperlink w:anchor="sec_9">
        <w:r>
          <w:rPr>
            <w:color w:val="000000"/>
          </w:rPr>
          <w:t>9 Importar y añadir capas</w:t>
        </w:r>
      </w:hyperlink>
    </w:p>
    <w:p>
      <w:pPr>
        <w:pStyle w:val="ManualTOC1"/>
      </w:pPr>
      <w:hyperlink w:anchor="sec_10">
        <w:r>
          <w:rPr>
            <w:color w:val="000000"/>
          </w:rPr>
          <w:t>10 Crear otro visor con esta base</w:t>
        </w:r>
      </w:hyperlink>
    </w:p>
    <w:p>
      <w:pPr>
        <w:pStyle w:val="ManualTOC1"/>
      </w:pPr>
      <w:hyperlink w:anchor="sec_11">
        <w:r>
          <w:rPr>
            <w:color w:val="000000"/>
          </w:rPr>
          <w:t>11 Instalación en Windows</w:t>
        </w:r>
      </w:hyperlink>
    </w:p>
    <w:p>
      <w:pPr>
        <w:pStyle w:val="ManualTOC1"/>
      </w:pPr>
      <w:hyperlink w:anchor="sec_12">
        <w:r>
          <w:rPr>
            <w:color w:val="000000"/>
          </w:rPr>
          <w:t>12 Despliegue en GitHub Pages</w:t>
        </w:r>
      </w:hyperlink>
    </w:p>
    <w:p>
      <w:pPr>
        <w:pStyle w:val="ManualTOC1"/>
      </w:pPr>
      <w:hyperlink w:anchor="sec_13">
        <w:r>
          <w:rPr>
            <w:color w:val="000000"/>
          </w:rPr>
          <w:t>13 Backend y almacenamiento</w:t>
        </w:r>
      </w:hyperlink>
    </w:p>
    <w:p>
      <w:pPr>
        <w:pStyle w:val="ManualTOC1"/>
      </w:pPr>
      <w:hyperlink w:anchor="sec_14">
        <w:r>
          <w:rPr>
            <w:color w:val="000000"/>
          </w:rPr>
          <w:t>14 Evolución futura</w:t>
        </w:r>
      </w:hyperlink>
    </w:p>
    <w:p>
      <w:pPr>
        <w:pStyle w:val="ManualTOC1"/>
      </w:pPr>
      <w:hyperlink w:anchor="sec_15">
        <w:r>
          <w:rPr>
            <w:color w:val="000000"/>
          </w:rPr>
          <w:t>15 Pruebas y límites</w:t>
        </w:r>
      </w:hyperlink>
      <w:r>
        <w:fldChar w:fldCharType="end"/>
      </w:r>
    </w:p>
    <w:p>
      <w:r>
        <w:rPr>
          <w:sz w:val="19"/>
        </w:rPr>
        <w:t>En Word: clic derecho en el índice → Actualizar campo → Actualizar toda la tabla.</w:t>
      </w:r>
    </w:p>
    <w:p>
      <w:r>
        <w:br w:type="page"/>
      </w:r>
    </w:p>
    <w:p>
      <w:pPr>
        <w:pStyle w:val="Heading1"/>
        <w:numPr>
          <w:ilvl w:val="0"/>
          <w:numId w:val="10"/>
        </w:numPr>
      </w:pPr>
      <w:bookmarkStart w:id="1" w:name="sec_1"/>
      <w:r>
        <w:t>Objetivo y utilidad</w:t>
      </w:r>
      <w:bookmarkEnd w:id="1"/>
    </w:p>
    <w:p>
      <w:r>
        <w:t>El visor permite consultar datos geográficos desde el navegador. Por ejemplo, seleccionar una zona de Asturias para contar tramos de carretera, observar una ortofoto de España o estimar hasta dónde llegar en coche en 20 minutos. La organización de paneles y herramientas toma como referencia funcional Global Nature Watch, adaptada a este proyecto.</w:t>
      </w:r>
    </w:p>
    <w:p>
      <w:pPr>
        <w:pStyle w:val="Heading1"/>
        <w:numPr>
          <w:ilvl w:val="0"/>
          <w:numId w:val="10"/>
        </w:numPr>
      </w:pPr>
      <w:bookmarkStart w:id="2" w:name="sec_2"/>
      <w:r>
        <w:t>Alcance y cambios de versión</w:t>
      </w:r>
      <w:bookmarkEnd w:id="2"/>
    </w:p>
    <w:p>
      <w:r>
        <w:t>Se conserva la base React, TypeScript y deck.gl, los datos originales y el modo local con backend. La 1.0 ya incorporaba capas configurables, selección rectangular y libre, recuentos, rutas, importación y GitHub Pages. La 1.1 añade el área de alcance, cambia la representación del terreno y corrige las capas que flotaban. También conserva el fondo global fuera de la cobertura de una imagen regional y actualiza la documentación.</w:t>
      </w:r>
    </w:p>
    <w:p>
      <w:r>
        <w:t xml:space="preserve">Es una base funcional para aprender y ampliar un GIS web. No incluye edición completa de geometrías ni trabajo compartido. Al subir la 1.1 a </w:t>
      </w:r>
      <w:r>
        <w:rPr>
          <w:rFonts w:ascii="Consolas" w:hAnsi="Consolas"/>
          <w:sz w:val="19"/>
        </w:rPr>
        <w:t>main</w:t>
      </w:r>
      <w:r>
        <w:t>, GitHub Actions inicia el despliegue; su resultado se comprueba en Actions.</w:t>
      </w:r>
    </w:p>
    <w:p>
      <w:pPr>
        <w:pStyle w:val="Heading1"/>
        <w:numPr>
          <w:ilvl w:val="0"/>
          <w:numId w:val="10"/>
        </w:numPr>
      </w:pPr>
      <w:bookmarkStart w:id="3" w:name="sec_3"/>
      <w:r>
        <w:t>Funcionalidades y cumplimiento</w:t>
      </w:r>
      <w:bookmarkEnd w:id="3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118"/>
        <w:gridCol w:w="6293"/>
      </w:tblGrid>
      <w:tr>
        <w:trPr>
          <w:cantSplit/>
          <w:tblHeader w:val="true"/>
        </w:trPr>
        <w:tc>
          <w:tcPr>
            <w:tcW w:type="dxa" w:w="3118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Función solicitada</w:t>
            </w:r>
          </w:p>
        </w:tc>
        <w:tc>
          <w:tcPr>
            <w:tcW w:type="dxa" w:w="6293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Estado real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Capas y paneles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Visibilidad, orden, estilos, leyenda, opacidad, plegado y anchura ajustable en escritorio.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Análisis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Rectángulo y polígono libre cerrado; recuentos, estadísticas, medidas interiores, resaltado y exportación.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Rutas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Búsqueda, selección en mapa, intercambio, recorrido real, distancia, duración e indicaciones en coche.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Alcance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Contorno aproximado accesible en coche entre 5 y 60 minutos y exportación GeoJSON.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Relieve y fuentes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Terreno aproximado con alturas reales, capas adaptadas a su superficie, PNOA e hidrografía WMS.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Importación y despliegue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GeoJSON, WMS y WMTS compatibles; modos local y estático. La publicación se comprueba en GitHub Actions.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Pendiente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Usuarios, datos compartidos, otros transportes, tráfico y optimización para grandes volúmenes.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bookmarkStart w:id="4" w:name="sec_4"/>
      <w:r>
        <w:t>Tecnologías y motivo de uso</w:t>
      </w:r>
      <w:bookmarkEnd w:id="4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118"/>
        <w:gridCol w:w="6293"/>
      </w:tblGrid>
      <w:tr>
        <w:trPr>
          <w:cantSplit/>
          <w:tblHeader w:val="true"/>
        </w:trPr>
        <w:tc>
          <w:tcPr>
            <w:tcW w:type="dxa" w:w="3118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Tecnología</w:t>
            </w:r>
          </w:p>
        </w:tc>
        <w:tc>
          <w:tcPr>
            <w:tcW w:type="dxa" w:w="6293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Función y motivo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React y TypeScript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React divide la interfaz en componentes; TypeScript comprueba los tipos de capas y respuestas para detectar errores antes de ejecutar.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Vite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Sirve el proyecto durante el desarrollo y genera los archivos estáticos de producción.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deck.gl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Es el motor principal: dibuja capas, imágenes, rutas, selecciones y terreno con la tarjeta gráfica y permite seleccionar entidades.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MapLibre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Controla la cámara, navegación y fondo 2D. MapboxOverlay sincroniza su vista con deck.gl.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Turf y proj4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Turf calcula intersecciones, áreas y distancias; proj4 transforma coordenadas a un sistema común.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TerrainExtension y loaders.gl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Adaptan las capas al terreno y convierten teselas de elevación en una malla. El trabajador de terreno se incluye en la compilación.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Ant Design y CSS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Aportan controles de formulario y adaptan los paneles al tamaño de pantalla.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Node.js y Express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Ejecutan la API local para configuración, datos y búsqueda local. Se utiliza Node 24.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SQLite y almacenamiento web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SQLite guarda configuración local; IndexedDB guarda datos del navegador y localStorage preferencias de imágenes.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GitHub Actions y Pages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Automatizan pruebas, compilación y publicación de la modalidad estática.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bookmarkStart w:id="5" w:name="sec_5"/>
      <w:r>
        <w:t>Estructura del proyecto</w:t>
      </w:r>
      <w:bookmarkEnd w:id="5"/>
    </w:p>
    <w:p>
      <w:pPr>
        <w:pStyle w:val="ListBullet"/>
      </w:pPr>
      <w:r>
        <w:rPr>
          <w:rFonts w:ascii="Consolas" w:hAnsi="Consolas"/>
          <w:sz w:val="19"/>
        </w:rPr>
        <w:t>src/App.tsx</w:t>
      </w:r>
      <w:r>
        <w:t>: conecta los paneles y el estado general.</w:t>
      </w:r>
    </w:p>
    <w:p>
      <w:pPr>
        <w:pStyle w:val="ListBullet"/>
      </w:pPr>
      <w:r>
        <w:rPr>
          <w:rFonts w:ascii="Consolas" w:hAnsi="Consolas"/>
          <w:sz w:val="19"/>
        </w:rPr>
        <w:t>src/components/</w:t>
      </w:r>
      <w:r>
        <w:t xml:space="preserve">: interfaz; </w:t>
      </w:r>
      <w:r>
        <w:rPr>
          <w:rFonts w:ascii="Consolas" w:hAnsi="Consolas"/>
          <w:sz w:val="19"/>
        </w:rPr>
        <w:t>MapView.tsx</w:t>
      </w:r>
      <w:r>
        <w:t xml:space="preserve"> conecta el mapa y deck.gl.</w:t>
      </w:r>
    </w:p>
    <w:p>
      <w:pPr>
        <w:pStyle w:val="ListBullet"/>
      </w:pPr>
      <w:r>
        <w:rPr>
          <w:rFonts w:ascii="Consolas" w:hAnsi="Consolas"/>
          <w:sz w:val="19"/>
        </w:rPr>
        <w:t>src/lib/</w:t>
      </w:r>
      <w:r>
        <w:t>: análisis, rutas, alcance, coordenadas, imágenes, importación y almacenamiento.</w:t>
      </w:r>
    </w:p>
    <w:p>
      <w:pPr>
        <w:pStyle w:val="ListBullet"/>
      </w:pPr>
      <w:r>
        <w:rPr>
          <w:rFonts w:ascii="Consolas" w:hAnsi="Consolas"/>
          <w:sz w:val="19"/>
        </w:rPr>
        <w:t>src/model/</w:t>
      </w:r>
      <w:r>
        <w:t>: PointLayer, LineLayer y PolygonLayer; estilos y atributos por tipo.</w:t>
      </w:r>
    </w:p>
    <w:p>
      <w:pPr>
        <w:pStyle w:val="ListBullet"/>
      </w:pPr>
      <w:r>
        <w:rPr>
          <w:rFonts w:ascii="Consolas" w:hAnsi="Consolas"/>
          <w:sz w:val="19"/>
        </w:rPr>
        <w:t>src/hooks/useLayers.ts</w:t>
      </w:r>
      <w:r>
        <w:t>: carga las capas y guarda su configuración.</w:t>
      </w:r>
    </w:p>
    <w:p>
      <w:pPr>
        <w:pStyle w:val="ListBullet"/>
      </w:pPr>
      <w:r>
        <w:rPr>
          <w:rFonts w:ascii="Consolas" w:hAnsi="Consolas"/>
          <w:sz w:val="19"/>
        </w:rPr>
        <w:t>src/config/defaultLayers.ts</w:t>
      </w:r>
      <w:r>
        <w:t>: capas iniciales del modo estático.</w:t>
      </w:r>
    </w:p>
    <w:p>
      <w:pPr>
        <w:pStyle w:val="ListBullet"/>
      </w:pPr>
      <w:r>
        <w:rPr>
          <w:rFonts w:ascii="Consolas" w:hAnsi="Consolas"/>
          <w:sz w:val="19"/>
        </w:rPr>
        <w:t>public/data/</w:t>
      </w:r>
      <w:r>
        <w:t>: GeoJSON y datos auxiliares estáticos.</w:t>
      </w:r>
    </w:p>
    <w:p>
      <w:pPr>
        <w:pStyle w:val="ListBullet"/>
      </w:pPr>
      <w:r>
        <w:rPr>
          <w:rFonts w:ascii="Consolas" w:hAnsi="Consolas"/>
          <w:sz w:val="19"/>
        </w:rPr>
        <w:t>server/</w:t>
      </w:r>
      <w:r>
        <w:t>: API Express, catálogo de lugares y SQLite.</w:t>
      </w:r>
    </w:p>
    <w:p>
      <w:pPr>
        <w:pStyle w:val="ListBullet"/>
      </w:pPr>
      <w:r>
        <w:rPr>
          <w:rFonts w:ascii="Consolas" w:hAnsi="Consolas"/>
          <w:sz w:val="19"/>
        </w:rPr>
        <w:t>tests/</w:t>
      </w:r>
      <w:r>
        <w:t xml:space="preserve">, </w:t>
      </w:r>
      <w:r>
        <w:rPr>
          <w:rFonts w:ascii="Consolas" w:hAnsi="Consolas"/>
          <w:sz w:val="19"/>
        </w:rPr>
        <w:t>docs/</w:t>
      </w:r>
      <w:r>
        <w:t xml:space="preserve"> y </w:t>
      </w:r>
      <w:r>
        <w:rPr>
          <w:rFonts w:ascii="Consolas" w:hAnsi="Consolas"/>
          <w:sz w:val="19"/>
        </w:rPr>
        <w:t>.github/workflows/</w:t>
      </w:r>
      <w:r>
        <w:t>: pruebas, documentación y publicación.</w:t>
      </w:r>
    </w:p>
    <w:p>
      <w:pPr>
        <w:pStyle w:val="ListBullet"/>
      </w:pPr>
      <w:r>
        <w:rPr>
          <w:rFonts w:ascii="Consolas" w:hAnsi="Consolas"/>
          <w:sz w:val="19"/>
        </w:rPr>
        <w:t>package.json</w:t>
      </w:r>
      <w:r>
        <w:t xml:space="preserve">, </w:t>
      </w:r>
      <w:r>
        <w:rPr>
          <w:rFonts w:ascii="Consolas" w:hAnsi="Consolas"/>
          <w:sz w:val="19"/>
        </w:rPr>
        <w:t>package-lock.json</w:t>
      </w:r>
      <w:r>
        <w:t xml:space="preserve"> y </w:t>
      </w:r>
      <w:r>
        <w:rPr>
          <w:rFonts w:ascii="Consolas" w:hAnsi="Consolas"/>
          <w:sz w:val="19"/>
        </w:rPr>
        <w:t>vite.config.ts</w:t>
      </w:r>
      <w:r>
        <w:t>: versión, dependencias, comandos y configuración de compilación.</w:t>
      </w:r>
    </w:p>
    <w:p>
      <w:pPr>
        <w:pStyle w:val="Heading1"/>
        <w:numPr>
          <w:ilvl w:val="0"/>
          <w:numId w:val="10"/>
        </w:numPr>
      </w:pPr>
      <w:bookmarkStart w:id="6" w:name="sec_6"/>
      <w:r>
        <w:t>Flujo de datos</w:t>
      </w:r>
      <w:bookmarkEnd w:id="6"/>
    </w:p>
    <w:p>
      <w:r>
        <w:t xml:space="preserve">Al abrir el visor, </w:t>
      </w:r>
      <w:r>
        <w:rPr>
          <w:rFonts w:ascii="Consolas" w:hAnsi="Consolas"/>
          <w:sz w:val="19"/>
        </w:rPr>
        <w:t>useLayers.ts</w:t>
      </w:r>
      <w:r>
        <w:t xml:space="preserve"> obtiene la configuración desde la API local o el catálogo estático. Después carga los GeoJSON, valida geometrías y normaliza coordenadas mediante </w:t>
      </w:r>
      <w:r>
        <w:rPr>
          <w:rFonts w:ascii="Consolas" w:hAnsi="Consolas"/>
          <w:sz w:val="19"/>
        </w:rPr>
        <w:t>geojson.ts</w:t>
      </w:r>
      <w:r>
        <w:t xml:space="preserve">. Las clases de </w:t>
      </w:r>
      <w:r>
        <w:rPr>
          <w:rFonts w:ascii="Consolas" w:hAnsi="Consolas"/>
          <w:sz w:val="19"/>
        </w:rPr>
        <w:t>src/model/</w:t>
      </w:r>
      <w:r>
        <w:t xml:space="preserve"> crean las capas deck.gl y </w:t>
      </w:r>
      <w:r>
        <w:rPr>
          <w:rFonts w:ascii="Consolas" w:hAnsi="Consolas"/>
          <w:sz w:val="19"/>
        </w:rPr>
        <w:t>MapView.tsx</w:t>
      </w:r>
      <w:r>
        <w:t xml:space="preserve"> las dibuja.</w:t>
      </w:r>
    </w:p>
    <w:p>
      <w:r>
        <w:t xml:space="preserve">Al cambiar un control, React actualiza el estado y se guardan las preferencias correspondientes. Al cerrar una selección, </w:t>
      </w:r>
      <w:r>
        <w:rPr>
          <w:rFonts w:ascii="Consolas" w:hAnsi="Consolas"/>
          <w:sz w:val="19"/>
        </w:rPr>
        <w:t>App.tsx</w:t>
      </w:r>
      <w:r>
        <w:t xml:space="preserve"> llama a </w:t>
      </w:r>
      <w:r>
        <w:rPr>
          <w:rFonts w:ascii="Consolas" w:hAnsi="Consolas"/>
          <w:sz w:val="19"/>
        </w:rPr>
        <w:t>analyzeLayers</w:t>
      </w:r>
      <w:r>
        <w:t xml:space="preserve"> y envía sus resultados a </w:t>
      </w:r>
      <w:r>
        <w:rPr>
          <w:rFonts w:ascii="Consolas" w:hAnsi="Consolas"/>
          <w:sz w:val="19"/>
        </w:rPr>
        <w:t>AnalysisPanel.tsx</w:t>
      </w:r>
      <w:r>
        <w:t>. El análisis ocurre en el navegador. Las rutas y el alcance consultan proveedores externos; deck.gl dibuja la geometría que devuelven.</w:t>
      </w:r>
    </w:p>
    <w:p>
      <w:pPr>
        <w:pStyle w:val="Heading1"/>
        <w:numPr>
          <w:ilvl w:val="0"/>
          <w:numId w:val="10"/>
        </w:numPr>
      </w:pPr>
      <w:bookmarkStart w:id="7" w:name="sec_7"/>
      <w:r>
        <w:t>Procedencia de bibliotecas y datos</w:t>
      </w:r>
      <w:bookmarkEnd w:id="7"/>
    </w:p>
    <w:p>
      <w:r>
        <w:t xml:space="preserve">Las bibliotecas se instalan desde npm. </w:t>
      </w:r>
      <w:r>
        <w:rPr>
          <w:rFonts w:ascii="Consolas" w:hAnsi="Consolas"/>
          <w:sz w:val="19"/>
        </w:rPr>
        <w:t>package.json</w:t>
      </w:r>
      <w:r>
        <w:t xml:space="preserve"> declara rangos y </w:t>
      </w:r>
      <w:r>
        <w:rPr>
          <w:rFonts w:ascii="Consolas" w:hAnsi="Consolas"/>
          <w:sz w:val="19"/>
        </w:rPr>
        <w:t>package-lock.json</w:t>
      </w:r>
      <w:r>
        <w:t xml:space="preserve"> fija versiones concretas para reproducir la instalación con </w:t>
      </w:r>
      <w:r>
        <w:rPr>
          <w:rFonts w:ascii="Consolas" w:hAnsi="Consolas"/>
          <w:sz w:val="19"/>
        </w:rPr>
        <w:t>npm.cmd ci</w:t>
      </w:r>
      <w:r>
        <w:t xml:space="preserve">. Una importación de </w:t>
      </w:r>
      <w:r>
        <w:rPr>
          <w:rFonts w:ascii="Consolas" w:hAnsi="Consolas"/>
          <w:sz w:val="19"/>
        </w:rPr>
        <w:t>@deck.gl/layers</w:t>
      </w:r>
      <w:r>
        <w:t xml:space="preserve"> usa una biblioteca; una de </w:t>
      </w:r>
      <w:r>
        <w:rPr>
          <w:rFonts w:ascii="Consolas" w:hAnsi="Consolas"/>
          <w:sz w:val="19"/>
        </w:rPr>
        <w:t>../lib/analysis.ts</w:t>
      </w:r>
      <w:r>
        <w:t xml:space="preserve"> usa código del proyecto.</w:t>
      </w:r>
    </w:p>
    <w:p>
      <w:r>
        <w:t xml:space="preserve">Se conservan 9.999 puntos de Chile en EPSG:31994, 6.233 entidades de líneas de Asturias en EPSG:4258 y 399 polígonos de Chile en EPSG:4326. Son los datos heredados; no se acredita una nueva licencia de redistribución. El archivo </w:t>
      </w:r>
      <w:r>
        <w:rPr>
          <w:rFonts w:ascii="Consolas" w:hAnsi="Consolas"/>
          <w:sz w:val="19"/>
        </w:rPr>
        <w:t>example-import.geojson</w:t>
      </w:r>
      <w:r>
        <w:t xml:space="preserve"> aporta cuatro entidades ficticias para practicar.</w:t>
      </w:r>
    </w:p>
    <w:p>
      <w:r>
        <w:t>PNOA procede del IGN y la hidrografía de IGN/IDEE. Se solicitan imágenes WMS con atribución visible. OpenFreeMap proporciona los fondos 2D; OpenStreetMap, la textura 3D; Terrain Tiles en AWS, elevaciones Terrarium. Photon busca direcciones, OSRM calcula rutas y Valhalla calcula alcance. Estos servicios dependen de conexión, cobertura y límites de uso.</w:t>
      </w:r>
    </w:p>
    <w:p>
      <w:pPr>
        <w:pStyle w:val="Heading1"/>
        <w:numPr>
          <w:ilvl w:val="0"/>
          <w:numId w:val="10"/>
        </w:numPr>
      </w:pPr>
      <w:bookmarkStart w:id="8" w:name="sec_8"/>
      <w:r>
        <w:t>Implementación y uso de las herramientas</w:t>
      </w:r>
      <w:bookmarkEnd w:id="8"/>
    </w:p>
    <w:p>
      <w:r>
        <w:rPr>
          <w:b/>
        </w:rPr>
        <w:t>Capas y paneles.</w:t>
      </w:r>
      <w:r>
        <w:t xml:space="preserve"> En Capas se cambia visibilidad, orden, color, grosor, radio y opacidad. Encuadrar lleva a cada conjunto. </w:t>
      </w:r>
      <w:r>
        <w:rPr>
          <w:rFonts w:ascii="Consolas" w:hAnsi="Consolas"/>
          <w:sz w:val="19"/>
        </w:rPr>
        <w:t>LayerCard.tsx</w:t>
      </w:r>
      <w:r>
        <w:t xml:space="preserve"> presenta los controles y </w:t>
      </w:r>
      <w:r>
        <w:rPr>
          <w:rFonts w:ascii="Consolas" w:hAnsi="Consolas"/>
          <w:sz w:val="19"/>
        </w:rPr>
        <w:t>src/model/</w:t>
      </w:r>
      <w:r>
        <w:t xml:space="preserve"> produce las capas. </w:t>
      </w:r>
      <w:r>
        <w:rPr>
          <w:rFonts w:ascii="Consolas" w:hAnsi="Consolas"/>
          <w:sz w:val="19"/>
        </w:rPr>
        <w:t>App.tsx</w:t>
      </w:r>
      <w:r>
        <w:t xml:space="preserve"> y </w:t>
      </w:r>
      <w:r>
        <w:rPr>
          <w:rFonts w:ascii="Consolas" w:hAnsi="Consolas"/>
          <w:sz w:val="19"/>
        </w:rPr>
        <w:t>style.css</w:t>
      </w:r>
      <w:r>
        <w:t xml:space="preserve"> permiten plegar y ajustar el panel en escritorio y mostrarlo abajo en pantallas pequeñas. Al seleccionar zonas o puntos en móvil, se pliega y vuelve a abrir al terminar.</w:t>
      </w:r>
    </w:p>
    <w:p>
      <w:r>
        <w:rPr>
          <w:b/>
        </w:rPr>
        <w:t>Rectángulo y modo libre.</w:t>
      </w:r>
      <w:r>
        <w:t xml:space="preserve"> En Análisis se arrastra un rectángulo o se tocan dos esquinas. En Libre se marcan al menos tres puntos y se cierra tocando el primero o pulsando Cerrar y analizar. Mientras esté abierto no se calcula. Se pueden deshacer puntos, cancelar y repetir. </w:t>
      </w:r>
      <w:r>
        <w:rPr>
          <w:rFonts w:ascii="Consolas" w:hAnsi="Consolas"/>
          <w:sz w:val="19"/>
        </w:rPr>
        <w:t>MapView.tsx</w:t>
      </w:r>
      <w:r>
        <w:t xml:space="preserve"> recoge las interacciones y </w:t>
      </w:r>
      <w:r>
        <w:rPr>
          <w:rFonts w:ascii="Consolas" w:hAnsi="Consolas"/>
          <w:sz w:val="19"/>
        </w:rPr>
        <w:t>analysis.ts</w:t>
      </w:r>
      <w:r>
        <w:t xml:space="preserve"> rechaza contornos cruzados, repetidos, alineados o inválidos.</w:t>
      </w:r>
    </w:p>
    <w:p>
      <w:r>
        <w:t>Se cuenta la intersección de la geometría real con la selección, incluido su borde. Cada Feature cuenta una vez, aunque sea MultiPoint, MultiLineString o MultiPolygon. Dos registros iguales siguen contando como dos; no se deduplican entre capas. Solo participan vectores visibles con opacidad mayor que cero. Si falta una capa visible por cargar, se avisa de resultado parcial. Las imágenes WMS/WMTS quedan fuera.</w:t>
      </w:r>
    </w:p>
    <w:p>
      <w:r>
        <w:t>Turf verifica intersecciones y recorta polígonos. Para las líneas se recortan segmentos con Liang–Barsky en rectángulos; en selección libre se separan en los cruces del contorno y se miden los intervalos interiores. Tocar un borde puede contar una entidad y aportar longitud o área cero. Se respetan huecos y se suman las áreas de entidades superpuestas. Son medidas geográficas aproximadas, no distancias sobre la pendiente del terreno.</w:t>
      </w:r>
    </w:p>
    <w:p>
      <w:r>
        <w:t>Se muestran km² o hectáreas, recuentos por capa y tipo, y mínimo, máximo, suma y media de atributos numéricos válidos. Se excluyen códigos e identificadores; no se suman porcentajes, pendientes o cotas, ni se calcula media aritmética de orientaciones. La clasificación por nombre de campo puede necesitar adaptación. Los atributos corresponden a la entidad completa. Se exportan JSON, CSV y las entidades completas en GeoJSON; el resaltado usa las entidades contadas.</w:t>
      </w:r>
    </w:p>
    <w:p>
      <w:r>
        <w:rPr>
          <w:b/>
        </w:rPr>
        <w:t>Rutas.</w:t>
      </w:r>
      <w:r>
        <w:t xml:space="preserve"> </w:t>
      </w:r>
      <w:r>
        <w:rPr>
          <w:rFonts w:ascii="Consolas" w:hAnsi="Consolas"/>
          <w:sz w:val="19"/>
        </w:rPr>
        <w:t>RoutePanel.tsx</w:t>
      </w:r>
      <w:r>
        <w:t xml:space="preserve"> permite buscar A y B, elegirlos en el mapa, intercambiarlos y limpiar. </w:t>
      </w:r>
      <w:r>
        <w:rPr>
          <w:rFonts w:ascii="Consolas" w:hAnsi="Consolas"/>
          <w:sz w:val="19"/>
        </w:rPr>
        <w:t>routing.ts</w:t>
      </w:r>
      <w:r>
        <w:t xml:space="preserve"> consulta Photon y OSRM con perfil de coche y pasos de navegación. Valida respuestas, usa caché y gestiona cancelaciones, tiempos de espera y falta de acceso. La línea procede del servicio de carreteras, nunca de unir directamente A y B. No hay tráfico, bicicleta o caminata en la configuración actual.</w:t>
      </w:r>
    </w:p>
    <w:p>
      <w:r>
        <w:rPr>
          <w:b/>
        </w:rPr>
        <w:t>Área de alcance.</w:t>
      </w:r>
      <w:r>
        <w:t xml:space="preserve"> En Alcance se eligen un origen y entre 5 y 60 minutos, con 20 por defecto. </w:t>
      </w:r>
      <w:r>
        <w:rPr>
          <w:rFonts w:ascii="Consolas" w:hAnsi="Consolas"/>
          <w:sz w:val="19"/>
        </w:rPr>
        <w:t>ServiceAreaPanel.tsx</w:t>
      </w:r>
      <w:r>
        <w:t xml:space="preserve"> reutiliza el buscador de rutas. </w:t>
      </w:r>
      <w:r>
        <w:rPr>
          <w:rFonts w:ascii="Consolas" w:hAnsi="Consolas"/>
          <w:sz w:val="19"/>
        </w:rPr>
        <w:t>serviceArea.ts</w:t>
      </w:r>
      <w:r>
        <w:t xml:space="preserve"> consulta primero </w:t>
      </w:r>
      <w:r>
        <w:rPr>
          <w:rFonts w:ascii="Consolas" w:hAnsi="Consolas"/>
          <w:sz w:val="19"/>
        </w:rPr>
        <w:t>/locate</w:t>
      </w:r>
      <w:r>
        <w:t xml:space="preserve"> de Valhalla para comprobar una carretera a menos de 1 km, y después </w:t>
      </w:r>
      <w:r>
        <w:rPr>
          <w:rFonts w:ascii="Consolas" w:hAnsi="Consolas"/>
          <w:sz w:val="19"/>
        </w:rPr>
        <w:t>/isochrone</w:t>
      </w:r>
      <w:r>
        <w:t xml:space="preserve"> con </w:t>
      </w:r>
      <w:r>
        <w:rPr>
          <w:rFonts w:ascii="Consolas" w:hAnsi="Consolas"/>
          <w:sz w:val="19"/>
        </w:rPr>
        <w:t>costing: 'auto'</w:t>
      </w:r>
      <w:r>
        <w:t xml:space="preserve">. Valida el polígono y el tiempo recibido; </w:t>
      </w:r>
      <w:r>
        <w:rPr>
          <w:rFonts w:ascii="Consolas" w:hAnsi="Consolas"/>
          <w:sz w:val="19"/>
        </w:rPr>
        <w:t>MapView.tsx</w:t>
      </w:r>
      <w:r>
        <w:t xml:space="preserve"> lo dibuja y encuadra. Se puede borrar o exportar GeoJSON.</w:t>
      </w:r>
    </w:p>
    <w:p>
      <w:r>
        <w:t>El contorno aproxima lugares accesibles saliendo del origen. Puede englobar zonas sin acceso directo y no enumera todas las calles. Se muestra la distancia al acceso a carretera; ese tramo inicial no se incluye en el tiempo. No calcula batería, autonomía eléctrica, ida y vuelta o tráfico. Valhalla/FOSSGIS es un servicio público de demostración para uso moderado.</w:t>
      </w:r>
    </w:p>
    <w:p>
      <w:r>
        <w:rPr>
          <w:b/>
        </w:rPr>
        <w:t>Relieve y eje Z.</w:t>
      </w:r>
      <w:r>
        <w:t xml:space="preserve"> Antes, el terreno y las alturas propias de las capas podían verse separados. Ahora </w:t>
      </w:r>
      <w:r>
        <w:rPr>
          <w:rFonts w:ascii="Consolas" w:hAnsi="Consolas"/>
          <w:sz w:val="19"/>
        </w:rPr>
        <w:t>elevation.ts</w:t>
      </w:r>
      <w:r>
        <w:t xml:space="preserve"> crea una copia de dibujo con longitud y latitud; los datos originales conservan su Z. </w:t>
      </w:r>
      <w:r>
        <w:rPr>
          <w:rFonts w:ascii="Consolas" w:hAnsi="Consolas"/>
          <w:sz w:val="19"/>
        </w:rPr>
        <w:t>MapView.tsx</w:t>
      </w:r>
      <w:r>
        <w:t xml:space="preserve"> dibuja una única malla </w:t>
      </w:r>
      <w:r>
        <w:rPr>
          <w:rFonts w:ascii="Consolas" w:hAnsi="Consolas"/>
          <w:sz w:val="19"/>
        </w:rPr>
        <w:t>TerrainLayer</w:t>
      </w:r>
      <w:r>
        <w:t xml:space="preserve"> y adapta vectores, imágenes, rutas y selecciones mediante </w:t>
      </w:r>
      <w:r>
        <w:rPr>
          <w:rFonts w:ascii="Consolas" w:hAnsi="Consolas"/>
          <w:sz w:val="19"/>
        </w:rPr>
        <w:t>TerrainExtension</w:t>
      </w:r>
      <w:r>
        <w:t xml:space="preserve"> en modo </w:t>
      </w:r>
      <w:r>
        <w:rPr>
          <w:rFonts w:ascii="Consolas" w:hAnsi="Consolas"/>
          <w:sz w:val="19"/>
        </w:rPr>
        <w:t>drape</w:t>
      </w:r>
      <w:r>
        <w:t>.</w:t>
      </w:r>
    </w:p>
    <w:p>
      <w:r>
        <w:t xml:space="preserve">Terrarium codifica las alturas en los colores de las teselas. </w:t>
      </w:r>
      <w:r>
        <w:rPr>
          <w:rFonts w:ascii="Consolas" w:hAnsi="Consolas"/>
          <w:sz w:val="19"/>
        </w:rPr>
        <w:t>terrainDecoder</w:t>
      </w:r>
      <w:r>
        <w:t xml:space="preserve"> los convierte a elevación y aplica exageración: 0 aplana, 1 mantiene la altura del modelo y hasta 3 la acentúa. Al alternar 2D y 3D se recrean las capas con identificadores distintos para inicializar o retirar el efecto de terreno. MapLibre controla la cámara y deck.gl dibuja el relieve. No representa edificios ni puentes elevados. La extensión es experimental; análisis y elección de puntos se realizan en 2D.</w:t>
      </w:r>
    </w:p>
    <w:p>
      <w:r>
        <w:rPr>
          <w:b/>
        </w:rPr>
        <w:t>Fondos regionales.</w:t>
      </w:r>
      <w:r>
        <w:t xml:space="preserve"> Mapa base regional sitúa una imagen debajo de las capas temáticas y apaga otras imágenes base regionales. El fondo global permanece: PNOA sustituye visualmente España y Portugal sigue visible. </w:t>
      </w:r>
      <w:r>
        <w:rPr>
          <w:rFonts w:ascii="Consolas" w:hAnsi="Consolas"/>
          <w:sz w:val="19"/>
        </w:rPr>
        <w:t>raster.ts</w:t>
      </w:r>
      <w:r>
        <w:t xml:space="preserve"> solicita PNG transparente; </w:t>
      </w:r>
      <w:r>
        <w:rPr>
          <w:rFonts w:ascii="Consolas" w:hAnsi="Consolas"/>
          <w:sz w:val="19"/>
        </w:rPr>
        <w:t>MapView.tsx</w:t>
      </w:r>
      <w:r>
        <w:t xml:space="preserve"> mantiene el fondo 2D o la textura 3D. Al 100 % los píxeles opacos tapan el fondo; al bajar la opacidad se mezclan. Se respeta la extensión configurada y la transparencia del proveedor; no se detectan automáticamente huecos pintados opacos. Sin fondo desactiva expresamente la cartografía de apoyo.</w:t>
      </w:r>
    </w:p>
    <w:p>
      <w:pPr>
        <w:pStyle w:val="Heading1"/>
        <w:numPr>
          <w:ilvl w:val="0"/>
          <w:numId w:val="10"/>
        </w:numPr>
      </w:pPr>
      <w:bookmarkStart w:id="9" w:name="sec_9"/>
      <w:r>
        <w:t>Importar y añadir capas</w:t>
      </w:r>
      <w:bookmarkEnd w:id="9"/>
    </w:p>
    <w:p>
      <w:r>
        <w:t xml:space="preserve">Importar admite GeoJSON desde archivo o enlace directo, hasta 30 MiB, en EPSG:4326, 4258, 3857 o 31994. </w:t>
      </w:r>
      <w:r>
        <w:rPr>
          <w:rFonts w:ascii="Consolas" w:hAnsi="Consolas"/>
          <w:sz w:val="19"/>
        </w:rPr>
        <w:t>import.ts</w:t>
      </w:r>
      <w:r>
        <w:t xml:space="preserve"> distingue archivos, servicios y páginas de visores, valida contenido y separa geometrías mixtas por tipo. </w:t>
      </w:r>
      <w:r>
        <w:rPr>
          <w:rFonts w:ascii="Consolas" w:hAnsi="Consolas"/>
          <w:sz w:val="19"/>
        </w:rPr>
        <w:t>geojson.ts</w:t>
      </w:r>
      <w:r>
        <w:t xml:space="preserve"> comprueba coordenadas y anillos. WMS y WMTS se añaden en Fuentes: WMS 1.1.1 EPSG:3857 o plantilla WMTS Web Mercator equivalente a XYZ. HTML no es GeoJSON; otros formatos requieren conversión.</w:t>
      </w:r>
    </w:p>
    <w:p>
      <w:r>
        <w:t xml:space="preserve">Para una capa fija, copia </w:t>
      </w:r>
      <w:r>
        <w:rPr>
          <w:rFonts w:ascii="Consolas" w:hAnsi="Consolas"/>
          <w:sz w:val="19"/>
        </w:rPr>
        <w:t>mis-puntos.geojson</w:t>
      </w:r>
      <w:r>
        <w:t xml:space="preserve"> a </w:t>
      </w:r>
      <w:r>
        <w:rPr>
          <w:rFonts w:ascii="Consolas" w:hAnsi="Consolas"/>
          <w:sz w:val="19"/>
        </w:rPr>
        <w:t>public/data/</w:t>
      </w:r>
      <w:r>
        <w:t xml:space="preserve"> y añade a </w:t>
      </w:r>
      <w:r>
        <w:rPr>
          <w:rFonts w:ascii="Consolas" w:hAnsi="Consolas"/>
          <w:sz w:val="19"/>
        </w:rPr>
        <w:t>src/config/defaultLayers.ts</w:t>
      </w:r>
      <w:r>
        <w:t xml:space="preserve"> una entrada como esta, para puntos en longitud y latitud:</w:t>
      </w:r>
    </w:p>
    <w:p>
      <w:pPr>
        <w:pStyle w:val="CodeBlock"/>
        <w:keepNext/>
      </w:pPr>
      <w:r>
        <w:t>{ id: 'mis-puntos', name: 'Mis puntos', kind: 'point',</w:t>
      </w:r>
    </w:p>
    <w:p>
      <w:pPr>
        <w:pStyle w:val="CodeBlock"/>
        <w:keepNext/>
      </w:pPr>
      <w:r>
        <w:t xml:space="preserve">  source: 'mis-puntos.geojson', crs: 'EPSG:4326',</w:t>
      </w:r>
    </w:p>
    <w:p>
      <w:pPr>
        <w:pStyle w:val="CodeBlock"/>
        <w:keepNext/>
      </w:pPr>
      <w:r>
        <w:t xml:space="preserve">  visible: true, stroke: '#245c28', fill: '#4caf50',</w:t>
      </w:r>
    </w:p>
    <w:p>
      <w:pPr>
        <w:pStyle w:val="CodeBlock"/>
        <w:keepNext w:val="0"/>
      </w:pPr>
      <w:r>
        <w:t xml:space="preserve">  width: 1, radius: 5, opacity: 0.9, sort_order: 3 },</w:t>
      </w:r>
    </w:p>
    <w:p>
      <w:pPr>
        <w:spacing w:after="20"/>
      </w:pPr>
    </w:p>
    <w:p>
      <w:r>
        <w:t xml:space="preserve">Añade también la configuración inicial equivalente en </w:t>
      </w:r>
      <w:r>
        <w:rPr>
          <w:rFonts w:ascii="Consolas" w:hAnsi="Consolas"/>
          <w:sz w:val="19"/>
        </w:rPr>
        <w:t>server/database.js</w:t>
      </w:r>
      <w:r>
        <w:t xml:space="preserve"> para el modo local. Una SQLite existente conserva ajustes: cambiar valores iniciales de una capa existente no los sobrescribe. Los atributos se ajustan en </w:t>
      </w:r>
      <w:r>
        <w:rPr>
          <w:rFonts w:ascii="Consolas" w:hAnsi="Consolas"/>
          <w:sz w:val="19"/>
        </w:rPr>
        <w:t>src/model/PointLayer.ts</w:t>
      </w:r>
      <w:r>
        <w:t xml:space="preserve">, </w:t>
      </w:r>
      <w:r>
        <w:rPr>
          <w:rFonts w:ascii="Consolas" w:hAnsi="Consolas"/>
          <w:sz w:val="19"/>
        </w:rPr>
        <w:t>LineLayer.ts</w:t>
      </w:r>
      <w:r>
        <w:t xml:space="preserve"> o </w:t>
      </w:r>
      <w:r>
        <w:rPr>
          <w:rFonts w:ascii="Consolas" w:hAnsi="Consolas"/>
          <w:sz w:val="19"/>
        </w:rPr>
        <w:t>PolygonLayer.ts</w:t>
      </w:r>
      <w:r>
        <w:t xml:space="preserve">; por ejemplo, añade </w:t>
      </w:r>
      <w:r>
        <w:rPr>
          <w:rFonts w:ascii="Consolas" w:hAnsi="Consolas"/>
          <w:sz w:val="19"/>
        </w:rPr>
        <w:t>['nombre', 'Nombre']</w:t>
      </w:r>
      <w:r>
        <w:t xml:space="preserve"> a </w:t>
      </w:r>
      <w:r>
        <w:rPr>
          <w:rFonts w:ascii="Consolas" w:hAnsi="Consolas"/>
          <w:sz w:val="19"/>
        </w:rPr>
        <w:t>fields</w:t>
      </w:r>
      <w:r>
        <w:t>.</w:t>
      </w:r>
    </w:p>
    <w:p>
      <w:r>
        <w:t xml:space="preserve">Las fuentes fijas se registran en </w:t>
      </w:r>
      <w:r>
        <w:rPr>
          <w:rFonts w:ascii="Consolas" w:hAnsi="Consolas"/>
          <w:sz w:val="19"/>
        </w:rPr>
        <w:t>officialSources</w:t>
      </w:r>
      <w:r>
        <w:t xml:space="preserve"> dentro de </w:t>
      </w:r>
      <w:r>
        <w:rPr>
          <w:rFonts w:ascii="Consolas" w:hAnsi="Consolas"/>
          <w:sz w:val="19"/>
        </w:rPr>
        <w:t>src/lib/raster.ts</w:t>
      </w:r>
      <w:r>
        <w:t>: URL, capa WMS o plantilla, atribución, visibilidad, opacidad, uso y límites. Comprueba GetCapabilities, HTTPS, CORS y coordenadas. Si el navegador bloquea una URL, revisa el servicio o importa un archivo descargado; Pages no puede actuar como proxy de servidor.</w:t>
      </w:r>
    </w:p>
    <w:p>
      <w:pPr>
        <w:pStyle w:val="Heading1"/>
        <w:numPr>
          <w:ilvl w:val="0"/>
          <w:numId w:val="10"/>
        </w:numPr>
      </w:pPr>
      <w:bookmarkStart w:id="10" w:name="sec_10"/>
      <w:r>
        <w:t>Crear otro visor con esta base</w:t>
      </w:r>
      <w:bookmarkEnd w:id="10"/>
    </w:p>
    <w:p>
      <w:r>
        <w:t xml:space="preserve">Copia el proyecto sin dependencias, compilados ni bases locales. Sustituye GeoJSON, configuraciones estática y local, nombres y atribuciones. Cambia los textos de </w:t>
      </w:r>
      <w:r>
        <w:rPr>
          <w:rFonts w:ascii="Consolas" w:hAnsi="Consolas"/>
          <w:sz w:val="19"/>
        </w:rPr>
        <w:t>App.tsx</w:t>
      </w:r>
      <w:r>
        <w:t xml:space="preserve"> y estilos de </w:t>
      </w:r>
      <w:r>
        <w:rPr>
          <w:rFonts w:ascii="Consolas" w:hAnsi="Consolas"/>
          <w:sz w:val="19"/>
        </w:rPr>
        <w:t>style.css</w:t>
      </w:r>
      <w:r>
        <w:t xml:space="preserve">. Revisa </w:t>
      </w:r>
      <w:r>
        <w:rPr>
          <w:rFonts w:ascii="Consolas" w:hAnsi="Consolas"/>
          <w:sz w:val="19"/>
        </w:rPr>
        <w:t>LocationSearch.tsx</w:t>
      </w:r>
      <w:r>
        <w:t xml:space="preserve">, </w:t>
      </w:r>
      <w:r>
        <w:rPr>
          <w:rFonts w:ascii="Consolas" w:hAnsi="Consolas"/>
          <w:sz w:val="19"/>
        </w:rPr>
        <w:t>server/places.json</w:t>
      </w:r>
      <w:r>
        <w:t xml:space="preserve"> y el catálogo estático; </w:t>
      </w:r>
      <w:r>
        <w:rPr>
          <w:rFonts w:ascii="Consolas" w:hAnsi="Consolas"/>
          <w:sz w:val="19"/>
        </w:rPr>
        <w:t>scripts/update-places.mjs</w:t>
      </w:r>
      <w:r>
        <w:t xml:space="preserve"> actualiza este último. El encuadre inicial de </w:t>
      </w:r>
      <w:r>
        <w:rPr>
          <w:rFonts w:ascii="Consolas" w:hAnsi="Consolas"/>
          <w:sz w:val="19"/>
        </w:rPr>
        <w:t>App.tsx</w:t>
      </w:r>
      <w:r>
        <w:t xml:space="preserve"> busca </w:t>
      </w:r>
      <w:r>
        <w:rPr>
          <w:rFonts w:ascii="Consolas" w:hAnsi="Consolas"/>
          <w:sz w:val="19"/>
        </w:rPr>
        <w:t>points</w:t>
      </w:r>
      <w:r>
        <w:t>: adáptalo si cambias ese identificador.</w:t>
      </w:r>
    </w:p>
    <w:p>
      <w:r>
        <w:t xml:space="preserve">Mantén separados cálculos y paneles. Una herramienta nueva necesita una función en </w:t>
      </w:r>
      <w:r>
        <w:rPr>
          <w:rFonts w:ascii="Consolas" w:hAnsi="Consolas"/>
          <w:sz w:val="19"/>
        </w:rPr>
        <w:t>src/lib/</w:t>
      </w:r>
      <w:r>
        <w:t xml:space="preserve">, un panel en </w:t>
      </w:r>
      <w:r>
        <w:rPr>
          <w:rFonts w:ascii="Consolas" w:hAnsi="Consolas"/>
          <w:sz w:val="19"/>
        </w:rPr>
        <w:t>src/components/</w:t>
      </w:r>
      <w:r>
        <w:t xml:space="preserve"> y su conexión en </w:t>
      </w:r>
      <w:r>
        <w:rPr>
          <w:rFonts w:ascii="Consolas" w:hAnsi="Consolas"/>
          <w:sz w:val="19"/>
        </w:rPr>
        <w:t>App.tsx</w:t>
      </w:r>
      <w:r>
        <w:t>. Prueba primero con datos conocidos.</w:t>
      </w:r>
    </w:p>
    <w:p>
      <w:pPr>
        <w:pStyle w:val="Heading1"/>
        <w:numPr>
          <w:ilvl w:val="0"/>
          <w:numId w:val="10"/>
        </w:numPr>
      </w:pPr>
      <w:bookmarkStart w:id="11" w:name="sec_11"/>
      <w:r>
        <w:t>Instalación en Windows</w:t>
      </w:r>
      <w:bookmarkEnd w:id="11"/>
    </w:p>
    <w:p>
      <w:r>
        <w:t>Instala Node.js 24 y abre la carpeta en Visual Studio Code. En PowerShell:</w:t>
      </w:r>
    </w:p>
    <w:p>
      <w:pPr>
        <w:pStyle w:val="CodeBlock"/>
        <w:keepNext/>
      </w:pPr>
      <w:r>
        <w:t>npm.cmd ci</w:t>
      </w:r>
    </w:p>
    <w:p>
      <w:pPr>
        <w:pStyle w:val="CodeBlock"/>
        <w:keepNext w:val="0"/>
      </w:pPr>
      <w:r>
        <w:t>npm.cmd run dev</w:t>
      </w:r>
    </w:p>
    <w:p>
      <w:pPr>
        <w:spacing w:after="20"/>
      </w:pPr>
    </w:p>
    <w:p>
      <w:r>
        <w:t xml:space="preserve">Abre </w:t>
      </w:r>
      <w:hyperlink r:id="rId10">
        <w:r>
          <w:rPr>
            <w:color w:val="000000"/>
            <w:u w:val="single"/>
          </w:rPr>
          <w:t>http://127.0.0.1:5173/</w:t>
        </w:r>
      </w:hyperlink>
      <w:r>
        <w:t>.</w:t>
      </w:r>
      <w:r>
        <w:t xml:space="preserve"> Express usa el puerto 3001. Ctrl+C detiene el proceso; detén servidores antes de reinstalar. </w:t>
      </w:r>
      <w:r>
        <w:rPr>
          <w:rFonts w:ascii="Consolas" w:hAnsi="Consolas"/>
          <w:sz w:val="19"/>
        </w:rPr>
        <w:t>npm.cmd run dev:static</w:t>
      </w:r>
      <w:r>
        <w:t xml:space="preserve"> prueba el modo sin backend. Para servir el proyecto local compilado, ejecuta </w:t>
      </w:r>
      <w:r>
        <w:rPr>
          <w:rFonts w:ascii="Consolas" w:hAnsi="Consolas"/>
          <w:sz w:val="19"/>
        </w:rPr>
        <w:t>npm.cmd run build</w:t>
      </w:r>
      <w:r>
        <w:t xml:space="preserve"> y después </w:t>
      </w:r>
      <w:r>
        <w:rPr>
          <w:rFonts w:ascii="Consolas" w:hAnsi="Consolas"/>
          <w:sz w:val="19"/>
        </w:rPr>
        <w:t>npm.cmd start</w:t>
      </w:r>
      <w:r>
        <w:t>; abre el puerto 3001.</w:t>
      </w:r>
    </w:p>
    <w:p>
      <w:pPr>
        <w:pStyle w:val="Heading1"/>
        <w:numPr>
          <w:ilvl w:val="0"/>
          <w:numId w:val="10"/>
        </w:numPr>
      </w:pPr>
      <w:bookmarkStart w:id="12" w:name="sec_12"/>
      <w:r>
        <w:t>Despliegue en GitHub Pages</w:t>
      </w:r>
      <w:bookmarkEnd w:id="12"/>
    </w:p>
    <w:p>
      <w:r>
        <w:rPr>
          <w:rFonts w:ascii="Consolas" w:hAnsi="Consolas"/>
          <w:sz w:val="19"/>
        </w:rPr>
        <w:t>.github/workflows/pages.yml</w:t>
      </w:r>
      <w:r>
        <w:t xml:space="preserve"> instala dependencias, ejecuta pruebas, compila con </w:t>
      </w:r>
      <w:r>
        <w:rPr>
          <w:rFonts w:ascii="Consolas" w:hAnsi="Consolas"/>
          <w:sz w:val="19"/>
        </w:rPr>
        <w:t>build:pages</w:t>
      </w:r>
      <w:r>
        <w:t xml:space="preserve"> y publica </w:t>
      </w:r>
      <w:r>
        <w:rPr>
          <w:rFonts w:ascii="Consolas" w:hAnsi="Consolas"/>
          <w:sz w:val="19"/>
        </w:rPr>
        <w:t>dist/</w:t>
      </w:r>
      <w:r>
        <w:t xml:space="preserve">. </w:t>
      </w:r>
      <w:r>
        <w:rPr>
          <w:rFonts w:ascii="Consolas" w:hAnsi="Consolas"/>
          <w:sz w:val="19"/>
        </w:rPr>
        <w:t>.env.static</w:t>
      </w:r>
      <w:r>
        <w:t xml:space="preserve"> selecciona almacenamiento en navegador. </w:t>
      </w:r>
      <w:r>
        <w:rPr>
          <w:rFonts w:ascii="Consolas" w:hAnsi="Consolas"/>
          <w:sz w:val="19"/>
        </w:rPr>
        <w:t>vite.config.ts</w:t>
      </w:r>
      <w:r>
        <w:t xml:space="preserve"> usa </w:t>
      </w:r>
      <w:r>
        <w:rPr>
          <w:rFonts w:ascii="Consolas" w:hAnsi="Consolas"/>
          <w:sz w:val="19"/>
        </w:rPr>
        <w:t>VITE_BASE_PATH</w:t>
      </w:r>
      <w:r>
        <w:t xml:space="preserve">; </w:t>
      </w:r>
      <w:r>
        <w:rPr>
          <w:rFonts w:ascii="Consolas" w:hAnsi="Consolas"/>
          <w:sz w:val="19"/>
        </w:rPr>
        <w:t>environment.ts</w:t>
      </w:r>
      <w:r>
        <w:t xml:space="preserve"> aplica esa base a los recursos, incluso bajo </w:t>
      </w:r>
      <w:r>
        <w:rPr>
          <w:rFonts w:ascii="Consolas" w:hAnsi="Consolas"/>
          <w:sz w:val="19"/>
        </w:rPr>
        <w:t>/visor-gis/</w:t>
      </w:r>
      <w:r>
        <w:t>.</w:t>
      </w:r>
    </w:p>
    <w:p>
      <w:r>
        <w:t xml:space="preserve">Para un repositorio nuevo, créalo en GitHub y ejecuta git init, git add, git commit, git branch, git remote add y git push. Si ya existe, revisa </w:t>
      </w:r>
      <w:r>
        <w:rPr>
          <w:rFonts w:ascii="Consolas" w:hAnsi="Consolas"/>
          <w:sz w:val="19"/>
        </w:rPr>
        <w:t>git remote -v</w:t>
      </w:r>
      <w:r>
        <w:t xml:space="preserve"> y reutiliza el remoto. </w:t>
      </w:r>
      <w:r>
        <w:rPr>
          <w:rFonts w:ascii="Consolas" w:hAnsi="Consolas"/>
          <w:sz w:val="19"/>
        </w:rPr>
        <w:t>docs/PAGES.md</w:t>
      </w:r>
      <w:r>
        <w:t xml:space="preserve"> contiene todos los comandos y la configuración de autor.</w:t>
      </w:r>
    </w:p>
    <w:p>
      <w:r>
        <w:t xml:space="preserve">En Settings → Pages elige GitHub Actions. Al subir a main o pulsar Run workflow, revisa pruebas, compilación y despliegue en Actions. La dirección aparece en Settings → Pages y en el workflow; para este repositorio es </w:t>
      </w:r>
      <w:hyperlink r:id="rId11">
        <w:r>
          <w:rPr>
            <w:color w:val="000000"/>
            <w:u w:val="single"/>
          </w:rPr>
          <w:t>https://alexing-uni.github.io/visor-gis/</w:t>
        </w:r>
      </w:hyperlink>
      <w:r>
        <w:t>.</w:t>
      </w:r>
      <w:r>
        <w:t xml:space="preserve"> Esto no implica que la 1.1 esté publicada.</w:t>
      </w:r>
    </w:p>
    <w:p>
      <w:r>
        <w:t xml:space="preserve">Para actualizar, ejecuta las pruebas y compilación, revisa </w:t>
      </w:r>
      <w:r>
        <w:rPr>
          <w:rFonts w:ascii="Consolas" w:hAnsi="Consolas"/>
          <w:sz w:val="19"/>
        </w:rPr>
        <w:t>git diff</w:t>
      </w:r>
      <w:r>
        <w:t xml:space="preserve">, crea un commit y haz push. Tras publicar correctamente, el workflow conserva el registro nuevo de Pages y elimina los anteriores de ese entorno. No borra commits ni ejecuciones de Actions; durante el despliegue pueden aparecer varios registros. Este envío a </w:t>
      </w:r>
      <w:r>
        <w:rPr>
          <w:rFonts w:ascii="Consolas" w:hAnsi="Consolas"/>
          <w:sz w:val="19"/>
        </w:rPr>
        <w:t>main</w:t>
      </w:r>
      <w:r>
        <w:t xml:space="preserve"> activa el workflow; confirma su resultado en GitHub Actions.</w:t>
      </w:r>
    </w:p>
    <w:p>
      <w:pPr>
        <w:pStyle w:val="Heading1"/>
        <w:numPr>
          <w:ilvl w:val="0"/>
          <w:numId w:val="10"/>
        </w:numPr>
      </w:pPr>
      <w:bookmarkStart w:id="13" w:name="sec_13"/>
      <w:r>
        <w:t>Backend y almacenamiento</w:t>
      </w:r>
      <w:bookmarkEnd w:id="13"/>
    </w:p>
    <w:p>
      <w:r>
        <w:rPr>
          <w:rFonts w:ascii="Consolas" w:hAnsi="Consolas"/>
          <w:sz w:val="19"/>
        </w:rPr>
        <w:t>server/index.js</w:t>
      </w:r>
      <w:r>
        <w:t xml:space="preserve"> arranca Express y abre </w:t>
      </w:r>
      <w:r>
        <w:rPr>
          <w:rFonts w:ascii="Consolas" w:hAnsi="Consolas"/>
          <w:sz w:val="19"/>
        </w:rPr>
        <w:t>server/visor.sqlite</w:t>
      </w:r>
      <w:r>
        <w:t xml:space="preserve">; </w:t>
      </w:r>
      <w:r>
        <w:rPr>
          <w:rFonts w:ascii="Consolas" w:hAnsi="Consolas"/>
          <w:sz w:val="19"/>
        </w:rPr>
        <w:t>server/app.js</w:t>
      </w:r>
      <w:r>
        <w:t xml:space="preserve"> define la API y </w:t>
      </w:r>
      <w:r>
        <w:rPr>
          <w:rFonts w:ascii="Consolas" w:hAnsi="Consolas"/>
          <w:sz w:val="19"/>
        </w:rPr>
        <w:t>server/database.js</w:t>
      </w:r>
      <w:r>
        <w:t xml:space="preserve"> gestiona la tabla de capas. SQLite guarda nombres, estilos, orden, visibilidad y referencias. Las geometrías originales siguen en GeoJSON, no en una base espacial.</w:t>
      </w:r>
    </w:p>
    <w:p>
      <w:r>
        <w:t>En Pages, IndexedDB guarda la configuración. Las importaciones usan IndexedDB en ambos modos; las preferencias WMS/WMTS usan localStorage. Rutas, selecciones y alcance viven en memoria: hay que exportarlos para conservarlos. Borrar los datos del sitio elimina lo guardado; otro origen web o dispositivo usa otro almacenamiento.</w:t>
      </w:r>
    </w:p>
    <w:p>
      <w:r>
        <w:t xml:space="preserve">Se mantiene el nombre interno </w:t>
      </w:r>
      <w:r>
        <w:rPr>
          <w:rFonts w:ascii="Consolas" w:hAnsi="Consolas"/>
          <w:sz w:val="19"/>
        </w:rPr>
        <w:t>visor-gis-v04</w:t>
      </w:r>
      <w:r>
        <w:t xml:space="preserve"> de IndexedDB y las claves existentes para no perder preferencias. Ese nombre identifica el almacén, no la versión visible. Pages no ejecuta Express ni SQLite. Compartir datos requiere backend externo; no hay cuentas ni sincronización.</w:t>
      </w:r>
    </w:p>
    <w:p>
      <w:pPr>
        <w:pStyle w:val="Heading1"/>
        <w:numPr>
          <w:ilvl w:val="0"/>
          <w:numId w:val="10"/>
        </w:numPr>
      </w:pPr>
      <w:bookmarkStart w:id="14" w:name="sec_14"/>
      <w:r>
        <w:t>Evolución futura</w:t>
      </w:r>
      <w:bookmarkEnd w:id="14"/>
    </w:p>
    <w:p>
      <w:r>
        <w:t>Una API con PostgreSQL/PostGIS permitiría compartir datos y consultar geometrías en el servidor. Usuarios y permisos controlarían quién consulta o modifica. Para grandes volúmenes convendrían servicios geográficos y teselas vectoriales que entreguen solo la zona necesaria. También queda optimizar la carga inicial y revisar dependencias. Son propuestas, no funciones de la 1.1.</w:t>
      </w:r>
    </w:p>
    <w:p>
      <w:pPr>
        <w:pStyle w:val="Heading1"/>
        <w:numPr>
          <w:ilvl w:val="0"/>
          <w:numId w:val="10"/>
        </w:numPr>
      </w:pPr>
      <w:bookmarkStart w:id="15" w:name="sec_15"/>
      <w:r>
        <w:t>Pruebas y límites</w:t>
      </w:r>
      <w:bookmarkEnd w:id="15"/>
    </w:p>
    <w:p>
      <w:r>
        <w:t xml:space="preserve">La batería actual contiene 48 pruebas de análisis, geometrías, API, almacenamiento, importación, rutas, imágenes, alturas y alcance. Incluye persistencia y operaciones que se revierten si fallan. El recuento se contrastó previamente en 45 casos con Shapely/GEOS, todos coincidentes; </w:t>
      </w:r>
      <w:r>
        <w:rPr>
          <w:rFonts w:ascii="Consolas" w:hAnsi="Consolas"/>
          <w:sz w:val="19"/>
        </w:rPr>
        <w:t>docs/count-audit.json</w:t>
      </w:r>
      <w:r>
        <w:t xml:space="preserve"> conserva los resultados. Esto respalda esos casos, no garantiza cualquier GeoJSON.</w:t>
      </w:r>
    </w:p>
    <w:p>
      <w:r>
        <w:t>Se verificaron compilaciones local y estática, rutas reales y fuentes oficiales. En la ampliación se probó un alcance real de 20 minutos desde Oviedo y se rechazó un origen en el océano. Se revisaron terreno, exageración cero, retorno a 2D y España con PNOA conservando Portugal en ambas vistas. Se han probado ventanas de escritorio, tableta y móvil, pero no dispositivos táctiles físicos ni todas las tarjetas gráficas.</w:t>
      </w:r>
    </w:p>
    <w:p>
      <w:pPr>
        <w:pStyle w:val="CodeBlock"/>
        <w:keepNext/>
      </w:pPr>
      <w:r>
        <w:t>npm.cmd test</w:t>
      </w:r>
    </w:p>
    <w:p>
      <w:pPr>
        <w:pStyle w:val="CodeBlock"/>
        <w:keepNext/>
      </w:pPr>
      <w:r>
        <w:t>npm.cmd run build</w:t>
      </w:r>
    </w:p>
    <w:p>
      <w:pPr>
        <w:pStyle w:val="CodeBlock"/>
        <w:keepNext/>
      </w:pPr>
      <w:r>
        <w:t>npm.cmd run build:pages</w:t>
      </w:r>
    </w:p>
    <w:p>
      <w:pPr>
        <w:pStyle w:val="CodeBlock"/>
        <w:keepNext w:val="0"/>
      </w:pPr>
      <w:r>
        <w:t>npm.cmd run check:routing</w:t>
      </w:r>
    </w:p>
    <w:p>
      <w:pPr>
        <w:spacing w:after="20"/>
      </w:pPr>
    </w:p>
    <w:p>
      <w:r>
        <w:t xml:space="preserve">Los servicios pueden fallar por cuota, conexión o cambios del proveedor. No se ha probado cualquier archivo grande; GeoJSON completos consumen memoria. La auditoría previa dejó 11 avisos transitivos de dependencias y persiste el aviso de tamaño de compilación. </w:t>
      </w:r>
      <w:r>
        <w:rPr>
          <w:rFonts w:ascii="Consolas" w:hAnsi="Consolas"/>
          <w:sz w:val="19"/>
        </w:rPr>
        <w:t>docs/VERIFICACION.md</w:t>
      </w:r>
      <w:r>
        <w:t xml:space="preserve"> distingue evidencias anteriores y actuales e indica el estado de revisión visual del Word.</w:t>
      </w:r>
    </w:p>
    <w:sectPr w:rsidR="00FC693F" w:rsidRPr="0006063C" w:rsidSect="00034616">
      <w:footerReference w:type="default" r:id="rId9"/>
      <w:pgSz w:w="11906" w:h="16838"/>
      <w:pgMar w:top="1247" w:right="1247" w:bottom="1191" w:left="124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Visor GIS 1.1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pStyle w:val="Heading1"/>
      <w:lvlText w:val="%1"/>
      <w:suff w:val="space"/>
      <w:lvlJc w:val="left"/>
    </w:lvl>
    <w:lvl w:ilvl="1">
      <w:start w:val="1"/>
      <w:numFmt w:val="decimal"/>
      <w:pStyle w:val="Heading2"/>
      <w:lvlText w:val="%1.%2"/>
      <w:suff w:val="space"/>
      <w:lvlJc w:val="left"/>
    </w:lvl>
    <w:lvl w:ilvl="2">
      <w:start w:val="1"/>
      <w:numFmt w:val="decimal"/>
      <w:pStyle w:val="Heading3"/>
      <w:lvlText w:val="%1.%2.%3"/>
      <w:suff w:val="space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40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after="0" w:line="252" w:lineRule="auto"/>
      <w:ind w:left="142"/>
    </w:pPr>
    <w:rPr>
      <w:rFonts w:ascii="Consolas" w:hAnsi="Consolas"/>
      <w:color w:val="000000"/>
      <w:sz w:val="18"/>
    </w:rPr>
  </w:style>
  <w:style w:type="paragraph" w:customStyle="1" w:styleId="ManualTOC1">
    <w:name w:val="Manual TOC 1"/>
    <w:pPr>
      <w:spacing w:after="80" w:line="240" w:lineRule="auto"/>
      <w:ind w:left="0"/>
    </w:pPr>
    <w:rPr>
      <w:rFonts w:ascii="Calibri" w:hAnsi="Calibri"/>
      <w:b/>
      <w:color w:val="000000"/>
      <w:sz w:val="21"/>
    </w:rPr>
  </w:style>
  <w:style w:type="paragraph" w:customStyle="1" w:styleId="ManualTOC2">
    <w:name w:val="Manual TOC 2"/>
    <w:pPr>
      <w:spacing w:after="80" w:line="240" w:lineRule="auto"/>
      <w:ind w:left="312"/>
    </w:pPr>
    <w:rPr>
      <w:rFonts w:ascii="Calibri" w:hAnsi="Calibri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127.0.0.1:5173/" TargetMode="External"/><Relationship Id="rId11" Type="http://schemas.openxmlformats.org/officeDocument/2006/relationships/hyperlink" Target="https://alexing-uni.github.io/visor-g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Visor GIS web versión 1.1</dc:title>
  <dc:subject>Informe resumido del visor GIS</dc:subject>
  <dc:creator>Proyecto Visor GIS</dc:creator>
  <cp:keywords>GIS, deck.gl, MapLibre, React, análisis, rutas, GitHub Pages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