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DB32" w14:textId="3379AB02" w:rsidR="002235E7" w:rsidRDefault="002235E7" w:rsidP="00461CEF">
      <w:pPr>
        <w:pStyle w:val="Title"/>
        <w:spacing w:line="276" w:lineRule="auto"/>
      </w:pPr>
      <w:r>
        <w:t>Extended Methods</w:t>
      </w:r>
    </w:p>
    <w:p w14:paraId="7F89E016" w14:textId="043CB2D5" w:rsidR="002B3F64" w:rsidRDefault="002B3F64" w:rsidP="00461CEF">
      <w:pPr>
        <w:spacing w:before="240" w:after="0" w:line="360" w:lineRule="auto"/>
        <w:jc w:val="both"/>
        <w:rPr>
          <w:bCs/>
          <w:lang w:val="en-AU"/>
        </w:rPr>
      </w:pPr>
      <w:r w:rsidRPr="00767AF6">
        <w:rPr>
          <w:rFonts w:cstheme="minorHAnsi"/>
          <w:lang w:val="en-AU"/>
        </w:rPr>
        <w:t>In this work we applied</w:t>
      </w:r>
      <w:r>
        <w:rPr>
          <w:rFonts w:cstheme="minorHAnsi"/>
          <w:lang w:val="en-AU"/>
        </w:rPr>
        <w:t xml:space="preserve"> the</w:t>
      </w:r>
      <w:r w:rsidRPr="00767AF6">
        <w:rPr>
          <w:rFonts w:cstheme="minorHAnsi"/>
          <w:lang w:val="en-AU"/>
        </w:rPr>
        <w:t xml:space="preserve"> </w:t>
      </w:r>
      <w:r w:rsidRPr="00767AF6">
        <w:rPr>
          <w:rFonts w:cstheme="minorHAnsi"/>
          <w:i/>
          <w:iCs/>
          <w:lang w:val="en-AU"/>
        </w:rPr>
        <w:t>Monopogen</w:t>
      </w:r>
      <w:r w:rsidRPr="00767AF6">
        <w:rPr>
          <w:rFonts w:cstheme="minorHAnsi"/>
          <w:lang w:val="en-AU"/>
        </w:rPr>
        <w:t xml:space="preserve"> SNV calling pipeline and our novel SNV-based nearest neighbor (NN) cell detection algorithm to </w:t>
      </w:r>
      <w:r>
        <w:rPr>
          <w:rFonts w:cstheme="minorHAnsi"/>
          <w:lang w:val="en-AU"/>
        </w:rPr>
        <w:t xml:space="preserve">a </w:t>
      </w:r>
      <w:r w:rsidRPr="00767AF6">
        <w:rPr>
          <w:rFonts w:cstheme="minorHAnsi"/>
          <w:lang w:val="en-AU"/>
        </w:rPr>
        <w:t xml:space="preserve">human carotid </w:t>
      </w:r>
      <w:r>
        <w:rPr>
          <w:rFonts w:cstheme="minorHAnsi"/>
          <w:lang w:val="en-AU"/>
        </w:rPr>
        <w:t>plaque</w:t>
      </w:r>
      <w:r w:rsidRPr="00767AF6">
        <w:rPr>
          <w:rFonts w:cstheme="minorHAnsi"/>
          <w:lang w:val="en-AU"/>
        </w:rPr>
        <w:t xml:space="preserve"> full-length scRNA-seq dataset of 5179 single cells generated with SMART-seq2 technology</w:t>
      </w:r>
      <w:r w:rsidR="00F45EB1">
        <w:rPr>
          <w:rFonts w:cstheme="minorHAnsi"/>
          <w:lang w:val="en-AU"/>
        </w:rPr>
        <w:fldChar w:fldCharType="begin"/>
      </w:r>
      <w:r w:rsidR="00F45EB1">
        <w:rPr>
          <w:rFonts w:cstheme="minorHAnsi"/>
          <w:lang w:val="en-AU"/>
        </w:rPr>
        <w:instrText xml:space="preserve"> ADDIN ZOTERO_ITEM CSL_CITATION {"citationID":"25T5hwwL","properties":{"formattedCitation":"(1)","plainCitation":"(1)","noteIndex":0},"citationItems":[{"id":151,"uris":["http://zotero.org/users/9995470/items/TG79KP9K"],"itemData":{"id":151,"type":"article-journal","abstract":"BACKGROUND:While our understanding of the single-cell gene expression patterns underlying the transformation of vascular cell types during the progression of atherosclerosis is rapidly improving, the clinical and pathophysiological relevance of these changes remains poorly understood.METHODS:Single-cell RNA sequencing data generated with SmartSeq2 (≈8000 genes/cell) in 16 588 single cells isolated during atherosclerosis progression in Ldlr−/−Apob100/100 mice with human-like plasma lipoproteins and from humans with asymptomatic and symptomatic carotid plaques was clustered into multiple subtypes. For clinical and pathophysiological context, the advanced-stage and symptomatic subtype clusters were integrated with 135 tissue-specific (atherosclerotic aortic wall, mammary artery, liver, skeletal muscle, and visceral and subcutaneous, fat) gene-regulatory networks (GRNs) inferred from 600 coronary artery disease patients in the STARNET (Stockholm-Tartu Atherosclerosis Reverse Network Engineering Task) study.RESULTS:Advanced stages of atherosclerosis progression and symptomatic carotid plaques were largely characterized by 3 smooth muscle cells (SMCs), and 3 macrophage subtype clusters with extracellular matrix organization/osteogenic (SMC), and M1-type proinflammatory/Trem2-high lipid-associated (macrophage) phenotypes. Integrative analysis of these 6 clusters with STARNET revealed significant enrichments of 3 arterial wall GRNs: GRN33 (macrophage), GRN39 (SMC), and GRN122 (macrophage) with major contributions to coronary artery disease heritability and strong associations with clinical scores of coronary atherosclerosis severity. The presence and pathophysiological relevance of GRN39 were verified in 5 independent RNAseq data sets obtained from the human coronary and aortic artery, and primary SMCs and by targeting its top-key drivers, FRZB and ALCAM in cultured human coronary artery SMCs.CONCLUSIONS:By identifying and integrating the most gene-rich single-cell subclusters of atherosclerosis to date with a coronary artery disease framework of GRNs, GRN39 was identified and independently validated as being critical for the transformation of contractile SMCs into an osteogenic phenotype promoting advanced, symptomatic atherosclerosis.","container-title":"Circulation Research","DOI":"10.1161/CIRCRESAHA.123.323184","issue":"11","note":"publisher: American Heart Association","page":"1405-1423","source":"ahajournals.org (Atypon)","title":"Single-Cell Gene-Regulatory Networks of Advanced Symptomatic Atherosclerosis","volume":"134","author":[{"family":"Mocci","given":"Giuseppe"},{"family":"Sukhavasi","given":"Katyayani"},{"family":"Örd","given":"Tiit"},{"family":"Bankier","given":"Sean"},{"family":"Singha","given":"Prosanta"},{"family":"Arasu","given":"Uma Thanigai"},{"family":"Agbabiaje","given":"Olayinka Oluwasegun"},{"family":"Mäkinen","given":"Petri"},{"family":"Ma","given":"Lijiang"},{"family":"Hodonsky","given":"Chani J."},{"family":"Aherrahrou","given":"Redouane"},{"family":"Muhl","given":"Lars"},{"family":"Liu","given":"Jianping"},{"family":"Gustafsson","given":"Sonja"},{"family":"Byandelger","given":"Byambajav"},{"family":"Wang","given":"Ying"},{"family":"Koplev","given":"Simon"},{"family":"Lendahl","given":"Urban"},{"family":"Owens","given":"Gary K."},{"family":"Leeper","given":"Nicholas J."},{"family":"Pasterkamp","given":"Gerard"},{"family":"Vanlandewijck","given":"Michael"},{"family":"Michoel","given":"Tom"},{"family":"Ruusalepp","given":"Arno"},{"family":"Hao","given":"Ke"},{"family":"Ylä-Herttuala","given":"Seppo"},{"family":"Väli","given":"Marika"},{"family":"Järve","given":"Heli"},{"family":"Mokry","given":"Michal"},{"family":"Civelek","given":"Mete"},{"family":"Miller","given":"Clint J."},{"family":"Kovacic","given":"Jason C."},{"family":"Kaikkonen","given":"Minna U."},{"family":"Betsholtz","given":"Christer"},{"family":"Björkegren","given":"Johan L.M."}],"issued":{"date-parts":[["2024",5,24]]}}}],"schema":"https://github.com/citation-style-language/schema/raw/master/csl-citation.json"} </w:instrText>
      </w:r>
      <w:r w:rsidR="00F45EB1">
        <w:rPr>
          <w:rFonts w:cstheme="minorHAnsi"/>
          <w:lang w:val="en-AU"/>
        </w:rPr>
        <w:fldChar w:fldCharType="separate"/>
      </w:r>
      <w:r w:rsidR="00F45EB1" w:rsidRPr="00F45EB1">
        <w:rPr>
          <w:rFonts w:ascii="Calibri" w:hAnsi="Calibri" w:cs="Calibri"/>
          <w:lang w:val="en-AU"/>
        </w:rPr>
        <w:t>(1)</w:t>
      </w:r>
      <w:r w:rsidR="00F45EB1">
        <w:rPr>
          <w:rFonts w:cstheme="minorHAnsi"/>
          <w:lang w:val="en-AU"/>
        </w:rPr>
        <w:fldChar w:fldCharType="end"/>
      </w:r>
      <w:r w:rsidR="00810C2E">
        <w:rPr>
          <w:rFonts w:cstheme="minorHAnsi"/>
          <w:lang w:val="en-AU"/>
        </w:rPr>
        <w:t>. We validated the pipeline on a</w:t>
      </w:r>
      <w:r>
        <w:rPr>
          <w:rFonts w:cstheme="minorHAnsi"/>
          <w:lang w:val="en-AU"/>
        </w:rPr>
        <w:t xml:space="preserve"> </w:t>
      </w:r>
      <w:r w:rsidRPr="00767AF6">
        <w:rPr>
          <w:rFonts w:cstheme="minorHAnsi"/>
          <w:lang w:val="en-AU"/>
        </w:rPr>
        <w:t xml:space="preserve">human scRNA-seq dataset of 3882 T-cells (10X Genomics) </w:t>
      </w:r>
      <w:r w:rsidR="00810C2E">
        <w:rPr>
          <w:rFonts w:cstheme="minorHAnsi"/>
          <w:lang w:val="en-AU"/>
        </w:rPr>
        <w:t>benchmarking the results against</w:t>
      </w:r>
      <w:r w:rsidRPr="00767AF6">
        <w:rPr>
          <w:rFonts w:cstheme="minorHAnsi"/>
          <w:lang w:val="en-AU"/>
        </w:rPr>
        <w:t xml:space="preserve"> TCR-seq information</w:t>
      </w:r>
      <w:r w:rsidRPr="00767AF6">
        <w:rPr>
          <w:rFonts w:cstheme="minorHAnsi"/>
          <w:lang w:val="en-AU"/>
        </w:rPr>
        <w:fldChar w:fldCharType="begin"/>
      </w:r>
      <w:r w:rsidR="00F45EB1">
        <w:rPr>
          <w:rFonts w:cstheme="minorHAnsi"/>
          <w:lang w:val="en-AU"/>
        </w:rPr>
        <w:instrText xml:space="preserve"> ADDIN ZOTERO_ITEM CSL_CITATION {"citationID":"bSJABuvT","properties":{"formattedCitation":"(2)","plainCitation":"(2)","noteIndex":0},"citationItems":[{"id":757,"uris":["http://zotero.org/users/9995470/items/V4TRV9D2"],"itemData":{"id":757,"type":"article-journal","abstract":"The DNAJB1-PRKACA fusion transcript is the oncogenic driver in fibrolamellar hepatocellular carcinoma, a lethal disease lacking specific therapies. This study reports on the identification, characterization, and immunotherapeutic application of HLA-presented neoantigens specific for the DNAJB1-PRKACA fusion transcript in fibrolamellar hepatocellular carcinoma. DNAJB1-PRKACA-derived HLA class I and HLA class II ligands induce multifunctional cytotoxic CD8+ and T-helper 1 CD4+ T cells, and their cellular processing and presentation in DNAJB1-PRKACA expressing tumor cells is demonstrated by mass spectrometry-based immunopeptidome analysis. Single-cell RNA sequencing further identifies multiple T cell receptors from DNAJB1-PRKACA-specific T cells. Vaccination of a fibrolamellar hepatocellular carcinoma patient, suffering from recurrent short interval disease relapses, with DNAJB1-PRKACA-derived peptides under continued Poly (ADP-ribose) polymerase inhibitor therapy induces multifunctional CD4+ T cells, with an activated T-helper 1 phenotype and high T cell receptor clonality. Vaccine-induced DNAJB1-PRKACA-specific T cell responses persist over time and, in contrast to various previous treatments, are accompanied by durable relapse free survival of the patient for more than 21 months post vaccination. Our preclinical and clinical findings identify the DNAJB1-PRKACA protein as source for immunogenic neoepitopes and corresponding T cell receptors and provide efficacy in a single-patient study of T cell-based immunotherapy specifically targeting this oncogenic fusion.","container-title":"Nature Communications","DOI":"10.1038/s41467-022-33746-3","ISSN":"2041-1723","issue":"1","journalAbbreviation":"Nat Commun","language":"en","license":"2022 The Author(s)","note":"publisher: Nature Publishing Group","page":"6401","source":"www.nature.com","title":"The oncogenic fusion protein DNAJB1-PRKACA can be specifically targeted by peptide-based immunotherapy in fibrolamellar hepatocellular carcinoma","volume":"13","author":[{"family":"Bauer","given":"Jens"},{"family":"Köhler","given":"Natalie"},{"family":"Maringer","given":"Yacine"},{"family":"Bucher","given":"Philip"},{"family":"Bilich","given":"Tatjana"},{"family":"Zwick","given":"Melissa"},{"family":"Dicks","given":"Severin"},{"family":"Nelde","given":"Annika"},{"family":"Dubbelaar","given":"Marissa"},{"family":"Scheid","given":"Jonas"},{"family":"Wacker","given":"Marcel"},{"family":"Heitmann","given":"Jonas S."},{"family":"Schroeder","given":"Sarah"},{"family":"Rieth","given":"Jonas"},{"family":"Denk","given":"Monika"},{"family":"Richter","given":"Marion"},{"family":"Klein","given":"Reinhild"},{"family":"Bonzheim","given":"Irina"},{"family":"Luibrand","given":"Julia"},{"family":"Holzer","given":"Ursula"},{"family":"Ebinger","given":"Martin"},{"family":"Brecht","given":"Ines B."},{"family":"Bitzer","given":"Michael"},{"family":"Boerries","given":"Melanie"},{"family":"Feucht","given":"Judith"},{"family":"Salih","given":"Helmut R."},{"family":"Rammensee","given":"Hans-Georg"},{"family":"Hailfinger","given":"Stephan"},{"family":"Walz","given":"Juliane S."}],"issued":{"date-parts":[["2022",10,27]]}}}],"schema":"https://github.com/citation-style-language/schema/raw/master/csl-citation.json"} </w:instrText>
      </w:r>
      <w:r w:rsidRPr="00767AF6">
        <w:rPr>
          <w:rFonts w:cstheme="minorHAnsi"/>
          <w:lang w:val="en-AU"/>
        </w:rPr>
        <w:fldChar w:fldCharType="separate"/>
      </w:r>
      <w:r w:rsidR="00F45EB1" w:rsidRPr="00F45EB1">
        <w:rPr>
          <w:rFonts w:ascii="Calibri" w:hAnsi="Calibri" w:cs="Calibri"/>
          <w:lang w:val="en-AU"/>
        </w:rPr>
        <w:t>(2)</w:t>
      </w:r>
      <w:r w:rsidRPr="00767AF6">
        <w:rPr>
          <w:rFonts w:cstheme="minorHAnsi"/>
          <w:lang w:val="en-AU"/>
        </w:rPr>
        <w:fldChar w:fldCharType="end"/>
      </w:r>
      <w:r w:rsidR="00810C2E">
        <w:rPr>
          <w:rFonts w:cstheme="minorHAnsi"/>
          <w:lang w:val="en-AU"/>
        </w:rPr>
        <w:t xml:space="preserve">. And lastly, </w:t>
      </w:r>
      <w:r>
        <w:rPr>
          <w:rFonts w:cstheme="minorHAnsi"/>
          <w:lang w:val="en-AU"/>
        </w:rPr>
        <w:t xml:space="preserve"> </w:t>
      </w:r>
      <w:r w:rsidR="00F45EB1">
        <w:rPr>
          <w:rFonts w:cstheme="minorHAnsi"/>
          <w:lang w:val="en-AU"/>
        </w:rPr>
        <w:t xml:space="preserve">an independent </w:t>
      </w:r>
      <w:r>
        <w:rPr>
          <w:rFonts w:cstheme="minorHAnsi"/>
          <w:lang w:val="en-AU"/>
        </w:rPr>
        <w:t xml:space="preserve">high-throughput </w:t>
      </w:r>
      <w:r w:rsidR="00F45EB1">
        <w:rPr>
          <w:rFonts w:cstheme="minorHAnsi"/>
          <w:lang w:val="en-AU"/>
        </w:rPr>
        <w:t>(10X Genomics)</w:t>
      </w:r>
      <w:r>
        <w:rPr>
          <w:rFonts w:cstheme="minorHAnsi"/>
          <w:lang w:val="en-AU"/>
        </w:rPr>
        <w:t xml:space="preserve"> human carotid plaque dataset</w:t>
      </w:r>
      <w:r>
        <w:rPr>
          <w:rFonts w:cstheme="minorHAnsi"/>
          <w:lang w:val="en-AU"/>
        </w:rPr>
        <w:fldChar w:fldCharType="begin"/>
      </w:r>
      <w:r w:rsidR="00F45EB1">
        <w:rPr>
          <w:rFonts w:cstheme="minorHAnsi"/>
          <w:lang w:val="en-AU"/>
        </w:rPr>
        <w:instrText xml:space="preserve"> ADDIN ZOTERO_ITEM CSL_CITATION {"citationID":"Nekj62Qw","properties":{"formattedCitation":"(3)","plainCitation":"(3)","noteIndex":0},"citationItems":[{"id":808,"uris":["http://zotero.org/users/9995470/items/5YFTKICJ"],"itemData":{"id":808,"type":"article-journal","abstract":"BACKGROUND:Atherosclerotic plaques are complex tissues composed of a heterogeneous mixture of cells. However, our understanding of the comprehensive transcriptional and phenotypic landscape of the cells within these lesions is limited.METHODS:To characterize the landscape of human carotid atherosclerosis in greater detail, we combined cellular indexing of transcriptomes and epitopes by sequencing and single-cell RNA sequencing to classify all cell types within lesions (n=21; 13 symptomatic) to achieve a comprehensive multimodal understanding of the cellular identities of atherosclerosis and their association with clinical pathophysiology.RESULTS:We identified 25 cell populations, each with a unique multiomic signature, including macrophages, T cells, NK (natural killer) cells, mast cells, B cells, plasma cells, neutrophils, dendritic cells, endothelial cells, fibroblasts, and smooth muscle cells (SMCs). Among the macrophages, we identified 2 proinflammatory subsets enriched in IL-1B (interleukin-1B) or C1Q expression, 2 TREM2-positive foam cells (1 expressing inflammatory genes), and subpopulations with a proliferative gene signature and SMC-specific gene signature with fibrotic pathways upregulated. Further characterization revealed various subsets of SMCs and fibroblasts, including SMC-derived foam cells. These foamy SMCs were localized in the deep intima of coronary atherosclerotic lesions. Utilizing cellular indexing of transcriptomes and epitopes by sequencing data, we developed a flow cytometry panel, using cell surface proteins CD29, CD142, and CD90, to isolate SMC-derived cells from lesions. Lastly, we observed reduced proportions of efferocytotic macrophages, classically activated endothelial cells, and contractile and modulated SMC-derived cells, while inflammatory SMCs were enriched in plaques of clinically symptomatic versus asymptomatic patients.CONCLUSIONS:Our multimodal atlas of cell populations within atherosclerosis provides novel insights into the diversity, phenotype, location, isolation, and clinical relevance of the unique cellular composition of human carotid atherosclerosis. These findings facilitate both the mapping of cardiovascular disease susceptibility loci to specific cell types and the identification of novel molecular and cellular therapeutic targets for the treatment of the disease.","container-title":"Arteriosclerosis, Thrombosis, and Vascular Biology","DOI":"10.1161/ATVBAHA.123.320524","issue":"4","note":"publisher: American Heart Association","page":"930-945","source":"ahajournals.org (Atypon)","title":"High-Dimensional Single-Cell Multimodal Landscape of Human Carotid Atherosclerosis","volume":"44","author":[{"family":"Bashore","given":"Alexander C."},{"family":"Yan","given":"Hanying"},{"family":"Xue","given":"Chenyi"},{"family":"Zhu","given":"Lucie Y."},{"family":"Kim","given":"Eunyoung"},{"family":"Mawson","given":"Thomas"},{"family":"Coronel","given":"Johana"},{"family":"Chung","given":"Allen"},{"family":"Sachs","given":"Nadja"},{"family":"Ho","given":"Sebastian"},{"family":"Ross","given":"Leila S."},{"family":"Kissner","given":"Michael"},{"family":"Passegué","given":"Emmanuelle"},{"family":"Bauer","given":"Robert C."},{"family":"Maegdefessel","given":"Lars"},{"family":"Li","given":"Mingyao"},{"family":"Reilly","given":"Muredach P."}],"issued":{"date-parts":[["2024",4]]}}}],"schema":"https://github.com/citation-style-language/schema/raw/master/csl-citation.json"} </w:instrText>
      </w:r>
      <w:r>
        <w:rPr>
          <w:rFonts w:cstheme="minorHAnsi"/>
          <w:lang w:val="en-AU"/>
        </w:rPr>
        <w:fldChar w:fldCharType="separate"/>
      </w:r>
      <w:r w:rsidR="00F45EB1" w:rsidRPr="00F45EB1">
        <w:rPr>
          <w:rFonts w:ascii="Calibri" w:hAnsi="Calibri" w:cs="Calibri"/>
          <w:lang w:val="en-AU"/>
        </w:rPr>
        <w:t>(3)</w:t>
      </w:r>
      <w:r>
        <w:rPr>
          <w:rFonts w:cstheme="minorHAnsi"/>
          <w:lang w:val="en-AU"/>
        </w:rPr>
        <w:fldChar w:fldCharType="end"/>
      </w:r>
      <w:r>
        <w:rPr>
          <w:rFonts w:cstheme="minorHAnsi"/>
          <w:lang w:val="en-AU"/>
        </w:rPr>
        <w:t xml:space="preserve"> of </w:t>
      </w:r>
      <w:r w:rsidRPr="00782C8E">
        <w:rPr>
          <w:rFonts w:cstheme="minorHAnsi"/>
          <w:lang w:val="en-AU"/>
        </w:rPr>
        <w:t xml:space="preserve">34049 </w:t>
      </w:r>
      <w:r>
        <w:rPr>
          <w:rFonts w:cstheme="minorHAnsi"/>
          <w:lang w:val="en-AU"/>
        </w:rPr>
        <w:t>cells</w:t>
      </w:r>
      <w:r w:rsidR="00F45EB1">
        <w:rPr>
          <w:rFonts w:cstheme="minorHAnsi"/>
          <w:lang w:val="en-AU"/>
        </w:rPr>
        <w:t xml:space="preserve"> was utilised for SNV calling in a high cellular diversity dataset</w:t>
      </w:r>
      <w:r w:rsidRPr="00767AF6">
        <w:rPr>
          <w:rFonts w:cstheme="minorHAnsi"/>
          <w:lang w:val="en-AU"/>
        </w:rPr>
        <w:t>.</w:t>
      </w:r>
    </w:p>
    <w:p w14:paraId="6D061AC5" w14:textId="7F6F7685" w:rsidR="006828EF" w:rsidRPr="001D1ED0" w:rsidRDefault="00F45EB1" w:rsidP="00461CEF">
      <w:pPr>
        <w:spacing w:before="240" w:after="0" w:line="360" w:lineRule="auto"/>
        <w:jc w:val="both"/>
        <w:rPr>
          <w:lang w:val="en-AU"/>
        </w:rPr>
      </w:pPr>
      <w:r>
        <w:rPr>
          <w:bCs/>
          <w:lang w:val="en-AU"/>
        </w:rPr>
        <w:t>W</w:t>
      </w:r>
      <w:r w:rsidR="00723C3D">
        <w:rPr>
          <w:bCs/>
          <w:lang w:val="en-AU"/>
        </w:rPr>
        <w:t xml:space="preserve">e applied </w:t>
      </w:r>
      <w:r w:rsidR="00723C3D" w:rsidRPr="002361E7">
        <w:rPr>
          <w:bCs/>
          <w:i/>
          <w:iCs/>
          <w:lang w:val="en-AU"/>
        </w:rPr>
        <w:t>Monopogen</w:t>
      </w:r>
      <w:r w:rsidR="00723C3D">
        <w:rPr>
          <w:bCs/>
          <w:lang w:val="en-AU"/>
        </w:rPr>
        <w:t xml:space="preserve"> SNV calling pipeline </w:t>
      </w:r>
      <w:r>
        <w:rPr>
          <w:bCs/>
          <w:lang w:val="en-AU"/>
        </w:rPr>
        <w:t xml:space="preserve">with default parameters </w:t>
      </w:r>
      <w:r w:rsidR="00723C3D">
        <w:rPr>
          <w:bCs/>
          <w:lang w:val="en-AU"/>
        </w:rPr>
        <w:t xml:space="preserve">to human carotid artery full-length scRNA-seq dataset of </w:t>
      </w:r>
      <w:r w:rsidR="00723C3D" w:rsidRPr="00EA75B3">
        <w:rPr>
          <w:bCs/>
          <w:lang w:val="en-AU"/>
        </w:rPr>
        <w:t>5179</w:t>
      </w:r>
      <w:r w:rsidR="00723C3D">
        <w:rPr>
          <w:bCs/>
          <w:lang w:val="en-AU"/>
        </w:rPr>
        <w:t xml:space="preserve"> single cells generated with SMART-seq2 technology by Mocci et al. (GSE260657)</w:t>
      </w:r>
      <w:r>
        <w:rPr>
          <w:bCs/>
          <w:lang w:val="en-AU"/>
        </w:rPr>
        <w:t>. First, raw</w:t>
      </w:r>
      <w:r w:rsidR="00723C3D">
        <w:rPr>
          <w:bCs/>
          <w:lang w:val="en-AU"/>
        </w:rPr>
        <w:t xml:space="preserve"> </w:t>
      </w:r>
      <w:r>
        <w:rPr>
          <w:bCs/>
          <w:lang w:val="en-AU"/>
        </w:rPr>
        <w:t>f</w:t>
      </w:r>
      <w:r w:rsidR="00EE5F0F" w:rsidRPr="00AD46E8">
        <w:rPr>
          <w:bCs/>
          <w:lang w:val="en-AU"/>
        </w:rPr>
        <w:t>astq files were</w:t>
      </w:r>
      <w:r w:rsidR="00EE5F0F">
        <w:rPr>
          <w:bCs/>
          <w:lang w:val="en-AU"/>
        </w:rPr>
        <w:t xml:space="preserve"> trimmed by Trimmomatic-0.39 </w:t>
      </w:r>
      <w:r>
        <w:rPr>
          <w:bCs/>
          <w:lang w:val="en-AU"/>
        </w:rPr>
        <w:t xml:space="preserve">to remove adaptor sequences </w:t>
      </w:r>
      <w:r w:rsidR="00EE5F0F">
        <w:rPr>
          <w:bCs/>
          <w:lang w:val="en-AU"/>
        </w:rPr>
        <w:t>and</w:t>
      </w:r>
      <w:r w:rsidR="00EE5F0F" w:rsidRPr="00AD46E8">
        <w:rPr>
          <w:bCs/>
          <w:lang w:val="en-AU"/>
        </w:rPr>
        <w:t xml:space="preserve"> </w:t>
      </w:r>
      <w:r>
        <w:rPr>
          <w:bCs/>
          <w:lang w:val="en-AU"/>
        </w:rPr>
        <w:t xml:space="preserve">subsequently </w:t>
      </w:r>
      <w:r w:rsidR="00EE5F0F" w:rsidRPr="00AD46E8">
        <w:rPr>
          <w:bCs/>
          <w:lang w:val="en-AU"/>
        </w:rPr>
        <w:t xml:space="preserve">aligned to </w:t>
      </w:r>
      <w:r w:rsidR="00EE5F0F">
        <w:rPr>
          <w:bCs/>
          <w:lang w:val="en-AU"/>
        </w:rPr>
        <w:t>human</w:t>
      </w:r>
      <w:r w:rsidR="00EE5F0F" w:rsidRPr="00AD46E8">
        <w:rPr>
          <w:bCs/>
          <w:lang w:val="en-AU"/>
        </w:rPr>
        <w:t xml:space="preserve"> reference genome </w:t>
      </w:r>
      <w:r w:rsidR="00EE5F0F">
        <w:rPr>
          <w:bCs/>
          <w:lang w:val="en-AU"/>
        </w:rPr>
        <w:t>GRCh38</w:t>
      </w:r>
      <w:r w:rsidR="00EE5F0F" w:rsidRPr="00AD46E8">
        <w:rPr>
          <w:bCs/>
          <w:lang w:val="en-AU"/>
        </w:rPr>
        <w:t xml:space="preserve"> individually using </w:t>
      </w:r>
      <w:r w:rsidR="00EE5F0F">
        <w:rPr>
          <w:bCs/>
          <w:lang w:val="en-AU"/>
        </w:rPr>
        <w:t>STAR-2.7.11b package. Cell feature counts were calculated using subread-2.0.6 package. Cell-specific aligned bam files were merged and cell-tag labelled by patient (13 patients in total) excluding very low cell count patients (</w:t>
      </w:r>
      <w:r w:rsidR="00EE5F0F" w:rsidRPr="006021A0">
        <w:rPr>
          <w:bCs/>
          <w:lang w:val="en-AU"/>
        </w:rPr>
        <w:t>SRX23809081</w:t>
      </w:r>
      <w:r w:rsidR="00EE5F0F">
        <w:rPr>
          <w:bCs/>
          <w:lang w:val="en-AU"/>
        </w:rPr>
        <w:t xml:space="preserve"> and </w:t>
      </w:r>
      <w:r w:rsidR="00EE5F0F" w:rsidRPr="006021A0">
        <w:rPr>
          <w:bCs/>
          <w:lang w:val="en-AU"/>
        </w:rPr>
        <w:t>SRX2380908</w:t>
      </w:r>
      <w:r w:rsidR="00EE5F0F">
        <w:rPr>
          <w:bCs/>
          <w:lang w:val="en-AU"/>
        </w:rPr>
        <w:t xml:space="preserve">4). </w:t>
      </w:r>
      <w:r w:rsidR="00EE5F0F" w:rsidRPr="0028559E">
        <w:rPr>
          <w:bCs/>
          <w:i/>
          <w:iCs/>
          <w:lang w:val="en-AU"/>
        </w:rPr>
        <w:t>Monopogen</w:t>
      </w:r>
      <w:r w:rsidR="00EE5F0F">
        <w:rPr>
          <w:bCs/>
          <w:lang w:val="en-AU"/>
        </w:rPr>
        <w:t xml:space="preserve"> SNV calling pipeline as described by Dou et al. was applied to this dataset. Single-cell SNV matrix was filtered for high quality germline and somatic SNVs (</w:t>
      </w:r>
      <w:r w:rsidR="00EE5F0F" w:rsidRPr="0028559E">
        <w:rPr>
          <w:bCs/>
          <w:lang w:val="en-AU"/>
        </w:rPr>
        <w:t>Depth_ref&gt;5</w:t>
      </w:r>
      <w:r w:rsidR="00EE5F0F">
        <w:rPr>
          <w:bCs/>
          <w:lang w:val="en-AU"/>
        </w:rPr>
        <w:t xml:space="preserve">, </w:t>
      </w:r>
      <w:r w:rsidR="00EE5F0F" w:rsidRPr="0028559E">
        <w:rPr>
          <w:bCs/>
          <w:lang w:val="en-AU"/>
        </w:rPr>
        <w:t>Depth_alt&gt;5</w:t>
      </w:r>
      <w:r w:rsidR="00EE5F0F">
        <w:rPr>
          <w:bCs/>
          <w:lang w:val="en-AU"/>
        </w:rPr>
        <w:t xml:space="preserve"> and </w:t>
      </w:r>
      <w:r w:rsidR="00EE5F0F" w:rsidRPr="0028559E">
        <w:rPr>
          <w:bCs/>
          <w:lang w:val="en-AU"/>
        </w:rPr>
        <w:t>SVM_pos_score&gt;0.1</w:t>
      </w:r>
      <w:r w:rsidR="00EE5F0F">
        <w:rPr>
          <w:bCs/>
          <w:lang w:val="en-AU"/>
        </w:rPr>
        <w:t xml:space="preserve">). </w:t>
      </w:r>
      <w:r w:rsidR="00EE5F0F" w:rsidRPr="000F0B80">
        <w:rPr>
          <w:lang w:val="en-AU"/>
        </w:rPr>
        <w:t>Data processing was conducted in R 4.</w:t>
      </w:r>
      <w:r w:rsidR="00EE5F0F">
        <w:rPr>
          <w:lang w:val="en-AU"/>
        </w:rPr>
        <w:t>4.3</w:t>
      </w:r>
      <w:r w:rsidR="00EE5F0F" w:rsidRPr="000F0B80">
        <w:rPr>
          <w:lang w:val="en-AU"/>
        </w:rPr>
        <w:t xml:space="preserve"> using Seurat </w:t>
      </w:r>
      <w:r w:rsidR="00EE5F0F">
        <w:rPr>
          <w:lang w:val="en-AU"/>
        </w:rPr>
        <w:t>5</w:t>
      </w:r>
      <w:r w:rsidR="00EE5F0F" w:rsidRPr="000F0B80">
        <w:rPr>
          <w:lang w:val="en-AU"/>
        </w:rPr>
        <w:t>.</w:t>
      </w:r>
      <w:r w:rsidR="00EE5F0F">
        <w:rPr>
          <w:lang w:val="en-AU"/>
        </w:rPr>
        <w:t>3</w:t>
      </w:r>
      <w:r w:rsidR="00EE5F0F" w:rsidRPr="000F0B80">
        <w:rPr>
          <w:lang w:val="en-AU"/>
        </w:rPr>
        <w:t>.</w:t>
      </w:r>
      <w:r w:rsidR="00EE5F0F">
        <w:rPr>
          <w:lang w:val="en-AU"/>
        </w:rPr>
        <w:t>0 version.</w:t>
      </w:r>
      <w:r w:rsidR="00EE5F0F">
        <w:rPr>
          <w:bCs/>
          <w:lang w:val="en-AU"/>
        </w:rPr>
        <w:t xml:space="preserve"> </w:t>
      </w:r>
      <w:r w:rsidR="003C73A2">
        <w:rPr>
          <w:bCs/>
          <w:lang w:val="en-AU"/>
        </w:rPr>
        <w:t xml:space="preserve">In brief, </w:t>
      </w:r>
      <w:r w:rsidR="00EA457D" w:rsidRPr="0047658A">
        <w:rPr>
          <w:lang w:val="en-AU"/>
        </w:rPr>
        <w:t>the</w:t>
      </w:r>
      <w:r w:rsidR="003C73A2" w:rsidRPr="0047658A">
        <w:rPr>
          <w:lang w:val="en-AU"/>
        </w:rPr>
        <w:t xml:space="preserve"> raw count matrices were imported and filtered based on the following criteria: </w:t>
      </w:r>
      <w:r w:rsidR="00F75420" w:rsidRPr="00F75420">
        <w:rPr>
          <w:i/>
          <w:iCs/>
          <w:lang w:val="en-AU"/>
        </w:rPr>
        <w:t>nFeature_RNA &gt; 1000 &amp; nFeature_RNA &lt; 10000 &amp; nCount_RNA &gt; 10000 &amp; nCount_RNA &lt; 1000000</w:t>
      </w:r>
      <w:r w:rsidR="003C73A2" w:rsidRPr="0047658A">
        <w:rPr>
          <w:lang w:val="en-AU"/>
        </w:rPr>
        <w:t xml:space="preserve">, and </w:t>
      </w:r>
      <w:r w:rsidR="003C73A2" w:rsidRPr="0047658A">
        <w:rPr>
          <w:i/>
          <w:iCs/>
          <w:lang w:val="en-AU"/>
        </w:rPr>
        <w:t>percent.mt</w:t>
      </w:r>
      <w:r w:rsidR="003C73A2" w:rsidRPr="0047658A">
        <w:rPr>
          <w:lang w:val="en-AU"/>
        </w:rPr>
        <w:t xml:space="preserve"> &lt; 15</w:t>
      </w:r>
      <w:r w:rsidR="00F75420">
        <w:rPr>
          <w:lang w:val="en-AU"/>
        </w:rPr>
        <w:t xml:space="preserve">. </w:t>
      </w:r>
      <w:r w:rsidR="00F75420" w:rsidRPr="0047658A">
        <w:rPr>
          <w:lang w:val="en-AU"/>
        </w:rPr>
        <w:t>Principal component analysis (PCA) was conducted with default parameters</w:t>
      </w:r>
      <w:r w:rsidR="00EA457D">
        <w:rPr>
          <w:lang w:val="en-AU"/>
        </w:rPr>
        <w:t xml:space="preserve">, </w:t>
      </w:r>
      <w:r w:rsidR="00EA457D" w:rsidRPr="00EA457D">
        <w:rPr>
          <w:lang w:val="en-AU"/>
        </w:rPr>
        <w:t>FindNeighbors</w:t>
      </w:r>
      <w:r w:rsidR="00EA457D">
        <w:rPr>
          <w:lang w:val="en-AU"/>
        </w:rPr>
        <w:t>, FindClusters (resolution=0.1) and</w:t>
      </w:r>
      <w:r w:rsidR="00F75420">
        <w:rPr>
          <w:lang w:val="en-AU"/>
        </w:rPr>
        <w:t xml:space="preserve"> UMAP embedding</w:t>
      </w:r>
      <w:r w:rsidR="00F75420" w:rsidRPr="0047658A">
        <w:rPr>
          <w:lang w:val="en-AU"/>
        </w:rPr>
        <w:t xml:space="preserve"> using the first </w:t>
      </w:r>
      <w:r w:rsidR="00F75420">
        <w:rPr>
          <w:lang w:val="en-AU"/>
        </w:rPr>
        <w:t>4</w:t>
      </w:r>
      <w:r w:rsidR="00F75420" w:rsidRPr="0047658A">
        <w:rPr>
          <w:lang w:val="en-AU"/>
        </w:rPr>
        <w:t>0 principal components.</w:t>
      </w:r>
      <w:r w:rsidR="00EA457D">
        <w:rPr>
          <w:lang w:val="en-AU"/>
        </w:rPr>
        <w:t xml:space="preserve"> </w:t>
      </w:r>
      <w:r w:rsidR="00EA457D" w:rsidRPr="00EA457D">
        <w:rPr>
          <w:lang w:val="en-AU"/>
        </w:rPr>
        <w:t xml:space="preserve">Marker genes for each cluster were identified using Seurat’s </w:t>
      </w:r>
      <w:r w:rsidR="00EA457D" w:rsidRPr="00EA457D">
        <w:rPr>
          <w:i/>
          <w:iCs/>
          <w:lang w:val="en-AU"/>
        </w:rPr>
        <w:t>FindMarkers</w:t>
      </w:r>
      <w:r w:rsidR="00EA457D" w:rsidRPr="00EA457D">
        <w:rPr>
          <w:lang w:val="en-AU"/>
        </w:rPr>
        <w:t xml:space="preserve"> function with the </w:t>
      </w:r>
      <w:r w:rsidR="00422B0A">
        <w:rPr>
          <w:lang w:val="en-AU"/>
        </w:rPr>
        <w:t xml:space="preserve">wilcox </w:t>
      </w:r>
      <w:r w:rsidR="00EA457D" w:rsidRPr="00EA457D">
        <w:rPr>
          <w:lang w:val="en-AU"/>
        </w:rPr>
        <w:t>test, and differential gene expression analysis was conducted on the RNA assay using the same statistical method.</w:t>
      </w:r>
      <w:r w:rsidR="00422B0A">
        <w:rPr>
          <w:lang w:val="en-AU"/>
        </w:rPr>
        <w:t xml:space="preserve"> </w:t>
      </w:r>
    </w:p>
    <w:p w14:paraId="06B9F313" w14:textId="7222C70C" w:rsidR="00723C3D" w:rsidRDefault="00723C3D" w:rsidP="00461CEF">
      <w:pPr>
        <w:spacing w:before="240" w:after="0" w:line="360" w:lineRule="auto"/>
        <w:jc w:val="both"/>
        <w:rPr>
          <w:lang w:val="en-AU"/>
        </w:rPr>
      </w:pPr>
      <w:r>
        <w:rPr>
          <w:bCs/>
          <w:lang w:val="en-AU"/>
        </w:rPr>
        <w:t xml:space="preserve">Raw files from droplet-based scRNA-seq dataset of 3882 T-cells (10X Genomics) were processed with </w:t>
      </w:r>
      <w:r w:rsidR="005E33C1">
        <w:rPr>
          <w:bCs/>
          <w:lang w:val="en-AU"/>
        </w:rPr>
        <w:t>C</w:t>
      </w:r>
      <w:r>
        <w:rPr>
          <w:bCs/>
          <w:lang w:val="en-AU"/>
        </w:rPr>
        <w:t>ell</w:t>
      </w:r>
      <w:r w:rsidR="005E33C1">
        <w:rPr>
          <w:bCs/>
          <w:lang w:val="en-AU"/>
        </w:rPr>
        <w:t xml:space="preserve"> R</w:t>
      </w:r>
      <w:r>
        <w:rPr>
          <w:bCs/>
          <w:lang w:val="en-AU"/>
        </w:rPr>
        <w:t>a</w:t>
      </w:r>
      <w:r w:rsidR="005E33C1">
        <w:rPr>
          <w:bCs/>
          <w:lang w:val="en-AU"/>
        </w:rPr>
        <w:t>n</w:t>
      </w:r>
      <w:r>
        <w:rPr>
          <w:bCs/>
          <w:lang w:val="en-AU"/>
        </w:rPr>
        <w:t>ger</w:t>
      </w:r>
      <w:r w:rsidR="005E33C1" w:rsidRPr="005E33C1">
        <w:rPr>
          <w:lang w:val="en-AU"/>
        </w:rPr>
        <w:t xml:space="preserve"> </w:t>
      </w:r>
      <w:r w:rsidR="005E33C1">
        <w:rPr>
          <w:bCs/>
          <w:lang w:val="en-AU"/>
        </w:rPr>
        <w:t>s</w:t>
      </w:r>
      <w:r w:rsidR="005E33C1" w:rsidRPr="005E33C1">
        <w:rPr>
          <w:bCs/>
          <w:lang w:val="en-AU"/>
        </w:rPr>
        <w:t xml:space="preserve">oftware version </w:t>
      </w:r>
      <w:r w:rsidR="005E33C1">
        <w:rPr>
          <w:bCs/>
          <w:lang w:val="en-AU"/>
        </w:rPr>
        <w:t>7</w:t>
      </w:r>
      <w:r w:rsidR="005E33C1" w:rsidRPr="005E33C1">
        <w:rPr>
          <w:bCs/>
          <w:lang w:val="en-AU"/>
        </w:rPr>
        <w:t>.</w:t>
      </w:r>
      <w:r w:rsidR="005E33C1">
        <w:rPr>
          <w:bCs/>
          <w:lang w:val="en-AU"/>
        </w:rPr>
        <w:t>1</w:t>
      </w:r>
      <w:r w:rsidR="005E33C1" w:rsidRPr="005E33C1">
        <w:rPr>
          <w:bCs/>
          <w:lang w:val="en-AU"/>
        </w:rPr>
        <w:t>.</w:t>
      </w:r>
      <w:r w:rsidR="005E33C1">
        <w:rPr>
          <w:bCs/>
          <w:lang w:val="en-AU"/>
        </w:rPr>
        <w:t>0</w:t>
      </w:r>
      <w:r>
        <w:rPr>
          <w:bCs/>
          <w:lang w:val="en-AU"/>
        </w:rPr>
        <w:t xml:space="preserve"> (GSE210337).</w:t>
      </w:r>
      <w:r w:rsidR="005E33C1">
        <w:rPr>
          <w:bCs/>
          <w:lang w:val="en-AU"/>
        </w:rPr>
        <w:t xml:space="preserve"> </w:t>
      </w:r>
      <w:r w:rsidR="0047658A">
        <w:rPr>
          <w:bCs/>
          <w:lang w:val="en-AU"/>
        </w:rPr>
        <w:t>R</w:t>
      </w:r>
      <w:r w:rsidR="001D1ED0">
        <w:rPr>
          <w:bCs/>
          <w:lang w:val="en-AU"/>
        </w:rPr>
        <w:t>eads were aligned to the 10X Genomics reference genome GRCh38 2024</w:t>
      </w:r>
      <w:r w:rsidR="00F45EB1">
        <w:rPr>
          <w:bCs/>
          <w:lang w:val="en-AU"/>
        </w:rPr>
        <w:t>.</w:t>
      </w:r>
      <w:r w:rsidR="003C73A2">
        <w:rPr>
          <w:bCs/>
          <w:lang w:val="en-AU"/>
        </w:rPr>
        <w:t xml:space="preserve"> </w:t>
      </w:r>
      <w:r w:rsidR="003C73A2" w:rsidRPr="0028559E">
        <w:rPr>
          <w:bCs/>
          <w:i/>
          <w:iCs/>
          <w:lang w:val="en-AU"/>
        </w:rPr>
        <w:t>Monopogen</w:t>
      </w:r>
      <w:r w:rsidR="003C73A2">
        <w:rPr>
          <w:bCs/>
          <w:lang w:val="en-AU"/>
        </w:rPr>
        <w:t xml:space="preserve"> SNV calling pipeline as described by Dou et al.</w:t>
      </w:r>
      <w:r w:rsidR="003C73A2">
        <w:rPr>
          <w:bCs/>
          <w:lang w:val="en-AU"/>
        </w:rPr>
        <w:fldChar w:fldCharType="begin"/>
      </w:r>
      <w:r w:rsidR="00F45EB1">
        <w:rPr>
          <w:bCs/>
          <w:lang w:val="en-AU"/>
        </w:rPr>
        <w:instrText xml:space="preserve"> ADDIN ZOTERO_ITEM CSL_CITATION {"citationID":"UHGB5luq","properties":{"formattedCitation":"(4)","plainCitation":"(4)","noteIndex":0},"citationItems":[{"id":742,"uris":["http://zotero.org/users/9995470/items/MC7CLKIS"],"itemData":{"id":742,"type":"article-journal","abstract":"Single-cell omics technologies enable molecular characterization of diverse cell types and states, but how the resulting transcriptional and epigenetic profiles depend on the cell’s genetic background remains understudied. We describe Monopogen, a computational tool to detect single-nucleotide variants (SNVs) from single-cell sequencing data. Monopogen leverages linkage disequilibrium from external reference panels to identify germline SNVs and detects putative somatic SNVs using allele cosegregating patterns at the cell population level. It can identify 100 K to 3 M germline SNVs achieving a genotyping accuracy of 95%, together with hundreds of putative somatic SNVs. Monopogen-derived genotypes enable global and local ancestry inference and identification of admixed samples. It identifies variants associated with cardiomyocyte metabolic levels and epigenomic programs. It also improves putative somatic SNV detection that enables clonal lineage tracing in primary human clonal hematopoiesis. Monopogen brings together population genetics, cell lineage tracing and single-cell omics to uncover genetic determinants of cellular processes.","container-title":"Nature Biotechnology","DOI":"10.1038/s41587-023-01873-x","ISSN":"1546-1696","issue":"5","journalAbbreviation":"Nat Biotechnol","language":"en","license":"2023 The Author(s), under exclusive licence to Springer Nature America, Inc.","note":"publisher: Nature Publishing Group","page":"803-812","source":"www.nature.com","title":"Single-nucleotide variant calling in single-cell sequencing data with Monopogen","volume":"42","author":[{"family":"Dou","given":"Jinzhuang"},{"family":"Tan","given":"Yukun"},{"family":"Kock","given":"Kian Hong"},{"family":"Wang","given":"Jun"},{"family":"Cheng","given":"Xuesen"},{"family":"Tan","given":"Le Min"},{"family":"Han","given":"Kyung Yeon"},{"family":"Hon","given":"Chung-Chau"},{"family":"Park","given":"Woong-Yang"},{"family":"Shin","given":"Jay W."},{"family":"Jin","given":"Haijing"},{"family":"Wang","given":"Yujia"},{"family":"Chen","given":"Han"},{"family":"Ding","given":"Li"},{"family":"Prabhakar","given":"Shyam"},{"family":"Navin","given":"Nicholas"},{"family":"Chen","given":"Rui"},{"family":"Chen","given":"Ken"}],"issued":{"date-parts":[["2024",5]]}}}],"schema":"https://github.com/citation-style-language/schema/raw/master/csl-citation.json"} </w:instrText>
      </w:r>
      <w:r w:rsidR="003C73A2">
        <w:rPr>
          <w:bCs/>
          <w:lang w:val="en-AU"/>
        </w:rPr>
        <w:fldChar w:fldCharType="separate"/>
      </w:r>
      <w:r w:rsidR="00F45EB1" w:rsidRPr="00F45EB1">
        <w:rPr>
          <w:rFonts w:ascii="Calibri" w:hAnsi="Calibri" w:cs="Calibri"/>
          <w:lang w:val="en-AU"/>
        </w:rPr>
        <w:t>(4)</w:t>
      </w:r>
      <w:r w:rsidR="003C73A2">
        <w:rPr>
          <w:bCs/>
          <w:lang w:val="en-AU"/>
        </w:rPr>
        <w:fldChar w:fldCharType="end"/>
      </w:r>
      <w:r w:rsidR="003C73A2">
        <w:rPr>
          <w:bCs/>
          <w:lang w:val="en-AU"/>
        </w:rPr>
        <w:t xml:space="preserve"> was applied to this aligned reads bam file</w:t>
      </w:r>
      <w:r w:rsidR="001D1ED0">
        <w:rPr>
          <w:bCs/>
          <w:lang w:val="en-AU"/>
        </w:rPr>
        <w:t xml:space="preserve">. </w:t>
      </w:r>
      <w:r w:rsidR="00823FAA">
        <w:rPr>
          <w:bCs/>
          <w:lang w:val="en-AU"/>
        </w:rPr>
        <w:t>Single-cell SNV matrix was filtered for high quality SNVs (</w:t>
      </w:r>
      <w:r w:rsidR="00823FAA" w:rsidRPr="0028559E">
        <w:rPr>
          <w:bCs/>
          <w:lang w:val="en-AU"/>
        </w:rPr>
        <w:t>Depth_ref&gt;5</w:t>
      </w:r>
      <w:r w:rsidR="00823FAA">
        <w:rPr>
          <w:bCs/>
          <w:lang w:val="en-AU"/>
        </w:rPr>
        <w:t xml:space="preserve">, </w:t>
      </w:r>
      <w:r w:rsidR="00823FAA" w:rsidRPr="0028559E">
        <w:rPr>
          <w:bCs/>
          <w:lang w:val="en-AU"/>
        </w:rPr>
        <w:t>Depth_alt&gt;5</w:t>
      </w:r>
      <w:r w:rsidR="00823FAA">
        <w:rPr>
          <w:bCs/>
          <w:lang w:val="en-AU"/>
        </w:rPr>
        <w:t xml:space="preserve"> and </w:t>
      </w:r>
      <w:r w:rsidR="00823FAA" w:rsidRPr="0028559E">
        <w:rPr>
          <w:bCs/>
          <w:lang w:val="en-AU"/>
        </w:rPr>
        <w:t>SVM_pos_score&gt;0.1</w:t>
      </w:r>
      <w:r w:rsidR="00823FAA">
        <w:rPr>
          <w:bCs/>
          <w:lang w:val="en-AU"/>
        </w:rPr>
        <w:t>).</w:t>
      </w:r>
      <w:r w:rsidR="001D1ED0">
        <w:rPr>
          <w:bCs/>
          <w:lang w:val="en-AU"/>
        </w:rPr>
        <w:t xml:space="preserve"> </w:t>
      </w:r>
      <w:r w:rsidR="0047658A" w:rsidRPr="0047658A">
        <w:rPr>
          <w:lang w:val="en-AU"/>
        </w:rPr>
        <w:t xml:space="preserve">Data processing was conducted in R 4.4.2 using Seurat 5.3.0. The raw count matrices were imported and filtered based on the following criteria: </w:t>
      </w:r>
      <w:r w:rsidR="0047658A" w:rsidRPr="0047658A">
        <w:rPr>
          <w:i/>
          <w:iCs/>
          <w:lang w:val="en-AU"/>
        </w:rPr>
        <w:t>nFeature_RNA</w:t>
      </w:r>
      <w:r w:rsidR="0047658A" w:rsidRPr="0047658A">
        <w:rPr>
          <w:lang w:val="en-AU"/>
        </w:rPr>
        <w:t xml:space="preserve"> &gt; 100, </w:t>
      </w:r>
      <w:r w:rsidR="0047658A" w:rsidRPr="0047658A">
        <w:rPr>
          <w:i/>
          <w:iCs/>
          <w:lang w:val="en-AU"/>
        </w:rPr>
        <w:t>nFeature_RNA</w:t>
      </w:r>
      <w:r w:rsidR="0047658A" w:rsidRPr="0047658A">
        <w:rPr>
          <w:lang w:val="en-AU"/>
        </w:rPr>
        <w:t xml:space="preserve"> &lt; 6000, </w:t>
      </w:r>
      <w:r w:rsidR="0047658A" w:rsidRPr="0047658A">
        <w:rPr>
          <w:i/>
          <w:iCs/>
          <w:lang w:val="en-AU"/>
        </w:rPr>
        <w:t>nCount_RNA</w:t>
      </w:r>
      <w:r w:rsidR="0047658A" w:rsidRPr="0047658A">
        <w:rPr>
          <w:lang w:val="en-AU"/>
        </w:rPr>
        <w:t xml:space="preserve"> &gt; </w:t>
      </w:r>
      <w:r w:rsidR="0047658A">
        <w:rPr>
          <w:lang w:val="en-AU"/>
        </w:rPr>
        <w:t>3</w:t>
      </w:r>
      <w:r w:rsidR="0047658A" w:rsidRPr="0047658A">
        <w:rPr>
          <w:lang w:val="en-AU"/>
        </w:rPr>
        <w:t xml:space="preserve">00, and </w:t>
      </w:r>
      <w:r w:rsidR="0047658A" w:rsidRPr="0047658A">
        <w:rPr>
          <w:i/>
          <w:iCs/>
          <w:lang w:val="en-AU"/>
        </w:rPr>
        <w:t>percent.mt</w:t>
      </w:r>
      <w:r w:rsidR="0047658A" w:rsidRPr="0047658A">
        <w:rPr>
          <w:lang w:val="en-AU"/>
        </w:rPr>
        <w:t xml:space="preserve"> &lt; 15, to exclude doublets and dead cells.</w:t>
      </w:r>
      <w:r w:rsidR="0047658A">
        <w:rPr>
          <w:lang w:val="en-AU"/>
        </w:rPr>
        <w:t xml:space="preserve"> </w:t>
      </w:r>
      <w:r w:rsidR="0047658A" w:rsidRPr="0047658A">
        <w:rPr>
          <w:lang w:val="en-AU"/>
        </w:rPr>
        <w:t xml:space="preserve">Principal component analysis (PCA) was conducted with default parameters, followed by </w:t>
      </w:r>
      <w:r w:rsidR="000A5385">
        <w:rPr>
          <w:lang w:val="en-AU"/>
        </w:rPr>
        <w:t xml:space="preserve">CCA integration </w:t>
      </w:r>
      <w:r w:rsidR="0047658A" w:rsidRPr="0047658A">
        <w:rPr>
          <w:lang w:val="en-AU"/>
        </w:rPr>
        <w:t xml:space="preserve">using the first </w:t>
      </w:r>
      <w:r w:rsidR="000A5385">
        <w:rPr>
          <w:lang w:val="en-AU"/>
        </w:rPr>
        <w:t>3</w:t>
      </w:r>
      <w:r w:rsidR="0047658A" w:rsidRPr="0047658A">
        <w:rPr>
          <w:lang w:val="en-AU"/>
        </w:rPr>
        <w:t>0 principal components</w:t>
      </w:r>
      <w:r w:rsidR="000A5385">
        <w:rPr>
          <w:lang w:val="en-AU"/>
        </w:rPr>
        <w:t xml:space="preserve"> and UMAP embedding</w:t>
      </w:r>
      <w:r w:rsidR="0047658A" w:rsidRPr="0047658A">
        <w:rPr>
          <w:lang w:val="en-AU"/>
        </w:rPr>
        <w:t xml:space="preserve">. </w:t>
      </w:r>
      <w:r w:rsidR="003C73A2">
        <w:rPr>
          <w:lang w:val="en-AU"/>
        </w:rPr>
        <w:t xml:space="preserve">Cell specific </w:t>
      </w:r>
      <w:r w:rsidR="000A5385">
        <w:rPr>
          <w:lang w:val="en-AU"/>
        </w:rPr>
        <w:t>TCR</w:t>
      </w:r>
      <w:r w:rsidR="003C73A2">
        <w:rPr>
          <w:lang w:val="en-AU"/>
        </w:rPr>
        <w:t xml:space="preserve"> clonotype</w:t>
      </w:r>
      <w:r w:rsidR="000A5385">
        <w:rPr>
          <w:lang w:val="en-AU"/>
        </w:rPr>
        <w:t xml:space="preserve"> information was retrieved from </w:t>
      </w:r>
      <w:r w:rsidR="003C73A2">
        <w:rPr>
          <w:lang w:val="en-AU"/>
        </w:rPr>
        <w:t xml:space="preserve">filtered TCR-seq csv files from </w:t>
      </w:r>
      <w:r w:rsidR="003C73A2" w:rsidRPr="003C73A2">
        <w:rPr>
          <w:lang w:val="en-AU"/>
        </w:rPr>
        <w:t>GSM6428652</w:t>
      </w:r>
      <w:r w:rsidR="003C73A2">
        <w:rPr>
          <w:lang w:val="en-AU"/>
        </w:rPr>
        <w:t xml:space="preserve"> and </w:t>
      </w:r>
      <w:r w:rsidR="003C73A2" w:rsidRPr="003C73A2">
        <w:rPr>
          <w:lang w:val="en-AU"/>
        </w:rPr>
        <w:t>GSM642865</w:t>
      </w:r>
      <w:r w:rsidR="003C73A2">
        <w:rPr>
          <w:lang w:val="en-AU"/>
        </w:rPr>
        <w:t xml:space="preserve">4. </w:t>
      </w:r>
    </w:p>
    <w:p w14:paraId="4A4595DA" w14:textId="796DF55C" w:rsidR="002B3F64" w:rsidRPr="006256BE" w:rsidRDefault="00BE31D9" w:rsidP="00461CEF">
      <w:pPr>
        <w:spacing w:before="240" w:after="0" w:line="360" w:lineRule="auto"/>
        <w:jc w:val="both"/>
        <w:rPr>
          <w:lang w:val="en-AU"/>
        </w:rPr>
      </w:pPr>
      <w:r>
        <w:rPr>
          <w:bCs/>
          <w:lang w:val="en-AU"/>
        </w:rPr>
        <w:lastRenderedPageBreak/>
        <w:t xml:space="preserve">Raw files from 3’ Next GEM 10X Genomics scRNA-seq dataset of </w:t>
      </w:r>
      <w:r w:rsidRPr="00782C8E">
        <w:rPr>
          <w:rFonts w:cstheme="minorHAnsi"/>
          <w:lang w:val="en-AU"/>
        </w:rPr>
        <w:t xml:space="preserve">34049 </w:t>
      </w:r>
      <w:r>
        <w:rPr>
          <w:rFonts w:cstheme="minorHAnsi"/>
          <w:lang w:val="en-AU"/>
        </w:rPr>
        <w:t>cells</w:t>
      </w:r>
      <w:r>
        <w:rPr>
          <w:bCs/>
          <w:lang w:val="en-AU"/>
        </w:rPr>
        <w:t xml:space="preserve"> human carotid plaque cells were processed with Cell Ranger</w:t>
      </w:r>
      <w:r w:rsidRPr="005E33C1">
        <w:rPr>
          <w:lang w:val="en-AU"/>
        </w:rPr>
        <w:t xml:space="preserve"> </w:t>
      </w:r>
      <w:r>
        <w:rPr>
          <w:bCs/>
          <w:lang w:val="en-AU"/>
        </w:rPr>
        <w:t>s</w:t>
      </w:r>
      <w:r w:rsidRPr="005E33C1">
        <w:rPr>
          <w:bCs/>
          <w:lang w:val="en-AU"/>
        </w:rPr>
        <w:t xml:space="preserve">oftware version </w:t>
      </w:r>
      <w:r>
        <w:rPr>
          <w:bCs/>
          <w:lang w:val="en-AU"/>
        </w:rPr>
        <w:t>7</w:t>
      </w:r>
      <w:r w:rsidRPr="005E33C1">
        <w:rPr>
          <w:bCs/>
          <w:lang w:val="en-AU"/>
        </w:rPr>
        <w:t>.</w:t>
      </w:r>
      <w:r>
        <w:rPr>
          <w:bCs/>
          <w:lang w:val="en-AU"/>
        </w:rPr>
        <w:t>1</w:t>
      </w:r>
      <w:r w:rsidRPr="005E33C1">
        <w:rPr>
          <w:bCs/>
          <w:lang w:val="en-AU"/>
        </w:rPr>
        <w:t>.</w:t>
      </w:r>
      <w:r>
        <w:rPr>
          <w:bCs/>
          <w:lang w:val="en-AU"/>
        </w:rPr>
        <w:t>0 (</w:t>
      </w:r>
      <w:r w:rsidRPr="00782C8E">
        <w:rPr>
          <w:rFonts w:cstheme="minorHAnsi"/>
          <w:lang w:val="en-AU"/>
        </w:rPr>
        <w:t>GSE253904</w:t>
      </w:r>
      <w:r>
        <w:rPr>
          <w:bCs/>
          <w:lang w:val="en-AU"/>
        </w:rPr>
        <w:t xml:space="preserve">). Reads were aligned to the 10X Genomics reference genome GRCh38 2024. </w:t>
      </w:r>
      <w:r w:rsidRPr="0028559E">
        <w:rPr>
          <w:bCs/>
          <w:i/>
          <w:iCs/>
          <w:lang w:val="en-AU"/>
        </w:rPr>
        <w:t>Monopogen</w:t>
      </w:r>
      <w:r>
        <w:rPr>
          <w:bCs/>
          <w:lang w:val="en-AU"/>
        </w:rPr>
        <w:t xml:space="preserve"> SNV calling pipeline as described by Dou et al.</w:t>
      </w:r>
      <w:r>
        <w:rPr>
          <w:bCs/>
          <w:lang w:val="en-AU"/>
        </w:rPr>
        <w:fldChar w:fldCharType="begin"/>
      </w:r>
      <w:r>
        <w:rPr>
          <w:bCs/>
          <w:lang w:val="en-AU"/>
        </w:rPr>
        <w:instrText xml:space="preserve"> ADDIN ZOTERO_ITEM CSL_CITATION {"citationID":"UHGB5luq","properties":{"formattedCitation":"(4)","plainCitation":"(4)","noteIndex":0},"citationItems":[{"id":742,"uris":["http://zotero.org/users/9995470/items/MC7CLKIS"],"itemData":{"id":742,"type":"article-journal","abstract":"Single-cell omics technologies enable molecular characterization of diverse cell types and states, but how the resulting transcriptional and epigenetic profiles depend on the cell’s genetic background remains understudied. We describe Monopogen, a computational tool to detect single-nucleotide variants (SNVs) from single-cell sequencing data. Monopogen leverages linkage disequilibrium from external reference panels to identify germline SNVs and detects putative somatic SNVs using allele cosegregating patterns at the cell population level. It can identify 100 K to 3 M germline SNVs achieving a genotyping accuracy of 95%, together with hundreds of putative somatic SNVs. Monopogen-derived genotypes enable global and local ancestry inference and identification of admixed samples. It identifies variants associated with cardiomyocyte metabolic levels and epigenomic programs. It also improves putative somatic SNV detection that enables clonal lineage tracing in primary human clonal hematopoiesis. Monopogen brings together population genetics, cell lineage tracing and single-cell omics to uncover genetic determinants of cellular processes.","container-title":"Nature Biotechnology","DOI":"10.1038/s41587-023-01873-x","ISSN":"1546-1696","issue":"5","journalAbbreviation":"Nat Biotechnol","language":"en","license":"2023 The Author(s), under exclusive licence to Springer Nature America, Inc.","note":"publisher: Nature Publishing Group","page":"803-812","source":"www.nature.com","title":"Single-nucleotide variant calling in single-cell sequencing data with Monopogen","volume":"42","author":[{"family":"Dou","given":"Jinzhuang"},{"family":"Tan","given":"Yukun"},{"family":"Kock","given":"Kian Hong"},{"family":"Wang","given":"Jun"},{"family":"Cheng","given":"Xuesen"},{"family":"Tan","given":"Le Min"},{"family":"Han","given":"Kyung Yeon"},{"family":"Hon","given":"Chung-Chau"},{"family":"Park","given":"Woong-Yang"},{"family":"Shin","given":"Jay W."},{"family":"Jin","given":"Haijing"},{"family":"Wang","given":"Yujia"},{"family":"Chen","given":"Han"},{"family":"Ding","given":"Li"},{"family":"Prabhakar","given":"Shyam"},{"family":"Navin","given":"Nicholas"},{"family":"Chen","given":"Rui"},{"family":"Chen","given":"Ken"}],"issued":{"date-parts":[["2024",5]]}}}],"schema":"https://github.com/citation-style-language/schema/raw/master/csl-citation.json"} </w:instrText>
      </w:r>
      <w:r>
        <w:rPr>
          <w:bCs/>
          <w:lang w:val="en-AU"/>
        </w:rPr>
        <w:fldChar w:fldCharType="separate"/>
      </w:r>
      <w:r w:rsidRPr="00F45EB1">
        <w:rPr>
          <w:rFonts w:ascii="Calibri" w:hAnsi="Calibri" w:cs="Calibri"/>
          <w:lang w:val="en-AU"/>
        </w:rPr>
        <w:t>(4)</w:t>
      </w:r>
      <w:r>
        <w:rPr>
          <w:bCs/>
          <w:lang w:val="en-AU"/>
        </w:rPr>
        <w:fldChar w:fldCharType="end"/>
      </w:r>
      <w:r>
        <w:rPr>
          <w:bCs/>
          <w:lang w:val="en-AU"/>
        </w:rPr>
        <w:t xml:space="preserve"> was applied to this aligned reads bam file. Single-cell SNV matrix was filtered for high quality SNVs (</w:t>
      </w:r>
      <w:r w:rsidRPr="0028559E">
        <w:rPr>
          <w:bCs/>
          <w:lang w:val="en-AU"/>
        </w:rPr>
        <w:t>Depth_ref&gt;5</w:t>
      </w:r>
      <w:r>
        <w:rPr>
          <w:bCs/>
          <w:lang w:val="en-AU"/>
        </w:rPr>
        <w:t xml:space="preserve">, </w:t>
      </w:r>
      <w:r w:rsidRPr="0028559E">
        <w:rPr>
          <w:bCs/>
          <w:lang w:val="en-AU"/>
        </w:rPr>
        <w:t>Depth_alt&gt;5</w:t>
      </w:r>
      <w:r>
        <w:rPr>
          <w:bCs/>
          <w:lang w:val="en-AU"/>
        </w:rPr>
        <w:t xml:space="preserve"> and </w:t>
      </w:r>
      <w:r w:rsidRPr="0028559E">
        <w:rPr>
          <w:bCs/>
          <w:lang w:val="en-AU"/>
        </w:rPr>
        <w:t>SVM_pos_score&gt;0.1</w:t>
      </w:r>
      <w:r>
        <w:rPr>
          <w:bCs/>
          <w:lang w:val="en-AU"/>
        </w:rPr>
        <w:t xml:space="preserve">). </w:t>
      </w:r>
      <w:r w:rsidRPr="0047658A">
        <w:rPr>
          <w:lang w:val="en-AU"/>
        </w:rPr>
        <w:t xml:space="preserve">Data processing was conducted in R 4.4.2 using Seurat 5.3.0. The raw count matrices were imported and filtered based on the following criteria: </w:t>
      </w:r>
      <w:r w:rsidRPr="0047658A">
        <w:rPr>
          <w:i/>
          <w:iCs/>
          <w:lang w:val="en-AU"/>
        </w:rPr>
        <w:t>nFeature_RNA</w:t>
      </w:r>
      <w:r w:rsidRPr="0047658A">
        <w:rPr>
          <w:lang w:val="en-AU"/>
        </w:rPr>
        <w:t xml:space="preserve"> &gt; </w:t>
      </w:r>
      <w:r>
        <w:rPr>
          <w:lang w:val="en-AU"/>
        </w:rPr>
        <w:t>3</w:t>
      </w:r>
      <w:r w:rsidRPr="0047658A">
        <w:rPr>
          <w:lang w:val="en-AU"/>
        </w:rPr>
        <w:t xml:space="preserve">00, </w:t>
      </w:r>
      <w:r w:rsidRPr="0047658A">
        <w:rPr>
          <w:i/>
          <w:iCs/>
          <w:lang w:val="en-AU"/>
        </w:rPr>
        <w:t>nFeature_RNA</w:t>
      </w:r>
      <w:r w:rsidRPr="0047658A">
        <w:rPr>
          <w:lang w:val="en-AU"/>
        </w:rPr>
        <w:t xml:space="preserve"> &lt; 6000, </w:t>
      </w:r>
      <w:r w:rsidRPr="0047658A">
        <w:rPr>
          <w:i/>
          <w:iCs/>
          <w:lang w:val="en-AU"/>
        </w:rPr>
        <w:t>nCount_RNA</w:t>
      </w:r>
      <w:r w:rsidRPr="0047658A">
        <w:rPr>
          <w:lang w:val="en-AU"/>
        </w:rPr>
        <w:t xml:space="preserve"> &gt; </w:t>
      </w:r>
      <w:r>
        <w:rPr>
          <w:lang w:val="en-AU"/>
        </w:rPr>
        <w:t>5</w:t>
      </w:r>
      <w:r w:rsidRPr="0047658A">
        <w:rPr>
          <w:lang w:val="en-AU"/>
        </w:rPr>
        <w:t xml:space="preserve">00, and </w:t>
      </w:r>
      <w:r w:rsidRPr="0047658A">
        <w:rPr>
          <w:i/>
          <w:iCs/>
          <w:lang w:val="en-AU"/>
        </w:rPr>
        <w:t>percent.mt</w:t>
      </w:r>
      <w:r w:rsidRPr="0047658A">
        <w:rPr>
          <w:lang w:val="en-AU"/>
        </w:rPr>
        <w:t xml:space="preserve"> &lt; 15, to exclude doublets and dead cells.</w:t>
      </w:r>
      <w:r>
        <w:rPr>
          <w:lang w:val="en-AU"/>
        </w:rPr>
        <w:t xml:space="preserve"> </w:t>
      </w:r>
      <w:r w:rsidRPr="0047658A">
        <w:rPr>
          <w:lang w:val="en-AU"/>
        </w:rPr>
        <w:t xml:space="preserve">Principal component analysis (PCA) was conducted with default parameters, followed by </w:t>
      </w:r>
      <w:r>
        <w:rPr>
          <w:lang w:val="en-AU"/>
        </w:rPr>
        <w:t xml:space="preserve">RPCA integration </w:t>
      </w:r>
      <w:r w:rsidRPr="0047658A">
        <w:rPr>
          <w:lang w:val="en-AU"/>
        </w:rPr>
        <w:t xml:space="preserve">using the first </w:t>
      </w:r>
      <w:r>
        <w:rPr>
          <w:lang w:val="en-AU"/>
        </w:rPr>
        <w:t>2</w:t>
      </w:r>
      <w:r w:rsidRPr="0047658A">
        <w:rPr>
          <w:lang w:val="en-AU"/>
        </w:rPr>
        <w:t>0 principal components</w:t>
      </w:r>
      <w:r>
        <w:rPr>
          <w:lang w:val="en-AU"/>
        </w:rPr>
        <w:t xml:space="preserve"> and </w:t>
      </w:r>
      <w:r w:rsidR="006256BE" w:rsidRPr="006256BE">
        <w:rPr>
          <w:lang w:val="en-AU"/>
        </w:rPr>
        <w:t>by graph-based clustering using the Leiden algorithm (algorithm 4) with a resolution parameter of 0.2</w:t>
      </w:r>
      <w:r w:rsidRPr="0047658A">
        <w:rPr>
          <w:lang w:val="en-AU"/>
        </w:rPr>
        <w:t xml:space="preserve">. </w:t>
      </w:r>
      <w:r w:rsidR="006256BE" w:rsidRPr="006256BE">
        <w:rPr>
          <w:lang w:val="en-AU"/>
        </w:rPr>
        <w:t>Putative somatic SNVs identified by Monopogen were individually visualized on the UMAP projection of patient 6 cells.</w:t>
      </w:r>
    </w:p>
    <w:p w14:paraId="03109833" w14:textId="3BFE1712" w:rsidR="002235E7" w:rsidRDefault="002235E7" w:rsidP="00461CEF">
      <w:pPr>
        <w:spacing w:before="240" w:after="0" w:line="360" w:lineRule="auto"/>
        <w:jc w:val="both"/>
        <w:rPr>
          <w:lang w:val="en-AU"/>
        </w:rPr>
      </w:pPr>
      <w:r>
        <w:rPr>
          <w:lang w:val="en-AU"/>
        </w:rPr>
        <w:t>Jaccard similarity index was calculated from the filtered SNV matrix (putative somatic SNVs derived from housekeeping-like features defined as SNVs present in</w:t>
      </w:r>
      <w:r w:rsidR="00D17A2B">
        <w:rPr>
          <w:lang w:val="en-AU"/>
        </w:rPr>
        <w:t xml:space="preserve"> &gt;80% cells cluster-wise and patient-wise). </w:t>
      </w:r>
      <w:r w:rsidR="00D17A2B" w:rsidRPr="00D17A2B">
        <w:rPr>
          <w:lang w:val="en-AU"/>
        </w:rPr>
        <w:t>Within each cell type, a shared SNV was considered present if the alternative allele was detected in at least five cells. The resulting sets of present SNVs were then compared between cell types. Similarity was quantified using the Jaccard index, defined as the size of the intersection divided by the size of the union of the two SNV sets</w:t>
      </w:r>
      <w:r w:rsidR="00461CEF">
        <w:rPr>
          <w:lang w:val="en-AU"/>
        </w:rPr>
        <w:t xml:space="preserve">. </w:t>
      </w:r>
      <w:r w:rsidR="00D17A2B" w:rsidRPr="00D17A2B">
        <w:rPr>
          <w:lang w:val="en-AU"/>
        </w:rPr>
        <w:t>Jaccard values range from 0 (no shared SNVs) to 1 (identical SNV profiles).</w:t>
      </w:r>
    </w:p>
    <w:p w14:paraId="2D148E1F" w14:textId="7598D9C1" w:rsidR="00461CEF" w:rsidRPr="00461CEF" w:rsidRDefault="00461CEF" w:rsidP="00461CEF">
      <w:pPr>
        <w:spacing w:before="240" w:after="0" w:line="360" w:lineRule="auto"/>
        <w:jc w:val="both"/>
        <w:rPr>
          <w:bCs/>
          <w:lang w:val="en-AU"/>
        </w:rPr>
      </w:pPr>
      <w:r w:rsidRPr="00461CEF">
        <w:rPr>
          <w:bCs/>
          <w:lang w:val="en-AU"/>
        </w:rPr>
        <w:t>To identify cells with highly similar SNV profiles, analyses were performed independently for each patient to avoid confounding by inter-individual genetic variation. For each patient, high-confidence SNVs were defined as variants detected in at least 80% of cells within that patient. A binary SNV matrix was then generated, where each variant was scored as present or absent in every cell.</w:t>
      </w:r>
    </w:p>
    <w:p w14:paraId="0B149115" w14:textId="714816A0" w:rsidR="00461CEF" w:rsidRPr="00461CEF" w:rsidRDefault="00461CEF" w:rsidP="00461CEF">
      <w:pPr>
        <w:spacing w:before="240" w:after="0" w:line="360" w:lineRule="auto"/>
        <w:jc w:val="both"/>
        <w:rPr>
          <w:bCs/>
          <w:lang w:val="en-AU"/>
        </w:rPr>
      </w:pPr>
      <w:r w:rsidRPr="00461CEF">
        <w:rPr>
          <w:bCs/>
          <w:lang w:val="en-AU"/>
        </w:rPr>
        <w:t>Pairwise SNV similarity between cells was quantified by calculating the number of shared SNVs. Specifically, for every pair of cells, the number of SNVs simultaneously detected in both cells was computed, generating a cell-by-cell SNV sharing matrix. Self-comparisons were excluded from downstream analyses.</w:t>
      </w:r>
    </w:p>
    <w:p w14:paraId="19CA9CFD" w14:textId="2F0E7B64" w:rsidR="00461CEF" w:rsidRDefault="00461CEF" w:rsidP="00461CEF">
      <w:pPr>
        <w:spacing w:before="240" w:after="0" w:line="360" w:lineRule="auto"/>
        <w:jc w:val="both"/>
        <w:rPr>
          <w:bCs/>
          <w:lang w:val="en-AU"/>
        </w:rPr>
      </w:pPr>
      <w:r w:rsidRPr="00461CEF">
        <w:rPr>
          <w:bCs/>
          <w:lang w:val="en-AU"/>
        </w:rPr>
        <w:t>For each cell, the maximum number of shared SNVs observed with any other cell was determined. To focus on the most confidently related cells, only cells whose maximum shared-SNV count fell within the top 1% of the patient-specific distribution (99th percentile) were retained. This filtering step enriched for cell pairs exhibiting exceptionally high SNV similarity relative to the remainder of the population.</w:t>
      </w:r>
    </w:p>
    <w:p w14:paraId="7D0DA0B4" w14:textId="12C039BC" w:rsidR="00461CEF" w:rsidRDefault="00461CEF" w:rsidP="00B76596">
      <w:pPr>
        <w:spacing w:before="240" w:line="360" w:lineRule="auto"/>
        <w:jc w:val="both"/>
        <w:rPr>
          <w:bCs/>
          <w:lang w:val="en-AU"/>
        </w:rPr>
      </w:pPr>
      <w:r w:rsidRPr="00461CEF">
        <w:rPr>
          <w:bCs/>
          <w:lang w:val="en-AU"/>
        </w:rPr>
        <w:t xml:space="preserve">Source and nearest-neighbor cells were annotated according to their transcriptionally defined cell type identities. Cell-type transitions were then summarized by counting the number of nearest-neighbor </w:t>
      </w:r>
      <w:r w:rsidRPr="00461CEF">
        <w:rPr>
          <w:bCs/>
          <w:lang w:val="en-AU"/>
        </w:rPr>
        <w:lastRenderedPageBreak/>
        <w:t>relationships connecting each source cell type to each target cell type.</w:t>
      </w:r>
      <w:r>
        <w:rPr>
          <w:bCs/>
          <w:lang w:val="en-AU"/>
        </w:rPr>
        <w:t xml:space="preserve"> </w:t>
      </w:r>
      <w:r w:rsidRPr="00461CEF">
        <w:rPr>
          <w:bCs/>
          <w:lang w:val="en-AU"/>
        </w:rPr>
        <w:t>To visualize patterns of SNV similarity across cellular populations, nearest-neighbor relationships were aggregated across all patients and displayed as alluvial plots.</w:t>
      </w:r>
    </w:p>
    <w:p w14:paraId="34E2B8CF" w14:textId="7F898710" w:rsidR="00461CEF" w:rsidRPr="006C60A2" w:rsidRDefault="00054919" w:rsidP="00B76596">
      <w:pPr>
        <w:spacing w:before="240" w:line="360" w:lineRule="auto"/>
        <w:jc w:val="both"/>
        <w:rPr>
          <w:bCs/>
          <w:lang w:val="en-AU"/>
        </w:rPr>
      </w:pPr>
      <w:r w:rsidRPr="00054919">
        <w:rPr>
          <w:bCs/>
          <w:lang w:val="en-AU"/>
        </w:rPr>
        <w:t xml:space="preserve">Differential expression analysis was performed between macrophage populations defined by SNV-based nearest-neighbour relationships. Macrophages with an SNV-defined nearest neighbour belonging to the macrophage cluster were classified as bona fide macrophages (NN-MPs_MPs), whereas macrophages with a nearest neighbour assigned to the smooth muscle cell (SMC) cluster were classified as SMC-adjacent macrophages (NN-SMCs_MPs). </w:t>
      </w:r>
      <w:r w:rsidR="006C60A2" w:rsidRPr="006C60A2">
        <w:rPr>
          <w:bCs/>
          <w:lang w:val="en-AU"/>
        </w:rPr>
        <w:t>Differential gene expression between these populations was identified using Seurat's FindMarkers function with the DESeq2 method</w:t>
      </w:r>
      <w:r w:rsidR="006C60A2">
        <w:rPr>
          <w:bCs/>
          <w:lang w:val="en-AU"/>
        </w:rPr>
        <w:t>.</w:t>
      </w:r>
    </w:p>
    <w:p w14:paraId="75D4F9C7" w14:textId="77777777" w:rsidR="006439C6" w:rsidRPr="00422B0A" w:rsidRDefault="006439C6" w:rsidP="006439C6">
      <w:pPr>
        <w:spacing w:after="0"/>
        <w:jc w:val="both"/>
        <w:rPr>
          <w:lang w:val="en-AU"/>
        </w:rPr>
      </w:pPr>
      <w:r>
        <w:rPr>
          <w:bCs/>
          <w:lang w:val="en-AU"/>
        </w:rPr>
        <w:t xml:space="preserve">Detailed </w:t>
      </w:r>
      <w:r w:rsidRPr="00C811CB">
        <w:rPr>
          <w:bCs/>
          <w:lang w:val="en-AU"/>
        </w:rPr>
        <w:t xml:space="preserve">Scripts for </w:t>
      </w:r>
      <w:r w:rsidRPr="00D038AE">
        <w:rPr>
          <w:bCs/>
          <w:lang w:val="en-AU"/>
        </w:rPr>
        <w:t xml:space="preserve">reproducing analysis and QC metrics are available at </w:t>
      </w:r>
      <w:hyperlink r:id="rId4" w:history="1">
        <w:r w:rsidRPr="002A3E52">
          <w:rPr>
            <w:rStyle w:val="Hyperlink"/>
            <w:bCs/>
            <w:lang w:val="en-AU"/>
          </w:rPr>
          <w:t>https://github.com/Alexioner8/SNP-based_Proximity</w:t>
        </w:r>
      </w:hyperlink>
      <w:r w:rsidRPr="00D038AE">
        <w:rPr>
          <w:bCs/>
          <w:lang w:val="en-AU"/>
        </w:rPr>
        <w:t>.</w:t>
      </w:r>
    </w:p>
    <w:p w14:paraId="067F3F2F" w14:textId="77777777" w:rsidR="006439C6" w:rsidRPr="0047658A" w:rsidRDefault="006439C6" w:rsidP="006439C6">
      <w:pPr>
        <w:spacing w:line="360" w:lineRule="auto"/>
        <w:jc w:val="both"/>
        <w:rPr>
          <w:lang w:val="en-AU"/>
        </w:rPr>
      </w:pPr>
    </w:p>
    <w:p w14:paraId="1496BCC8" w14:textId="77777777" w:rsidR="006439C6" w:rsidRDefault="006439C6" w:rsidP="00B76596">
      <w:pPr>
        <w:spacing w:before="240" w:line="360" w:lineRule="auto"/>
        <w:jc w:val="both"/>
        <w:rPr>
          <w:bCs/>
          <w:lang w:val="en-AU"/>
        </w:rPr>
      </w:pPr>
    </w:p>
    <w:p w14:paraId="1F698AB9" w14:textId="42836E6A" w:rsidR="00F45EB1" w:rsidRPr="006439C6" w:rsidRDefault="006439C6" w:rsidP="00B76596">
      <w:pPr>
        <w:spacing w:before="240" w:line="360" w:lineRule="auto"/>
        <w:jc w:val="both"/>
        <w:rPr>
          <w:b/>
          <w:lang w:val="en-AU"/>
        </w:rPr>
      </w:pPr>
      <w:r w:rsidRPr="006439C6">
        <w:rPr>
          <w:b/>
          <w:lang w:val="en-AU"/>
        </w:rPr>
        <w:t>References:</w:t>
      </w:r>
    </w:p>
    <w:p w14:paraId="00C90A99" w14:textId="77777777" w:rsidR="00F45EB1" w:rsidRPr="006C60A2" w:rsidRDefault="00F45EB1" w:rsidP="00F45EB1">
      <w:pPr>
        <w:pStyle w:val="Bibliography"/>
        <w:rPr>
          <w:rFonts w:ascii="Calibri" w:hAnsi="Calibri" w:cs="Calibri"/>
          <w:lang w:val="en-AU"/>
        </w:rPr>
      </w:pPr>
      <w:r>
        <w:rPr>
          <w:bCs/>
          <w:lang w:val="en-AU"/>
        </w:rPr>
        <w:fldChar w:fldCharType="begin"/>
      </w:r>
      <w:r>
        <w:rPr>
          <w:bCs/>
          <w:lang w:val="en-AU"/>
        </w:rPr>
        <w:instrText xml:space="preserve"> ADDIN ZOTERO_BIBL {"uncited":[],"omitted":[],"custom":[]} CSL_BIBLIOGRAPHY </w:instrText>
      </w:r>
      <w:r>
        <w:rPr>
          <w:bCs/>
          <w:lang w:val="en-AU"/>
        </w:rPr>
        <w:fldChar w:fldCharType="separate"/>
      </w:r>
      <w:r w:rsidRPr="00F45EB1">
        <w:rPr>
          <w:rFonts w:ascii="Calibri" w:hAnsi="Calibri" w:cs="Calibri"/>
          <w:lang w:val="en-AU"/>
        </w:rPr>
        <w:t>1.</w:t>
      </w:r>
      <w:r w:rsidRPr="00F45EB1">
        <w:rPr>
          <w:rFonts w:ascii="Calibri" w:hAnsi="Calibri" w:cs="Calibri"/>
          <w:lang w:val="en-AU"/>
        </w:rPr>
        <w:tab/>
        <w:t xml:space="preserve">Mocci G, Sukhavasi K, Örd T, Bankier S, Singha P, Arasu UT, et al. Single-Cell Gene-Regulatory Networks of Advanced Symptomatic Atherosclerosis. </w:t>
      </w:r>
      <w:r w:rsidRPr="006C60A2">
        <w:rPr>
          <w:rFonts w:ascii="Calibri" w:hAnsi="Calibri" w:cs="Calibri"/>
          <w:lang w:val="en-AU"/>
        </w:rPr>
        <w:t>Circ Res. 2024 May 24;134(11):1405–23. doi:10.1161/CIRCRESAHA.123.323184</w:t>
      </w:r>
    </w:p>
    <w:p w14:paraId="3BA83652" w14:textId="77777777" w:rsidR="00F45EB1" w:rsidRPr="00F45EB1" w:rsidRDefault="00F45EB1" w:rsidP="00F45EB1">
      <w:pPr>
        <w:pStyle w:val="Bibliography"/>
        <w:rPr>
          <w:rFonts w:ascii="Calibri" w:hAnsi="Calibri" w:cs="Calibri"/>
          <w:lang w:val="en-AU"/>
        </w:rPr>
      </w:pPr>
      <w:r w:rsidRPr="00F45EB1">
        <w:rPr>
          <w:rFonts w:ascii="Calibri" w:hAnsi="Calibri" w:cs="Calibri"/>
        </w:rPr>
        <w:t>2.</w:t>
      </w:r>
      <w:r w:rsidRPr="00F45EB1">
        <w:rPr>
          <w:rFonts w:ascii="Calibri" w:hAnsi="Calibri" w:cs="Calibri"/>
        </w:rPr>
        <w:tab/>
        <w:t xml:space="preserve">Bauer J, Köhler N, Maringer Y, Bucher P, Bilich T, Zwick M, et al. </w:t>
      </w:r>
      <w:r w:rsidRPr="00F45EB1">
        <w:rPr>
          <w:rFonts w:ascii="Calibri" w:hAnsi="Calibri" w:cs="Calibri"/>
          <w:lang w:val="en-AU"/>
        </w:rPr>
        <w:t>The oncogenic fusion protein DNAJB1-PRKACA can be specifically targeted by peptide-based immunotherapy in fibrolamellar hepatocellular carcinoma. Nat Commun. 2022 Oct 27;13(1):6401. doi:10.1038/s41467-022-33746-3</w:t>
      </w:r>
    </w:p>
    <w:p w14:paraId="3F38BE1C" w14:textId="77777777" w:rsidR="00F45EB1" w:rsidRPr="00F45EB1" w:rsidRDefault="00F45EB1" w:rsidP="00F45EB1">
      <w:pPr>
        <w:pStyle w:val="Bibliography"/>
        <w:rPr>
          <w:rFonts w:ascii="Calibri" w:hAnsi="Calibri" w:cs="Calibri"/>
          <w:lang w:val="en-AU"/>
        </w:rPr>
      </w:pPr>
      <w:r w:rsidRPr="00F45EB1">
        <w:rPr>
          <w:rFonts w:ascii="Calibri" w:hAnsi="Calibri" w:cs="Calibri"/>
          <w:lang w:val="en-AU"/>
        </w:rPr>
        <w:t>3.</w:t>
      </w:r>
      <w:r w:rsidRPr="00F45EB1">
        <w:rPr>
          <w:rFonts w:ascii="Calibri" w:hAnsi="Calibri" w:cs="Calibri"/>
          <w:lang w:val="en-AU"/>
        </w:rPr>
        <w:tab/>
        <w:t>Bashore AC, Yan H, Xue C, Zhu LY, Kim E, Mawson T, et al. High-Dimensional Single-Cell Multimodal Landscape of Human Carotid Atherosclerosis. Arterioscler Thromb Vasc Biol. 2024 Apr;44(4):930–45. doi:10.1161/ATVBAHA.123.320524</w:t>
      </w:r>
    </w:p>
    <w:p w14:paraId="7EE200B3" w14:textId="77777777" w:rsidR="00F45EB1" w:rsidRPr="00F45EB1" w:rsidRDefault="00F45EB1" w:rsidP="00F45EB1">
      <w:pPr>
        <w:pStyle w:val="Bibliography"/>
        <w:rPr>
          <w:rFonts w:ascii="Calibri" w:hAnsi="Calibri" w:cs="Calibri"/>
        </w:rPr>
      </w:pPr>
      <w:r w:rsidRPr="00F45EB1">
        <w:rPr>
          <w:rFonts w:ascii="Calibri" w:hAnsi="Calibri" w:cs="Calibri"/>
          <w:lang w:val="en-AU"/>
        </w:rPr>
        <w:t>4.</w:t>
      </w:r>
      <w:r w:rsidRPr="00F45EB1">
        <w:rPr>
          <w:rFonts w:ascii="Calibri" w:hAnsi="Calibri" w:cs="Calibri"/>
          <w:lang w:val="en-AU"/>
        </w:rPr>
        <w:tab/>
        <w:t xml:space="preserve">Dou J, Tan Y, Kock KH, Wang J, Cheng X, Tan LM, et al. Single-nucleotide variant calling in single-cell sequencing data with Monopogen. </w:t>
      </w:r>
      <w:r w:rsidRPr="00F45EB1">
        <w:rPr>
          <w:rFonts w:ascii="Calibri" w:hAnsi="Calibri" w:cs="Calibri"/>
        </w:rPr>
        <w:t>Nat Biotechnol. 2024 May;42(5):803–12. doi:10.1038/s41587-023-01873-x</w:t>
      </w:r>
    </w:p>
    <w:p w14:paraId="5E470EBF" w14:textId="71496EB0" w:rsidR="00B76596" w:rsidRPr="00B76596" w:rsidRDefault="00F45EB1" w:rsidP="00B76596">
      <w:pPr>
        <w:spacing w:before="240" w:line="360" w:lineRule="auto"/>
        <w:jc w:val="both"/>
        <w:rPr>
          <w:bCs/>
          <w:lang w:val="en-AU"/>
        </w:rPr>
      </w:pPr>
      <w:r>
        <w:rPr>
          <w:bCs/>
          <w:lang w:val="en-AU"/>
        </w:rPr>
        <w:fldChar w:fldCharType="end"/>
      </w:r>
    </w:p>
    <w:p w14:paraId="5C24D72F" w14:textId="77777777" w:rsidR="00B76596" w:rsidRPr="00B76596" w:rsidRDefault="00B76596" w:rsidP="00461CEF">
      <w:pPr>
        <w:spacing w:after="0"/>
        <w:jc w:val="both"/>
        <w:rPr>
          <w:bCs/>
          <w:lang w:val="en-AU"/>
        </w:rPr>
      </w:pPr>
    </w:p>
    <w:sectPr w:rsidR="00B76596" w:rsidRPr="00B7659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A56"/>
    <w:rsid w:val="00054919"/>
    <w:rsid w:val="000A5385"/>
    <w:rsid w:val="001D1ED0"/>
    <w:rsid w:val="002235E7"/>
    <w:rsid w:val="002B3F64"/>
    <w:rsid w:val="00311346"/>
    <w:rsid w:val="003C73A2"/>
    <w:rsid w:val="003D4A56"/>
    <w:rsid w:val="00422B0A"/>
    <w:rsid w:val="00424BC7"/>
    <w:rsid w:val="00461CEF"/>
    <w:rsid w:val="0047658A"/>
    <w:rsid w:val="00542F2A"/>
    <w:rsid w:val="005C76A8"/>
    <w:rsid w:val="005E33C1"/>
    <w:rsid w:val="006256BE"/>
    <w:rsid w:val="006439C6"/>
    <w:rsid w:val="006828EF"/>
    <w:rsid w:val="006C0105"/>
    <w:rsid w:val="006C60A2"/>
    <w:rsid w:val="00723C3D"/>
    <w:rsid w:val="007609C2"/>
    <w:rsid w:val="007E2952"/>
    <w:rsid w:val="00810C2E"/>
    <w:rsid w:val="00823FAA"/>
    <w:rsid w:val="0084196A"/>
    <w:rsid w:val="00A364A6"/>
    <w:rsid w:val="00B76596"/>
    <w:rsid w:val="00BE31D9"/>
    <w:rsid w:val="00C10C8B"/>
    <w:rsid w:val="00D17A2B"/>
    <w:rsid w:val="00DD364B"/>
    <w:rsid w:val="00E838F3"/>
    <w:rsid w:val="00EA457D"/>
    <w:rsid w:val="00EE5F0F"/>
    <w:rsid w:val="00F37234"/>
    <w:rsid w:val="00F45EB1"/>
    <w:rsid w:val="00F75420"/>
    <w:rsid w:val="00FF31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9A74"/>
  <w15:chartTrackingRefBased/>
  <w15:docId w15:val="{BAD92699-A8C7-4126-ACEC-15591426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F0F"/>
    <w:rPr>
      <w:lang w:val="de-DE"/>
    </w:rPr>
  </w:style>
  <w:style w:type="paragraph" w:styleId="Heading1">
    <w:name w:val="heading 1"/>
    <w:basedOn w:val="Normal"/>
    <w:next w:val="Normal"/>
    <w:link w:val="Heading1Char"/>
    <w:uiPriority w:val="9"/>
    <w:qFormat/>
    <w:rsid w:val="003D4A56"/>
    <w:pPr>
      <w:keepNext/>
      <w:keepLines/>
      <w:spacing w:before="360" w:after="80"/>
      <w:outlineLvl w:val="0"/>
    </w:pPr>
    <w:rPr>
      <w:rFonts w:asciiTheme="majorHAnsi" w:eastAsiaTheme="majorEastAsia" w:hAnsiTheme="majorHAnsi" w:cstheme="majorBidi"/>
      <w:color w:val="2E74B5" w:themeColor="accent1" w:themeShade="BF"/>
      <w:sz w:val="40"/>
      <w:szCs w:val="40"/>
      <w:lang w:val="en-AU"/>
    </w:rPr>
  </w:style>
  <w:style w:type="paragraph" w:styleId="Heading2">
    <w:name w:val="heading 2"/>
    <w:basedOn w:val="Normal"/>
    <w:next w:val="Normal"/>
    <w:link w:val="Heading2Char"/>
    <w:uiPriority w:val="9"/>
    <w:semiHidden/>
    <w:unhideWhenUsed/>
    <w:qFormat/>
    <w:rsid w:val="003D4A56"/>
    <w:pPr>
      <w:keepNext/>
      <w:keepLines/>
      <w:spacing w:before="160" w:after="80"/>
      <w:outlineLvl w:val="1"/>
    </w:pPr>
    <w:rPr>
      <w:rFonts w:asciiTheme="majorHAnsi" w:eastAsiaTheme="majorEastAsia" w:hAnsiTheme="majorHAnsi" w:cstheme="majorBidi"/>
      <w:color w:val="2E74B5" w:themeColor="accent1" w:themeShade="BF"/>
      <w:sz w:val="32"/>
      <w:szCs w:val="32"/>
      <w:lang w:val="en-AU"/>
    </w:rPr>
  </w:style>
  <w:style w:type="paragraph" w:styleId="Heading3">
    <w:name w:val="heading 3"/>
    <w:basedOn w:val="Normal"/>
    <w:next w:val="Normal"/>
    <w:link w:val="Heading3Char"/>
    <w:uiPriority w:val="9"/>
    <w:semiHidden/>
    <w:unhideWhenUsed/>
    <w:qFormat/>
    <w:rsid w:val="003D4A56"/>
    <w:pPr>
      <w:keepNext/>
      <w:keepLines/>
      <w:spacing w:before="160" w:after="80"/>
      <w:outlineLvl w:val="2"/>
    </w:pPr>
    <w:rPr>
      <w:rFonts w:eastAsiaTheme="majorEastAsia" w:cstheme="majorBidi"/>
      <w:color w:val="2E74B5" w:themeColor="accent1" w:themeShade="BF"/>
      <w:sz w:val="28"/>
      <w:szCs w:val="28"/>
      <w:lang w:val="en-AU"/>
    </w:rPr>
  </w:style>
  <w:style w:type="paragraph" w:styleId="Heading4">
    <w:name w:val="heading 4"/>
    <w:basedOn w:val="Normal"/>
    <w:next w:val="Normal"/>
    <w:link w:val="Heading4Char"/>
    <w:uiPriority w:val="9"/>
    <w:semiHidden/>
    <w:unhideWhenUsed/>
    <w:qFormat/>
    <w:rsid w:val="003D4A56"/>
    <w:pPr>
      <w:keepNext/>
      <w:keepLines/>
      <w:spacing w:before="80" w:after="40"/>
      <w:outlineLvl w:val="3"/>
    </w:pPr>
    <w:rPr>
      <w:rFonts w:eastAsiaTheme="majorEastAsia" w:cstheme="majorBidi"/>
      <w:i/>
      <w:iCs/>
      <w:color w:val="2E74B5" w:themeColor="accent1" w:themeShade="BF"/>
      <w:lang w:val="en-AU"/>
    </w:rPr>
  </w:style>
  <w:style w:type="paragraph" w:styleId="Heading5">
    <w:name w:val="heading 5"/>
    <w:basedOn w:val="Normal"/>
    <w:next w:val="Normal"/>
    <w:link w:val="Heading5Char"/>
    <w:uiPriority w:val="9"/>
    <w:semiHidden/>
    <w:unhideWhenUsed/>
    <w:qFormat/>
    <w:rsid w:val="003D4A56"/>
    <w:pPr>
      <w:keepNext/>
      <w:keepLines/>
      <w:spacing w:before="80" w:after="40"/>
      <w:outlineLvl w:val="4"/>
    </w:pPr>
    <w:rPr>
      <w:rFonts w:eastAsiaTheme="majorEastAsia" w:cstheme="majorBidi"/>
      <w:color w:val="2E74B5" w:themeColor="accent1" w:themeShade="BF"/>
      <w:lang w:val="en-AU"/>
    </w:rPr>
  </w:style>
  <w:style w:type="paragraph" w:styleId="Heading6">
    <w:name w:val="heading 6"/>
    <w:basedOn w:val="Normal"/>
    <w:next w:val="Normal"/>
    <w:link w:val="Heading6Char"/>
    <w:uiPriority w:val="9"/>
    <w:semiHidden/>
    <w:unhideWhenUsed/>
    <w:qFormat/>
    <w:rsid w:val="003D4A56"/>
    <w:pPr>
      <w:keepNext/>
      <w:keepLines/>
      <w:spacing w:before="40" w:after="0"/>
      <w:outlineLvl w:val="5"/>
    </w:pPr>
    <w:rPr>
      <w:rFonts w:eastAsiaTheme="majorEastAsia" w:cstheme="majorBidi"/>
      <w:i/>
      <w:iCs/>
      <w:color w:val="595959" w:themeColor="text1" w:themeTint="A6"/>
      <w:lang w:val="en-AU"/>
    </w:rPr>
  </w:style>
  <w:style w:type="paragraph" w:styleId="Heading7">
    <w:name w:val="heading 7"/>
    <w:basedOn w:val="Normal"/>
    <w:next w:val="Normal"/>
    <w:link w:val="Heading7Char"/>
    <w:uiPriority w:val="9"/>
    <w:semiHidden/>
    <w:unhideWhenUsed/>
    <w:qFormat/>
    <w:rsid w:val="003D4A56"/>
    <w:pPr>
      <w:keepNext/>
      <w:keepLines/>
      <w:spacing w:before="40" w:after="0"/>
      <w:outlineLvl w:val="6"/>
    </w:pPr>
    <w:rPr>
      <w:rFonts w:eastAsiaTheme="majorEastAsia" w:cstheme="majorBidi"/>
      <w:color w:val="595959" w:themeColor="text1" w:themeTint="A6"/>
      <w:lang w:val="en-AU"/>
    </w:rPr>
  </w:style>
  <w:style w:type="paragraph" w:styleId="Heading8">
    <w:name w:val="heading 8"/>
    <w:basedOn w:val="Normal"/>
    <w:next w:val="Normal"/>
    <w:link w:val="Heading8Char"/>
    <w:uiPriority w:val="9"/>
    <w:semiHidden/>
    <w:unhideWhenUsed/>
    <w:qFormat/>
    <w:rsid w:val="003D4A56"/>
    <w:pPr>
      <w:keepNext/>
      <w:keepLines/>
      <w:spacing w:after="0"/>
      <w:outlineLvl w:val="7"/>
    </w:pPr>
    <w:rPr>
      <w:rFonts w:eastAsiaTheme="majorEastAsia" w:cstheme="majorBidi"/>
      <w:i/>
      <w:iCs/>
      <w:color w:val="272727" w:themeColor="text1" w:themeTint="D8"/>
      <w:lang w:val="en-AU"/>
    </w:rPr>
  </w:style>
  <w:style w:type="paragraph" w:styleId="Heading9">
    <w:name w:val="heading 9"/>
    <w:basedOn w:val="Normal"/>
    <w:next w:val="Normal"/>
    <w:link w:val="Heading9Char"/>
    <w:uiPriority w:val="9"/>
    <w:semiHidden/>
    <w:unhideWhenUsed/>
    <w:qFormat/>
    <w:rsid w:val="003D4A56"/>
    <w:pPr>
      <w:keepNext/>
      <w:keepLines/>
      <w:spacing w:after="0"/>
      <w:outlineLvl w:val="8"/>
    </w:pPr>
    <w:rPr>
      <w:rFonts w:eastAsiaTheme="majorEastAsia" w:cstheme="majorBidi"/>
      <w:color w:val="272727" w:themeColor="text1" w:themeTint="D8"/>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A5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D4A5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D4A5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D4A5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D4A5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4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A56"/>
    <w:rPr>
      <w:rFonts w:eastAsiaTheme="majorEastAsia" w:cstheme="majorBidi"/>
      <w:color w:val="272727" w:themeColor="text1" w:themeTint="D8"/>
    </w:rPr>
  </w:style>
  <w:style w:type="paragraph" w:styleId="Title">
    <w:name w:val="Title"/>
    <w:basedOn w:val="Normal"/>
    <w:next w:val="Normal"/>
    <w:link w:val="TitleChar"/>
    <w:uiPriority w:val="10"/>
    <w:qFormat/>
    <w:rsid w:val="003D4A56"/>
    <w:pPr>
      <w:spacing w:after="80" w:line="240" w:lineRule="auto"/>
      <w:contextualSpacing/>
    </w:pPr>
    <w:rPr>
      <w:rFonts w:asciiTheme="majorHAnsi" w:eastAsiaTheme="majorEastAsia" w:hAnsiTheme="majorHAnsi" w:cstheme="majorBidi"/>
      <w:spacing w:val="-10"/>
      <w:kern w:val="28"/>
      <w:sz w:val="56"/>
      <w:szCs w:val="56"/>
      <w:lang w:val="en-AU"/>
    </w:rPr>
  </w:style>
  <w:style w:type="character" w:customStyle="1" w:styleId="TitleChar">
    <w:name w:val="Title Char"/>
    <w:basedOn w:val="DefaultParagraphFont"/>
    <w:link w:val="Title"/>
    <w:uiPriority w:val="10"/>
    <w:rsid w:val="003D4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A56"/>
    <w:pPr>
      <w:numPr>
        <w:ilvl w:val="1"/>
      </w:numPr>
    </w:pPr>
    <w:rPr>
      <w:rFonts w:eastAsiaTheme="majorEastAsia" w:cstheme="majorBidi"/>
      <w:color w:val="595959" w:themeColor="text1" w:themeTint="A6"/>
      <w:spacing w:val="15"/>
      <w:sz w:val="28"/>
      <w:szCs w:val="28"/>
      <w:lang w:val="en-AU"/>
    </w:rPr>
  </w:style>
  <w:style w:type="character" w:customStyle="1" w:styleId="SubtitleChar">
    <w:name w:val="Subtitle Char"/>
    <w:basedOn w:val="DefaultParagraphFont"/>
    <w:link w:val="Subtitle"/>
    <w:uiPriority w:val="11"/>
    <w:rsid w:val="003D4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A56"/>
    <w:pPr>
      <w:spacing w:before="160"/>
      <w:jc w:val="center"/>
    </w:pPr>
    <w:rPr>
      <w:i/>
      <w:iCs/>
      <w:color w:val="404040" w:themeColor="text1" w:themeTint="BF"/>
      <w:lang w:val="en-AU"/>
    </w:rPr>
  </w:style>
  <w:style w:type="character" w:customStyle="1" w:styleId="QuoteChar">
    <w:name w:val="Quote Char"/>
    <w:basedOn w:val="DefaultParagraphFont"/>
    <w:link w:val="Quote"/>
    <w:uiPriority w:val="29"/>
    <w:rsid w:val="003D4A56"/>
    <w:rPr>
      <w:i/>
      <w:iCs/>
      <w:color w:val="404040" w:themeColor="text1" w:themeTint="BF"/>
    </w:rPr>
  </w:style>
  <w:style w:type="paragraph" w:styleId="ListParagraph">
    <w:name w:val="List Paragraph"/>
    <w:basedOn w:val="Normal"/>
    <w:uiPriority w:val="34"/>
    <w:qFormat/>
    <w:rsid w:val="003D4A56"/>
    <w:pPr>
      <w:ind w:left="720"/>
      <w:contextualSpacing/>
    </w:pPr>
    <w:rPr>
      <w:lang w:val="en-AU"/>
    </w:rPr>
  </w:style>
  <w:style w:type="character" w:styleId="IntenseEmphasis">
    <w:name w:val="Intense Emphasis"/>
    <w:basedOn w:val="DefaultParagraphFont"/>
    <w:uiPriority w:val="21"/>
    <w:qFormat/>
    <w:rsid w:val="003D4A56"/>
    <w:rPr>
      <w:i/>
      <w:iCs/>
      <w:color w:val="2E74B5" w:themeColor="accent1" w:themeShade="BF"/>
    </w:rPr>
  </w:style>
  <w:style w:type="paragraph" w:styleId="IntenseQuote">
    <w:name w:val="Intense Quote"/>
    <w:basedOn w:val="Normal"/>
    <w:next w:val="Normal"/>
    <w:link w:val="IntenseQuoteChar"/>
    <w:uiPriority w:val="30"/>
    <w:qFormat/>
    <w:rsid w:val="003D4A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lang w:val="en-AU"/>
    </w:rPr>
  </w:style>
  <w:style w:type="character" w:customStyle="1" w:styleId="IntenseQuoteChar">
    <w:name w:val="Intense Quote Char"/>
    <w:basedOn w:val="DefaultParagraphFont"/>
    <w:link w:val="IntenseQuote"/>
    <w:uiPriority w:val="30"/>
    <w:rsid w:val="003D4A56"/>
    <w:rPr>
      <w:i/>
      <w:iCs/>
      <w:color w:val="2E74B5" w:themeColor="accent1" w:themeShade="BF"/>
    </w:rPr>
  </w:style>
  <w:style w:type="character" w:styleId="IntenseReference">
    <w:name w:val="Intense Reference"/>
    <w:basedOn w:val="DefaultParagraphFont"/>
    <w:uiPriority w:val="32"/>
    <w:qFormat/>
    <w:rsid w:val="003D4A56"/>
    <w:rPr>
      <w:b/>
      <w:bCs/>
      <w:smallCaps/>
      <w:color w:val="2E74B5" w:themeColor="accent1" w:themeShade="BF"/>
      <w:spacing w:val="5"/>
    </w:rPr>
  </w:style>
  <w:style w:type="character" w:styleId="Hyperlink">
    <w:name w:val="Hyperlink"/>
    <w:basedOn w:val="DefaultParagraphFont"/>
    <w:uiPriority w:val="99"/>
    <w:unhideWhenUsed/>
    <w:rsid w:val="003C73A2"/>
    <w:rPr>
      <w:color w:val="0563C1" w:themeColor="hyperlink"/>
      <w:u w:val="single"/>
    </w:rPr>
  </w:style>
  <w:style w:type="character" w:styleId="UnresolvedMention">
    <w:name w:val="Unresolved Mention"/>
    <w:basedOn w:val="DefaultParagraphFont"/>
    <w:uiPriority w:val="99"/>
    <w:semiHidden/>
    <w:unhideWhenUsed/>
    <w:rsid w:val="003C73A2"/>
    <w:rPr>
      <w:color w:val="605E5C"/>
      <w:shd w:val="clear" w:color="auto" w:fill="E1DFDD"/>
    </w:rPr>
  </w:style>
  <w:style w:type="paragraph" w:styleId="Bibliography">
    <w:name w:val="Bibliography"/>
    <w:basedOn w:val="Normal"/>
    <w:next w:val="Normal"/>
    <w:uiPriority w:val="37"/>
    <w:unhideWhenUsed/>
    <w:rsid w:val="00F45EB1"/>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lexioner8/SNP-based_Proximit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3737</Words>
  <Characters>21303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Klinikum der Universitaet Muenchen</Company>
  <LinksUpToDate>false</LinksUpToDate>
  <CharactersWithSpaces>24991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Martínez</dc:creator>
  <cp:keywords/>
  <dc:description/>
  <cp:lastModifiedBy>Alejandro Martínez</cp:lastModifiedBy>
  <cp:revision>12</cp:revision>
  <dcterms:created xsi:type="dcterms:W3CDTF">2025-09-16T13:49:00Z</dcterms:created>
  <dcterms:modified xsi:type="dcterms:W3CDTF">2026-07-27T14:51:00Z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id="tpwR1xK6"/&gt;&lt;style id="http://www.zotero.org/styles/nlm-citation-sequence" locale="en-GB"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ies>
</file>