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DDDB32" w14:textId="3379AB02" w:rsidR="002235E7" w:rsidRDefault="002235E7" w:rsidP="00461CEF">
      <w:pPr>
        <w:pStyle w:val="Title"/>
        <w:spacing w:line="276" w:lineRule="auto"/>
      </w:pPr>
      <w:r>
        <w:t>Extended Methods</w:t>
      </w:r>
    </w:p>
    <w:p w14:paraId="6D061AC5" w14:textId="1C423451" w:rsidR="006828EF" w:rsidRPr="001D1ED0" w:rsidRDefault="00723C3D" w:rsidP="00461CEF">
      <w:pPr>
        <w:spacing w:before="240" w:after="0" w:line="360" w:lineRule="auto"/>
        <w:jc w:val="both"/>
        <w:rPr>
          <w:lang w:val="en-AU"/>
        </w:rPr>
      </w:pPr>
      <w:r>
        <w:rPr>
          <w:bCs/>
          <w:lang w:val="en-AU"/>
        </w:rPr>
        <w:t xml:space="preserve">In this work we applied </w:t>
      </w:r>
      <w:r w:rsidRPr="002361E7">
        <w:rPr>
          <w:bCs/>
          <w:i/>
          <w:iCs/>
          <w:lang w:val="en-AU"/>
        </w:rPr>
        <w:t>Monopogen</w:t>
      </w:r>
      <w:r>
        <w:rPr>
          <w:bCs/>
          <w:lang w:val="en-AU"/>
        </w:rPr>
        <w:t xml:space="preserve"> SNV calling pipeline and our novel SNV-based NN-cell detection algorithm to human carotid artery full-length </w:t>
      </w:r>
      <w:proofErr w:type="spellStart"/>
      <w:r>
        <w:rPr>
          <w:bCs/>
          <w:lang w:val="en-AU"/>
        </w:rPr>
        <w:t>scRNA</w:t>
      </w:r>
      <w:proofErr w:type="spellEnd"/>
      <w:r>
        <w:rPr>
          <w:bCs/>
          <w:lang w:val="en-AU"/>
        </w:rPr>
        <w:t xml:space="preserve">-seq dataset of </w:t>
      </w:r>
      <w:r w:rsidRPr="00EA75B3">
        <w:rPr>
          <w:bCs/>
          <w:lang w:val="en-AU"/>
        </w:rPr>
        <w:t>5179</w:t>
      </w:r>
      <w:r>
        <w:rPr>
          <w:bCs/>
          <w:lang w:val="en-AU"/>
        </w:rPr>
        <w:t xml:space="preserve"> single cells generated with SMART-seq2 technology by Mocci et al. (GSE260657) </w:t>
      </w:r>
      <w:proofErr w:type="spellStart"/>
      <w:r w:rsidR="00EE5F0F" w:rsidRPr="00AD46E8">
        <w:rPr>
          <w:bCs/>
          <w:lang w:val="en-AU"/>
        </w:rPr>
        <w:t>Fastq</w:t>
      </w:r>
      <w:proofErr w:type="spellEnd"/>
      <w:r w:rsidR="00EE5F0F" w:rsidRPr="00AD46E8">
        <w:rPr>
          <w:bCs/>
          <w:lang w:val="en-AU"/>
        </w:rPr>
        <w:t xml:space="preserve"> files were</w:t>
      </w:r>
      <w:r w:rsidR="00EE5F0F">
        <w:rPr>
          <w:bCs/>
          <w:lang w:val="en-AU"/>
        </w:rPr>
        <w:t xml:space="preserve"> trimmed by Trimmomatic-0.39 and</w:t>
      </w:r>
      <w:r w:rsidR="00EE5F0F" w:rsidRPr="00AD46E8">
        <w:rPr>
          <w:bCs/>
          <w:lang w:val="en-AU"/>
        </w:rPr>
        <w:t xml:space="preserve"> aligned to </w:t>
      </w:r>
      <w:r w:rsidR="00EE5F0F">
        <w:rPr>
          <w:bCs/>
          <w:lang w:val="en-AU"/>
        </w:rPr>
        <w:t>human</w:t>
      </w:r>
      <w:r w:rsidR="00EE5F0F" w:rsidRPr="00AD46E8">
        <w:rPr>
          <w:bCs/>
          <w:lang w:val="en-AU"/>
        </w:rPr>
        <w:t xml:space="preserve"> reference genome </w:t>
      </w:r>
      <w:r w:rsidR="00EE5F0F">
        <w:rPr>
          <w:bCs/>
          <w:lang w:val="en-AU"/>
        </w:rPr>
        <w:t>GRCh38</w:t>
      </w:r>
      <w:r w:rsidR="00EE5F0F" w:rsidRPr="00AD46E8">
        <w:rPr>
          <w:bCs/>
          <w:lang w:val="en-AU"/>
        </w:rPr>
        <w:t xml:space="preserve"> individually using </w:t>
      </w:r>
      <w:r w:rsidR="00EE5F0F">
        <w:rPr>
          <w:bCs/>
          <w:lang w:val="en-AU"/>
        </w:rPr>
        <w:t>STAR-2.7.11b package. Cell feature counts were calculated using subread-2.0.6 package. Cell-specific aligned bam files were merged and cell-tag labelled by patient (13 patients in total) excluding very low cell count patients (</w:t>
      </w:r>
      <w:r w:rsidR="00EE5F0F" w:rsidRPr="006021A0">
        <w:rPr>
          <w:bCs/>
          <w:lang w:val="en-AU"/>
        </w:rPr>
        <w:t>SRX23809081</w:t>
      </w:r>
      <w:r w:rsidR="00EE5F0F">
        <w:rPr>
          <w:bCs/>
          <w:lang w:val="en-AU"/>
        </w:rPr>
        <w:t xml:space="preserve"> and </w:t>
      </w:r>
      <w:r w:rsidR="00EE5F0F" w:rsidRPr="006021A0">
        <w:rPr>
          <w:bCs/>
          <w:lang w:val="en-AU"/>
        </w:rPr>
        <w:t>SRX2380908</w:t>
      </w:r>
      <w:r w:rsidR="00EE5F0F">
        <w:rPr>
          <w:bCs/>
          <w:lang w:val="en-AU"/>
        </w:rPr>
        <w:t xml:space="preserve">4). </w:t>
      </w:r>
      <w:r w:rsidR="00EE5F0F" w:rsidRPr="0028559E">
        <w:rPr>
          <w:bCs/>
          <w:i/>
          <w:iCs/>
          <w:lang w:val="en-AU"/>
        </w:rPr>
        <w:t>Monopogen</w:t>
      </w:r>
      <w:r w:rsidR="00EE5F0F">
        <w:rPr>
          <w:bCs/>
          <w:lang w:val="en-AU"/>
        </w:rPr>
        <w:t xml:space="preserve"> SNV calling pipeline as described by Dou et al. was applied to this dataset. Single-cell SNV matrix was filtered for high quality germline and somatic SNVs (</w:t>
      </w:r>
      <w:proofErr w:type="spellStart"/>
      <w:r w:rsidR="00EE5F0F" w:rsidRPr="0028559E">
        <w:rPr>
          <w:bCs/>
          <w:lang w:val="en-AU"/>
        </w:rPr>
        <w:t>Depth_ref</w:t>
      </w:r>
      <w:proofErr w:type="spellEnd"/>
      <w:r w:rsidR="00EE5F0F" w:rsidRPr="0028559E">
        <w:rPr>
          <w:bCs/>
          <w:lang w:val="en-AU"/>
        </w:rPr>
        <w:t>&gt;5</w:t>
      </w:r>
      <w:r w:rsidR="00EE5F0F">
        <w:rPr>
          <w:bCs/>
          <w:lang w:val="en-AU"/>
        </w:rPr>
        <w:t xml:space="preserve">, </w:t>
      </w:r>
      <w:proofErr w:type="spellStart"/>
      <w:r w:rsidR="00EE5F0F" w:rsidRPr="0028559E">
        <w:rPr>
          <w:bCs/>
          <w:lang w:val="en-AU"/>
        </w:rPr>
        <w:t>Depth_alt</w:t>
      </w:r>
      <w:proofErr w:type="spellEnd"/>
      <w:r w:rsidR="00EE5F0F" w:rsidRPr="0028559E">
        <w:rPr>
          <w:bCs/>
          <w:lang w:val="en-AU"/>
        </w:rPr>
        <w:t>&gt;5</w:t>
      </w:r>
      <w:r w:rsidR="00EE5F0F">
        <w:rPr>
          <w:bCs/>
          <w:lang w:val="en-AU"/>
        </w:rPr>
        <w:t xml:space="preserve"> and </w:t>
      </w:r>
      <w:proofErr w:type="spellStart"/>
      <w:r w:rsidR="00EE5F0F" w:rsidRPr="0028559E">
        <w:rPr>
          <w:bCs/>
          <w:lang w:val="en-AU"/>
        </w:rPr>
        <w:t>SVM_pos_score</w:t>
      </w:r>
      <w:proofErr w:type="spellEnd"/>
      <w:r w:rsidR="00EE5F0F" w:rsidRPr="0028559E">
        <w:rPr>
          <w:bCs/>
          <w:lang w:val="en-AU"/>
        </w:rPr>
        <w:t>&gt;0.1</w:t>
      </w:r>
      <w:r w:rsidR="00EE5F0F">
        <w:rPr>
          <w:bCs/>
          <w:lang w:val="en-AU"/>
        </w:rPr>
        <w:t xml:space="preserve">). </w:t>
      </w:r>
      <w:r w:rsidR="00EE5F0F" w:rsidRPr="000F0B80">
        <w:rPr>
          <w:lang w:val="en-AU"/>
        </w:rPr>
        <w:t>Data processing was conducted in R 4.</w:t>
      </w:r>
      <w:r w:rsidR="00EE5F0F">
        <w:rPr>
          <w:lang w:val="en-AU"/>
        </w:rPr>
        <w:t>4.3</w:t>
      </w:r>
      <w:r w:rsidR="00EE5F0F" w:rsidRPr="000F0B80">
        <w:rPr>
          <w:lang w:val="en-AU"/>
        </w:rPr>
        <w:t xml:space="preserve"> using Seurat </w:t>
      </w:r>
      <w:r w:rsidR="00EE5F0F">
        <w:rPr>
          <w:lang w:val="en-AU"/>
        </w:rPr>
        <w:t>5</w:t>
      </w:r>
      <w:r w:rsidR="00EE5F0F" w:rsidRPr="000F0B80">
        <w:rPr>
          <w:lang w:val="en-AU"/>
        </w:rPr>
        <w:t>.</w:t>
      </w:r>
      <w:r w:rsidR="00EE5F0F">
        <w:rPr>
          <w:lang w:val="en-AU"/>
        </w:rPr>
        <w:t>3</w:t>
      </w:r>
      <w:r w:rsidR="00EE5F0F" w:rsidRPr="000F0B80">
        <w:rPr>
          <w:lang w:val="en-AU"/>
        </w:rPr>
        <w:t>.</w:t>
      </w:r>
      <w:r w:rsidR="00EE5F0F">
        <w:rPr>
          <w:lang w:val="en-AU"/>
        </w:rPr>
        <w:t>0 version.</w:t>
      </w:r>
      <w:r w:rsidR="00EE5F0F">
        <w:rPr>
          <w:bCs/>
          <w:lang w:val="en-AU"/>
        </w:rPr>
        <w:t xml:space="preserve"> </w:t>
      </w:r>
      <w:r w:rsidR="003C73A2">
        <w:rPr>
          <w:bCs/>
          <w:lang w:val="en-AU"/>
        </w:rPr>
        <w:t xml:space="preserve">In brief, </w:t>
      </w:r>
      <w:r w:rsidR="00EA457D" w:rsidRPr="0047658A">
        <w:rPr>
          <w:lang w:val="en-AU"/>
        </w:rPr>
        <w:t>the</w:t>
      </w:r>
      <w:r w:rsidR="003C73A2" w:rsidRPr="0047658A">
        <w:rPr>
          <w:lang w:val="en-AU"/>
        </w:rPr>
        <w:t xml:space="preserve"> raw count matrices were imported and filtered based on the following criteria: </w:t>
      </w:r>
      <w:proofErr w:type="spellStart"/>
      <w:r w:rsidR="00F75420" w:rsidRPr="00F75420">
        <w:rPr>
          <w:i/>
          <w:iCs/>
          <w:lang w:val="en-AU"/>
        </w:rPr>
        <w:t>nFeature_RNA</w:t>
      </w:r>
      <w:proofErr w:type="spellEnd"/>
      <w:r w:rsidR="00F75420" w:rsidRPr="00F75420">
        <w:rPr>
          <w:i/>
          <w:iCs/>
          <w:lang w:val="en-AU"/>
        </w:rPr>
        <w:t xml:space="preserve"> &gt; 1000 &amp; </w:t>
      </w:r>
      <w:proofErr w:type="spellStart"/>
      <w:r w:rsidR="00F75420" w:rsidRPr="00F75420">
        <w:rPr>
          <w:i/>
          <w:iCs/>
          <w:lang w:val="en-AU"/>
        </w:rPr>
        <w:t>nFeature_RNA</w:t>
      </w:r>
      <w:proofErr w:type="spellEnd"/>
      <w:r w:rsidR="00F75420" w:rsidRPr="00F75420">
        <w:rPr>
          <w:i/>
          <w:iCs/>
          <w:lang w:val="en-AU"/>
        </w:rPr>
        <w:t xml:space="preserve"> &lt; 10000 &amp; </w:t>
      </w:r>
      <w:proofErr w:type="spellStart"/>
      <w:r w:rsidR="00F75420" w:rsidRPr="00F75420">
        <w:rPr>
          <w:i/>
          <w:iCs/>
          <w:lang w:val="en-AU"/>
        </w:rPr>
        <w:t>nCount_RNA</w:t>
      </w:r>
      <w:proofErr w:type="spellEnd"/>
      <w:r w:rsidR="00F75420" w:rsidRPr="00F75420">
        <w:rPr>
          <w:i/>
          <w:iCs/>
          <w:lang w:val="en-AU"/>
        </w:rPr>
        <w:t xml:space="preserve"> &gt; 10000 &amp; </w:t>
      </w:r>
      <w:proofErr w:type="spellStart"/>
      <w:r w:rsidR="00F75420" w:rsidRPr="00F75420">
        <w:rPr>
          <w:i/>
          <w:iCs/>
          <w:lang w:val="en-AU"/>
        </w:rPr>
        <w:t>nCount_RNA</w:t>
      </w:r>
      <w:proofErr w:type="spellEnd"/>
      <w:r w:rsidR="00F75420" w:rsidRPr="00F75420">
        <w:rPr>
          <w:i/>
          <w:iCs/>
          <w:lang w:val="en-AU"/>
        </w:rPr>
        <w:t xml:space="preserve"> &lt; 1000000</w:t>
      </w:r>
      <w:r w:rsidR="003C73A2" w:rsidRPr="0047658A">
        <w:rPr>
          <w:lang w:val="en-AU"/>
        </w:rPr>
        <w:t xml:space="preserve">, and </w:t>
      </w:r>
      <w:r w:rsidR="003C73A2" w:rsidRPr="0047658A">
        <w:rPr>
          <w:i/>
          <w:iCs/>
          <w:lang w:val="en-AU"/>
        </w:rPr>
        <w:t>percent.mt</w:t>
      </w:r>
      <w:r w:rsidR="003C73A2" w:rsidRPr="0047658A">
        <w:rPr>
          <w:lang w:val="en-AU"/>
        </w:rPr>
        <w:t xml:space="preserve"> &lt; 15</w:t>
      </w:r>
      <w:r w:rsidR="00F75420">
        <w:rPr>
          <w:lang w:val="en-AU"/>
        </w:rPr>
        <w:t xml:space="preserve">. </w:t>
      </w:r>
      <w:r w:rsidR="00F75420" w:rsidRPr="0047658A">
        <w:rPr>
          <w:lang w:val="en-AU"/>
        </w:rPr>
        <w:t>Principal component analysis (PCA) was conducted with default parameters</w:t>
      </w:r>
      <w:r w:rsidR="00EA457D">
        <w:rPr>
          <w:lang w:val="en-AU"/>
        </w:rPr>
        <w:t xml:space="preserve">, </w:t>
      </w:r>
      <w:proofErr w:type="spellStart"/>
      <w:r w:rsidR="00EA457D" w:rsidRPr="00EA457D">
        <w:rPr>
          <w:lang w:val="en-AU"/>
        </w:rPr>
        <w:t>FindNeighbors</w:t>
      </w:r>
      <w:proofErr w:type="spellEnd"/>
      <w:r w:rsidR="00EA457D">
        <w:rPr>
          <w:lang w:val="en-AU"/>
        </w:rPr>
        <w:t xml:space="preserve">, </w:t>
      </w:r>
      <w:proofErr w:type="spellStart"/>
      <w:r w:rsidR="00EA457D">
        <w:rPr>
          <w:lang w:val="en-AU"/>
        </w:rPr>
        <w:t>FindClusters</w:t>
      </w:r>
      <w:proofErr w:type="spellEnd"/>
      <w:r w:rsidR="00EA457D">
        <w:rPr>
          <w:lang w:val="en-AU"/>
        </w:rPr>
        <w:t xml:space="preserve"> (resolution=0.1) and</w:t>
      </w:r>
      <w:r w:rsidR="00F75420">
        <w:rPr>
          <w:lang w:val="en-AU"/>
        </w:rPr>
        <w:t xml:space="preserve"> UMAP embedding</w:t>
      </w:r>
      <w:r w:rsidR="00F75420" w:rsidRPr="0047658A">
        <w:rPr>
          <w:lang w:val="en-AU"/>
        </w:rPr>
        <w:t xml:space="preserve"> using the first </w:t>
      </w:r>
      <w:r w:rsidR="00F75420">
        <w:rPr>
          <w:lang w:val="en-AU"/>
        </w:rPr>
        <w:t>4</w:t>
      </w:r>
      <w:r w:rsidR="00F75420" w:rsidRPr="0047658A">
        <w:rPr>
          <w:lang w:val="en-AU"/>
        </w:rPr>
        <w:t>0 principal components.</w:t>
      </w:r>
      <w:r w:rsidR="00EA457D">
        <w:rPr>
          <w:lang w:val="en-AU"/>
        </w:rPr>
        <w:t xml:space="preserve"> </w:t>
      </w:r>
      <w:r w:rsidR="00EA457D" w:rsidRPr="00EA457D">
        <w:rPr>
          <w:lang w:val="en-AU"/>
        </w:rPr>
        <w:t xml:space="preserve">Marker genes for each cluster were identified using Seurat’s </w:t>
      </w:r>
      <w:proofErr w:type="spellStart"/>
      <w:r w:rsidR="00EA457D" w:rsidRPr="00EA457D">
        <w:rPr>
          <w:i/>
          <w:iCs/>
          <w:lang w:val="en-AU"/>
        </w:rPr>
        <w:t>FindMarkers</w:t>
      </w:r>
      <w:proofErr w:type="spellEnd"/>
      <w:r w:rsidR="00EA457D" w:rsidRPr="00EA457D">
        <w:rPr>
          <w:lang w:val="en-AU"/>
        </w:rPr>
        <w:t xml:space="preserve"> function with the </w:t>
      </w:r>
      <w:proofErr w:type="spellStart"/>
      <w:r w:rsidR="00422B0A">
        <w:rPr>
          <w:lang w:val="en-AU"/>
        </w:rPr>
        <w:t>wilcox</w:t>
      </w:r>
      <w:proofErr w:type="spellEnd"/>
      <w:r w:rsidR="00422B0A">
        <w:rPr>
          <w:lang w:val="en-AU"/>
        </w:rPr>
        <w:t xml:space="preserve"> </w:t>
      </w:r>
      <w:r w:rsidR="00EA457D" w:rsidRPr="00EA457D">
        <w:rPr>
          <w:lang w:val="en-AU"/>
        </w:rPr>
        <w:t>test, and differential gene expression analysis was conducted on the RNA assay using the same statistical method.</w:t>
      </w:r>
      <w:r w:rsidR="00422B0A">
        <w:rPr>
          <w:lang w:val="en-AU"/>
        </w:rPr>
        <w:t xml:space="preserve"> </w:t>
      </w:r>
    </w:p>
    <w:p w14:paraId="06B9F313" w14:textId="76577C70" w:rsidR="00723C3D" w:rsidRDefault="00723C3D" w:rsidP="00461CEF">
      <w:pPr>
        <w:spacing w:before="240" w:after="0" w:line="360" w:lineRule="auto"/>
        <w:jc w:val="both"/>
        <w:rPr>
          <w:lang w:val="en-AU"/>
        </w:rPr>
      </w:pPr>
      <w:r>
        <w:rPr>
          <w:bCs/>
          <w:lang w:val="en-AU"/>
        </w:rPr>
        <w:t xml:space="preserve">Raw files from droplet-based </w:t>
      </w:r>
      <w:proofErr w:type="spellStart"/>
      <w:r>
        <w:rPr>
          <w:bCs/>
          <w:lang w:val="en-AU"/>
        </w:rPr>
        <w:t>scRNA</w:t>
      </w:r>
      <w:proofErr w:type="spellEnd"/>
      <w:r>
        <w:rPr>
          <w:bCs/>
          <w:lang w:val="en-AU"/>
        </w:rPr>
        <w:t xml:space="preserve">-seq dataset of 3882 T-cells (10X Genomics) were processed with </w:t>
      </w:r>
      <w:r w:rsidR="005E33C1">
        <w:rPr>
          <w:bCs/>
          <w:lang w:val="en-AU"/>
        </w:rPr>
        <w:t>C</w:t>
      </w:r>
      <w:r>
        <w:rPr>
          <w:bCs/>
          <w:lang w:val="en-AU"/>
        </w:rPr>
        <w:t>ell</w:t>
      </w:r>
      <w:r w:rsidR="005E33C1">
        <w:rPr>
          <w:bCs/>
          <w:lang w:val="en-AU"/>
        </w:rPr>
        <w:t xml:space="preserve"> R</w:t>
      </w:r>
      <w:r>
        <w:rPr>
          <w:bCs/>
          <w:lang w:val="en-AU"/>
        </w:rPr>
        <w:t>a</w:t>
      </w:r>
      <w:r w:rsidR="005E33C1">
        <w:rPr>
          <w:bCs/>
          <w:lang w:val="en-AU"/>
        </w:rPr>
        <w:t>n</w:t>
      </w:r>
      <w:r>
        <w:rPr>
          <w:bCs/>
          <w:lang w:val="en-AU"/>
        </w:rPr>
        <w:t>ger</w:t>
      </w:r>
      <w:r w:rsidR="005E33C1" w:rsidRPr="005E33C1">
        <w:rPr>
          <w:lang w:val="en-AU"/>
        </w:rPr>
        <w:t xml:space="preserve"> </w:t>
      </w:r>
      <w:r w:rsidR="005E33C1">
        <w:rPr>
          <w:bCs/>
          <w:lang w:val="en-AU"/>
        </w:rPr>
        <w:t>s</w:t>
      </w:r>
      <w:r w:rsidR="005E33C1" w:rsidRPr="005E33C1">
        <w:rPr>
          <w:bCs/>
          <w:lang w:val="en-AU"/>
        </w:rPr>
        <w:t xml:space="preserve">oftware version </w:t>
      </w:r>
      <w:r w:rsidR="005E33C1">
        <w:rPr>
          <w:bCs/>
          <w:lang w:val="en-AU"/>
        </w:rPr>
        <w:t>7</w:t>
      </w:r>
      <w:r w:rsidR="005E33C1" w:rsidRPr="005E33C1">
        <w:rPr>
          <w:bCs/>
          <w:lang w:val="en-AU"/>
        </w:rPr>
        <w:t>.</w:t>
      </w:r>
      <w:r w:rsidR="005E33C1">
        <w:rPr>
          <w:bCs/>
          <w:lang w:val="en-AU"/>
        </w:rPr>
        <w:t>1</w:t>
      </w:r>
      <w:r w:rsidR="005E33C1" w:rsidRPr="005E33C1">
        <w:rPr>
          <w:bCs/>
          <w:lang w:val="en-AU"/>
        </w:rPr>
        <w:t>.</w:t>
      </w:r>
      <w:r w:rsidR="005E33C1">
        <w:rPr>
          <w:bCs/>
          <w:lang w:val="en-AU"/>
        </w:rPr>
        <w:t>0</w:t>
      </w:r>
      <w:r>
        <w:rPr>
          <w:bCs/>
          <w:lang w:val="en-AU"/>
        </w:rPr>
        <w:t xml:space="preserve"> (GSE210337).</w:t>
      </w:r>
      <w:r w:rsidR="005E33C1">
        <w:rPr>
          <w:bCs/>
          <w:lang w:val="en-AU"/>
        </w:rPr>
        <w:t xml:space="preserve"> </w:t>
      </w:r>
      <w:r w:rsidR="0047658A">
        <w:rPr>
          <w:bCs/>
          <w:lang w:val="en-AU"/>
        </w:rPr>
        <w:t>R</w:t>
      </w:r>
      <w:r w:rsidR="001D1ED0">
        <w:rPr>
          <w:bCs/>
          <w:lang w:val="en-AU"/>
        </w:rPr>
        <w:t>eads were aligned to the 10X Genomics reference genome GRCh38 2024</w:t>
      </w:r>
      <w:r w:rsidR="003C73A2">
        <w:rPr>
          <w:bCs/>
          <w:lang w:val="en-AU"/>
        </w:rPr>
        <w:t xml:space="preserve"> </w:t>
      </w:r>
      <w:r w:rsidR="003C73A2" w:rsidRPr="0028559E">
        <w:rPr>
          <w:bCs/>
          <w:i/>
          <w:iCs/>
          <w:lang w:val="en-AU"/>
        </w:rPr>
        <w:t>Monopogen</w:t>
      </w:r>
      <w:r w:rsidR="003C73A2">
        <w:rPr>
          <w:bCs/>
          <w:lang w:val="en-AU"/>
        </w:rPr>
        <w:t xml:space="preserve"> SNV calling pipeline as described by Dou et al.</w:t>
      </w:r>
      <w:r w:rsidR="003C73A2">
        <w:rPr>
          <w:bCs/>
          <w:lang w:val="en-AU"/>
        </w:rPr>
        <w:fldChar w:fldCharType="begin"/>
      </w:r>
      <w:r w:rsidR="003C73A2">
        <w:rPr>
          <w:bCs/>
          <w:lang w:val="en-AU"/>
        </w:rPr>
        <w:instrText xml:space="preserve"> ADDIN ZOTERO_ITEM CSL_CITATION {"citationID":"UHGB5luq","properties":{"formattedCitation":"\\super 4\\nosupersub{}","plainCitation":"4","noteIndex":0},"citationItems":[{"id":742,"uris":["http://zotero.org/users/9995470/items/MC7CLKIS"],"itemData":{"id":742,"type":"article-journal","abstract":"Single-cell omics technologies enable molecular characterization of diverse cell types and states, but how the resulting transcriptional and epigenetic profiles depend on the cell’s genetic background remains understudied. We describe Monopogen, a computational tool to detect single-nucleotide variants (SNVs) from single-cell sequencing data. Monopogen leverages linkage disequilibrium from external reference panels to identify germline SNVs and detects putative somatic SNVs using allele cosegregating patterns at the cell population level. It can identify 100 K to 3 M germline SNVs achieving a genotyping accuracy of 95%, together with hundreds of putative somatic SNVs. Monopogen-derived genotypes enable global and local ancestry inference and identification of admixed samples. It identifies variants associated with cardiomyocyte metabolic levels and epigenomic programs. It also improves putative somatic SNV detection that enables clonal lineage tracing in primary human clonal hematopoiesis. Monopogen brings together population genetics, cell lineage tracing and single-cell omics to uncover genetic determinants of cellular processes.","container-title":"Nature Biotechnology","DOI":"10.1038/s41587-023-01873-x","ISSN":"1546-1696","issue":"5","journalAbbreviation":"Nat Biotechnol","language":"en","license":"2023 The Author(s), under exclusive licence to Springer Nature America, Inc.","note":"publisher: Nature Publishing Group","page":"803-812","source":"www.nature.com","title":"Single-nucleotide variant calling in single-cell sequencing data with Monopogen","volume":"42","author":[{"family":"Dou","given":"Jinzhuang"},{"family":"Tan","given":"Yukun"},{"family":"Kock","given":"Kian Hong"},{"family":"Wang","given":"Jun"},{"family":"Cheng","given":"Xuesen"},{"family":"Tan","given":"Le Min"},{"family":"Han","given":"Kyung Yeon"},{"family":"Hon","given":"Chung-Chau"},{"family":"Park","given":"Woong-Yang"},{"family":"Shin","given":"Jay W."},{"family":"Jin","given":"Haijing"},{"family":"Wang","given":"Yujia"},{"family":"Chen","given":"Han"},{"family":"Ding","given":"Li"},{"family":"Prabhakar","given":"Shyam"},{"family":"Navin","given":"Nicholas"},{"family":"Chen","given":"Rui"},{"family":"Chen","given":"Ken"}],"issued":{"date-parts":[["2024",5]]}}}],"schema":"https://github.com/citation-style-language/schema/raw/master/csl-citation.json"} </w:instrText>
      </w:r>
      <w:r w:rsidR="003C73A2">
        <w:rPr>
          <w:bCs/>
          <w:lang w:val="en-AU"/>
        </w:rPr>
        <w:fldChar w:fldCharType="separate"/>
      </w:r>
      <w:r w:rsidR="003C73A2" w:rsidRPr="0028559E">
        <w:rPr>
          <w:rFonts w:ascii="Calibri" w:hAnsi="Calibri" w:cs="Calibri"/>
          <w:kern w:val="0"/>
          <w:vertAlign w:val="superscript"/>
          <w:lang w:val="en-AU"/>
        </w:rPr>
        <w:t>4</w:t>
      </w:r>
      <w:r w:rsidR="003C73A2">
        <w:rPr>
          <w:bCs/>
          <w:lang w:val="en-AU"/>
        </w:rPr>
        <w:fldChar w:fldCharType="end"/>
      </w:r>
      <w:r w:rsidR="003C73A2">
        <w:rPr>
          <w:bCs/>
          <w:lang w:val="en-AU"/>
        </w:rPr>
        <w:t xml:space="preserve"> was applied to this aligned reads bam file</w:t>
      </w:r>
      <w:r w:rsidR="001D1ED0">
        <w:rPr>
          <w:bCs/>
          <w:lang w:val="en-AU"/>
        </w:rPr>
        <w:t xml:space="preserve">. </w:t>
      </w:r>
      <w:r w:rsidR="00823FAA">
        <w:rPr>
          <w:bCs/>
          <w:lang w:val="en-AU"/>
        </w:rPr>
        <w:t>Single-cell SNV matrix was filtered for high quality SNVs (</w:t>
      </w:r>
      <w:proofErr w:type="spellStart"/>
      <w:r w:rsidR="00823FAA" w:rsidRPr="0028559E">
        <w:rPr>
          <w:bCs/>
          <w:lang w:val="en-AU"/>
        </w:rPr>
        <w:t>Depth_ref</w:t>
      </w:r>
      <w:proofErr w:type="spellEnd"/>
      <w:r w:rsidR="00823FAA" w:rsidRPr="0028559E">
        <w:rPr>
          <w:bCs/>
          <w:lang w:val="en-AU"/>
        </w:rPr>
        <w:t>&gt;5</w:t>
      </w:r>
      <w:r w:rsidR="00823FAA">
        <w:rPr>
          <w:bCs/>
          <w:lang w:val="en-AU"/>
        </w:rPr>
        <w:t xml:space="preserve">, </w:t>
      </w:r>
      <w:proofErr w:type="spellStart"/>
      <w:r w:rsidR="00823FAA" w:rsidRPr="0028559E">
        <w:rPr>
          <w:bCs/>
          <w:lang w:val="en-AU"/>
        </w:rPr>
        <w:t>Depth_alt</w:t>
      </w:r>
      <w:proofErr w:type="spellEnd"/>
      <w:r w:rsidR="00823FAA" w:rsidRPr="0028559E">
        <w:rPr>
          <w:bCs/>
          <w:lang w:val="en-AU"/>
        </w:rPr>
        <w:t>&gt;5</w:t>
      </w:r>
      <w:r w:rsidR="00823FAA">
        <w:rPr>
          <w:bCs/>
          <w:lang w:val="en-AU"/>
        </w:rPr>
        <w:t xml:space="preserve"> and </w:t>
      </w:r>
      <w:proofErr w:type="spellStart"/>
      <w:r w:rsidR="00823FAA" w:rsidRPr="0028559E">
        <w:rPr>
          <w:bCs/>
          <w:lang w:val="en-AU"/>
        </w:rPr>
        <w:t>SVM_pos_score</w:t>
      </w:r>
      <w:proofErr w:type="spellEnd"/>
      <w:r w:rsidR="00823FAA" w:rsidRPr="0028559E">
        <w:rPr>
          <w:bCs/>
          <w:lang w:val="en-AU"/>
        </w:rPr>
        <w:t>&gt;0.1</w:t>
      </w:r>
      <w:r w:rsidR="00823FAA">
        <w:rPr>
          <w:bCs/>
          <w:lang w:val="en-AU"/>
        </w:rPr>
        <w:t>).</w:t>
      </w:r>
      <w:r w:rsidR="001D1ED0">
        <w:rPr>
          <w:bCs/>
          <w:lang w:val="en-AU"/>
        </w:rPr>
        <w:t xml:space="preserve"> </w:t>
      </w:r>
      <w:r w:rsidR="0047658A" w:rsidRPr="0047658A">
        <w:rPr>
          <w:lang w:val="en-AU"/>
        </w:rPr>
        <w:t xml:space="preserve">Data processing was conducted in R 4.4.2 using Seurat 5.3.0. The raw count matrices were imported and filtered based on the following criteria: </w:t>
      </w:r>
      <w:proofErr w:type="spellStart"/>
      <w:r w:rsidR="0047658A" w:rsidRPr="0047658A">
        <w:rPr>
          <w:i/>
          <w:iCs/>
          <w:lang w:val="en-AU"/>
        </w:rPr>
        <w:t>nFeature_RNA</w:t>
      </w:r>
      <w:proofErr w:type="spellEnd"/>
      <w:r w:rsidR="0047658A" w:rsidRPr="0047658A">
        <w:rPr>
          <w:lang w:val="en-AU"/>
        </w:rPr>
        <w:t xml:space="preserve"> &gt; 100, </w:t>
      </w:r>
      <w:proofErr w:type="spellStart"/>
      <w:r w:rsidR="0047658A" w:rsidRPr="0047658A">
        <w:rPr>
          <w:i/>
          <w:iCs/>
          <w:lang w:val="en-AU"/>
        </w:rPr>
        <w:t>nFeature_RNA</w:t>
      </w:r>
      <w:proofErr w:type="spellEnd"/>
      <w:r w:rsidR="0047658A" w:rsidRPr="0047658A">
        <w:rPr>
          <w:lang w:val="en-AU"/>
        </w:rPr>
        <w:t xml:space="preserve"> &lt; 6000, </w:t>
      </w:r>
      <w:proofErr w:type="spellStart"/>
      <w:r w:rsidR="0047658A" w:rsidRPr="0047658A">
        <w:rPr>
          <w:i/>
          <w:iCs/>
          <w:lang w:val="en-AU"/>
        </w:rPr>
        <w:t>nCount_RNA</w:t>
      </w:r>
      <w:proofErr w:type="spellEnd"/>
      <w:r w:rsidR="0047658A" w:rsidRPr="0047658A">
        <w:rPr>
          <w:lang w:val="en-AU"/>
        </w:rPr>
        <w:t xml:space="preserve"> &gt; </w:t>
      </w:r>
      <w:r w:rsidR="0047658A">
        <w:rPr>
          <w:lang w:val="en-AU"/>
        </w:rPr>
        <w:t>3</w:t>
      </w:r>
      <w:r w:rsidR="0047658A" w:rsidRPr="0047658A">
        <w:rPr>
          <w:lang w:val="en-AU"/>
        </w:rPr>
        <w:t xml:space="preserve">00, and </w:t>
      </w:r>
      <w:r w:rsidR="0047658A" w:rsidRPr="0047658A">
        <w:rPr>
          <w:i/>
          <w:iCs/>
          <w:lang w:val="en-AU"/>
        </w:rPr>
        <w:t>percent.mt</w:t>
      </w:r>
      <w:r w:rsidR="0047658A" w:rsidRPr="0047658A">
        <w:rPr>
          <w:lang w:val="en-AU"/>
        </w:rPr>
        <w:t xml:space="preserve"> &lt; 15, to exclude doublets and dead cells.</w:t>
      </w:r>
      <w:r w:rsidR="0047658A">
        <w:rPr>
          <w:lang w:val="en-AU"/>
        </w:rPr>
        <w:t xml:space="preserve"> </w:t>
      </w:r>
      <w:r w:rsidR="0047658A" w:rsidRPr="0047658A">
        <w:rPr>
          <w:lang w:val="en-AU"/>
        </w:rPr>
        <w:t xml:space="preserve">Principal component analysis (PCA) was conducted with default parameters, followed by </w:t>
      </w:r>
      <w:r w:rsidR="000A5385">
        <w:rPr>
          <w:lang w:val="en-AU"/>
        </w:rPr>
        <w:t xml:space="preserve">CCA integration </w:t>
      </w:r>
      <w:r w:rsidR="0047658A" w:rsidRPr="0047658A">
        <w:rPr>
          <w:lang w:val="en-AU"/>
        </w:rPr>
        <w:t xml:space="preserve">using the first </w:t>
      </w:r>
      <w:r w:rsidR="000A5385">
        <w:rPr>
          <w:lang w:val="en-AU"/>
        </w:rPr>
        <w:t>3</w:t>
      </w:r>
      <w:r w:rsidR="0047658A" w:rsidRPr="0047658A">
        <w:rPr>
          <w:lang w:val="en-AU"/>
        </w:rPr>
        <w:t>0 principal components</w:t>
      </w:r>
      <w:r w:rsidR="000A5385">
        <w:rPr>
          <w:lang w:val="en-AU"/>
        </w:rPr>
        <w:t xml:space="preserve"> and UMAP embedding</w:t>
      </w:r>
      <w:r w:rsidR="0047658A" w:rsidRPr="0047658A">
        <w:rPr>
          <w:lang w:val="en-AU"/>
        </w:rPr>
        <w:t xml:space="preserve">. </w:t>
      </w:r>
      <w:r w:rsidR="003C73A2">
        <w:rPr>
          <w:lang w:val="en-AU"/>
        </w:rPr>
        <w:t xml:space="preserve">Cell specific </w:t>
      </w:r>
      <w:r w:rsidR="000A5385">
        <w:rPr>
          <w:lang w:val="en-AU"/>
        </w:rPr>
        <w:t>TCR</w:t>
      </w:r>
      <w:r w:rsidR="003C73A2">
        <w:rPr>
          <w:lang w:val="en-AU"/>
        </w:rPr>
        <w:t xml:space="preserve"> clonotype</w:t>
      </w:r>
      <w:r w:rsidR="000A5385">
        <w:rPr>
          <w:lang w:val="en-AU"/>
        </w:rPr>
        <w:t xml:space="preserve"> information was retrieved from </w:t>
      </w:r>
      <w:r w:rsidR="003C73A2">
        <w:rPr>
          <w:lang w:val="en-AU"/>
        </w:rPr>
        <w:t xml:space="preserve">filtered TCR-seq csv files from </w:t>
      </w:r>
      <w:r w:rsidR="003C73A2" w:rsidRPr="003C73A2">
        <w:rPr>
          <w:lang w:val="en-AU"/>
        </w:rPr>
        <w:t>GSM6428652</w:t>
      </w:r>
      <w:r w:rsidR="003C73A2">
        <w:rPr>
          <w:lang w:val="en-AU"/>
        </w:rPr>
        <w:t xml:space="preserve"> and </w:t>
      </w:r>
      <w:r w:rsidR="003C73A2" w:rsidRPr="003C73A2">
        <w:rPr>
          <w:lang w:val="en-AU"/>
        </w:rPr>
        <w:t>GSM642865</w:t>
      </w:r>
      <w:r w:rsidR="003C73A2">
        <w:rPr>
          <w:lang w:val="en-AU"/>
        </w:rPr>
        <w:t xml:space="preserve">4. </w:t>
      </w:r>
    </w:p>
    <w:p w14:paraId="03109833" w14:textId="3BFE1712" w:rsidR="002235E7" w:rsidRDefault="002235E7" w:rsidP="00461CEF">
      <w:pPr>
        <w:spacing w:before="240" w:after="0" w:line="360" w:lineRule="auto"/>
        <w:jc w:val="both"/>
        <w:rPr>
          <w:lang w:val="en-AU"/>
        </w:rPr>
      </w:pPr>
      <w:r>
        <w:rPr>
          <w:lang w:val="en-AU"/>
        </w:rPr>
        <w:t>Jaccard similarity index was calculated from the filtered SNV matrix (putative somatic SNVs derived from housekeeping-like features defined as SNVs present in</w:t>
      </w:r>
      <w:r w:rsidR="00D17A2B">
        <w:rPr>
          <w:lang w:val="en-AU"/>
        </w:rPr>
        <w:t xml:space="preserve"> &gt;80% cells cluster-wise and patient-wise). </w:t>
      </w:r>
      <w:r w:rsidR="00D17A2B" w:rsidRPr="00D17A2B">
        <w:rPr>
          <w:lang w:val="en-AU"/>
        </w:rPr>
        <w:t>Within each cell type, a shared SNV was considered present if the alternative allele was detected in at least five cells. The resulting sets of present SNVs were then compared between cell types. Similarity was quantified using the Jaccard index, defined as the size of the intersection divided by the size of the union of the two SNV sets</w:t>
      </w:r>
      <w:r w:rsidR="00461CEF">
        <w:rPr>
          <w:lang w:val="en-AU"/>
        </w:rPr>
        <w:t xml:space="preserve">. </w:t>
      </w:r>
      <w:r w:rsidR="00D17A2B" w:rsidRPr="00D17A2B">
        <w:rPr>
          <w:lang w:val="en-AU"/>
        </w:rPr>
        <w:t>Jaccard values range from 0 (no shared SNVs) to 1 (identical SNV profiles).</w:t>
      </w:r>
    </w:p>
    <w:p w14:paraId="2D148E1F" w14:textId="7598D9C1" w:rsidR="00461CEF" w:rsidRPr="00461CEF" w:rsidRDefault="00461CEF" w:rsidP="00461CEF">
      <w:pPr>
        <w:spacing w:before="240" w:after="0" w:line="360" w:lineRule="auto"/>
        <w:jc w:val="both"/>
        <w:rPr>
          <w:bCs/>
          <w:lang w:val="en-AU"/>
        </w:rPr>
      </w:pPr>
      <w:r w:rsidRPr="00461CEF">
        <w:rPr>
          <w:bCs/>
          <w:lang w:val="en-AU"/>
        </w:rPr>
        <w:lastRenderedPageBreak/>
        <w:t>To identify cells with highly similar SNV profiles, analyses were performed independently for each patient to avoid confounding by inter-individual genetic variation. For each patient, high-confidence SNVs were defined as variants detected in at least 80% of cells within that patient. A binary SNV matrix was then generated, where each variant was scored as present or absent in every cell.</w:t>
      </w:r>
    </w:p>
    <w:p w14:paraId="0B149115" w14:textId="714816A0" w:rsidR="00461CEF" w:rsidRPr="00461CEF" w:rsidRDefault="00461CEF" w:rsidP="00461CEF">
      <w:pPr>
        <w:spacing w:before="240" w:after="0" w:line="360" w:lineRule="auto"/>
        <w:jc w:val="both"/>
        <w:rPr>
          <w:bCs/>
          <w:lang w:val="en-AU"/>
        </w:rPr>
      </w:pPr>
      <w:r w:rsidRPr="00461CEF">
        <w:rPr>
          <w:bCs/>
          <w:lang w:val="en-AU"/>
        </w:rPr>
        <w:t>Pairwise SNV similarity between cells was quantified by calculating the number of shared SNVs. Specifically, for every pair of cells, the number of SNVs simultaneously detected in both cells was computed, generating a cell-by-cell SNV sharing matrix. Self-comparisons were excluded from downstream analyses.</w:t>
      </w:r>
    </w:p>
    <w:p w14:paraId="19CA9CFD" w14:textId="2F0E7B64" w:rsidR="00461CEF" w:rsidRDefault="00461CEF" w:rsidP="00461CEF">
      <w:pPr>
        <w:spacing w:before="240" w:after="0" w:line="360" w:lineRule="auto"/>
        <w:jc w:val="both"/>
        <w:rPr>
          <w:bCs/>
          <w:lang w:val="en-AU"/>
        </w:rPr>
      </w:pPr>
      <w:r w:rsidRPr="00461CEF">
        <w:rPr>
          <w:bCs/>
          <w:lang w:val="en-AU"/>
        </w:rPr>
        <w:t>For each cell, the maximum number of shared SNVs observed with any other cell was determined. To focus on the most confidently related cells, only cells whose maximum shared-SNV count fell within the top 1% of the patient-specific distribution (99th percentile) were retained. This filtering step enriched for cell pairs exhibiting exceptionally high SNV similarity relative to the remainder of the population.</w:t>
      </w:r>
    </w:p>
    <w:p w14:paraId="7D0DA0B4" w14:textId="12C039BC" w:rsidR="00461CEF" w:rsidRDefault="00461CEF" w:rsidP="00B76596">
      <w:pPr>
        <w:spacing w:before="240" w:line="360" w:lineRule="auto"/>
        <w:jc w:val="both"/>
        <w:rPr>
          <w:bCs/>
          <w:lang w:val="en-AU"/>
        </w:rPr>
      </w:pPr>
      <w:r w:rsidRPr="00461CEF">
        <w:rPr>
          <w:bCs/>
          <w:lang w:val="en-AU"/>
        </w:rPr>
        <w:t>Source and nearest-neighbor cells were annotated according to their transcriptionally defined cell type identities. Cell-type transitions were then summarized by counting the number of nearest-neighbor relationships connecting each source cell type to each target cell type.</w:t>
      </w:r>
      <w:r>
        <w:rPr>
          <w:bCs/>
          <w:lang w:val="en-AU"/>
        </w:rPr>
        <w:t xml:space="preserve"> </w:t>
      </w:r>
      <w:r w:rsidRPr="00461CEF">
        <w:rPr>
          <w:bCs/>
          <w:lang w:val="en-AU"/>
        </w:rPr>
        <w:t>To visualize patterns of SNV similarity across cellular populations, nearest-neighbor relationships were aggregated across all patients and displayed as alluvial plots.</w:t>
      </w:r>
    </w:p>
    <w:p w14:paraId="34E2B8CF" w14:textId="767B1C8D" w:rsidR="00461CEF" w:rsidRDefault="00B76596" w:rsidP="00B76596">
      <w:pPr>
        <w:spacing w:before="240" w:line="360" w:lineRule="auto"/>
        <w:jc w:val="both"/>
        <w:rPr>
          <w:bCs/>
          <w:lang w:val="en-AU"/>
        </w:rPr>
      </w:pPr>
      <w:r w:rsidRPr="00B76596">
        <w:rPr>
          <w:bCs/>
          <w:lang w:val="en-AU"/>
        </w:rPr>
        <w:t xml:space="preserve">Differential expression analysis was performed between macrophage populations defined by SNV-based nearest-neighbor relationships. Macrophages </w:t>
      </w:r>
      <w:proofErr w:type="gramStart"/>
      <w:r w:rsidRPr="00B76596">
        <w:rPr>
          <w:bCs/>
          <w:lang w:val="en-AU"/>
        </w:rPr>
        <w:t>whose</w:t>
      </w:r>
      <w:proofErr w:type="gramEnd"/>
      <w:r w:rsidRPr="00B76596">
        <w:rPr>
          <w:bCs/>
          <w:lang w:val="en-AU"/>
        </w:rPr>
        <w:t xml:space="preserve"> closest SNV-based nearest neighbor belonged to the macrophage population were classified as bona fide macrophages (NN-</w:t>
      </w:r>
      <w:proofErr w:type="spellStart"/>
      <w:r w:rsidRPr="00B76596">
        <w:rPr>
          <w:bCs/>
          <w:lang w:val="en-AU"/>
        </w:rPr>
        <w:t>MPs_MPs</w:t>
      </w:r>
      <w:proofErr w:type="spellEnd"/>
      <w:r w:rsidRPr="00B76596">
        <w:rPr>
          <w:bCs/>
          <w:lang w:val="en-AU"/>
        </w:rPr>
        <w:t xml:space="preserve">), whereas macrophages </w:t>
      </w:r>
      <w:proofErr w:type="gramStart"/>
      <w:r w:rsidRPr="00B76596">
        <w:rPr>
          <w:bCs/>
          <w:lang w:val="en-AU"/>
        </w:rPr>
        <w:t>whose</w:t>
      </w:r>
      <w:proofErr w:type="gramEnd"/>
      <w:r w:rsidRPr="00B76596">
        <w:rPr>
          <w:bCs/>
          <w:lang w:val="en-AU"/>
        </w:rPr>
        <w:t xml:space="preserve"> closest SNV-based nearest neighbor belonged to the smooth muscle cell (SMC) population were classified as SMC-adjacent macrophages (NN-</w:t>
      </w:r>
      <w:proofErr w:type="spellStart"/>
      <w:r w:rsidRPr="00B76596">
        <w:rPr>
          <w:bCs/>
          <w:lang w:val="en-AU"/>
        </w:rPr>
        <w:t>SMCs_MPs</w:t>
      </w:r>
      <w:proofErr w:type="spellEnd"/>
      <w:r w:rsidRPr="00B76596">
        <w:rPr>
          <w:bCs/>
          <w:lang w:val="en-AU"/>
        </w:rPr>
        <w:t>).</w:t>
      </w:r>
      <w:r>
        <w:rPr>
          <w:bCs/>
          <w:lang w:val="en-AU"/>
        </w:rPr>
        <w:t xml:space="preserve"> </w:t>
      </w:r>
      <w:r w:rsidRPr="00B76596">
        <w:rPr>
          <w:bCs/>
          <w:lang w:val="en-AU"/>
        </w:rPr>
        <w:t>Differential gene expression between NN-</w:t>
      </w:r>
      <w:proofErr w:type="spellStart"/>
      <w:r w:rsidRPr="00B76596">
        <w:rPr>
          <w:bCs/>
          <w:lang w:val="en-AU"/>
        </w:rPr>
        <w:t>SMCs_MPs</w:t>
      </w:r>
      <w:proofErr w:type="spellEnd"/>
      <w:r w:rsidRPr="00B76596">
        <w:rPr>
          <w:bCs/>
          <w:lang w:val="en-AU"/>
        </w:rPr>
        <w:t xml:space="preserve"> and NN-</w:t>
      </w:r>
      <w:proofErr w:type="spellStart"/>
      <w:r w:rsidRPr="00B76596">
        <w:rPr>
          <w:bCs/>
          <w:lang w:val="en-AU"/>
        </w:rPr>
        <w:t>MPs_MPs</w:t>
      </w:r>
      <w:proofErr w:type="spellEnd"/>
      <w:r w:rsidRPr="00B76596">
        <w:rPr>
          <w:bCs/>
          <w:lang w:val="en-AU"/>
        </w:rPr>
        <w:t xml:space="preserve"> was assessed using the Seurat </w:t>
      </w:r>
      <w:proofErr w:type="spellStart"/>
      <w:r w:rsidRPr="00B76596">
        <w:rPr>
          <w:bCs/>
          <w:lang w:val="en-AU"/>
        </w:rPr>
        <w:t>FindMarkers</w:t>
      </w:r>
      <w:proofErr w:type="spellEnd"/>
      <w:r w:rsidRPr="00B76596">
        <w:rPr>
          <w:bCs/>
          <w:lang w:val="en-AU"/>
        </w:rPr>
        <w:t xml:space="preserve"> framework. Analyses were performed using both the MAST hurdle model and the Wilcoxon rank-sum test to evaluate the robustness of identified transcriptional differences.</w:t>
      </w:r>
    </w:p>
    <w:p w14:paraId="5E470EBF" w14:textId="77777777" w:rsidR="00B76596" w:rsidRPr="00B76596" w:rsidRDefault="00B76596" w:rsidP="00B76596">
      <w:pPr>
        <w:spacing w:before="240" w:line="360" w:lineRule="auto"/>
        <w:jc w:val="both"/>
        <w:rPr>
          <w:bCs/>
          <w:lang w:val="en-AU"/>
        </w:rPr>
      </w:pPr>
    </w:p>
    <w:p w14:paraId="5C24D72F" w14:textId="77777777" w:rsidR="00B76596" w:rsidRPr="00B76596" w:rsidRDefault="00B76596" w:rsidP="00461CEF">
      <w:pPr>
        <w:spacing w:after="0"/>
        <w:jc w:val="both"/>
        <w:rPr>
          <w:bCs/>
          <w:lang w:val="en-AU"/>
        </w:rPr>
      </w:pPr>
    </w:p>
    <w:p w14:paraId="459D2539" w14:textId="1DC7EC8D" w:rsidR="00422B0A" w:rsidRPr="00422B0A" w:rsidRDefault="00F37234" w:rsidP="00422B0A">
      <w:pPr>
        <w:spacing w:after="0"/>
        <w:jc w:val="both"/>
        <w:rPr>
          <w:lang w:val="en-AU"/>
        </w:rPr>
      </w:pPr>
      <w:r>
        <w:rPr>
          <w:bCs/>
          <w:lang w:val="en-AU"/>
        </w:rPr>
        <w:t xml:space="preserve">Detailed </w:t>
      </w:r>
      <w:r w:rsidRPr="00C811CB">
        <w:rPr>
          <w:bCs/>
          <w:lang w:val="en-AU"/>
        </w:rPr>
        <w:t xml:space="preserve">Scripts for </w:t>
      </w:r>
      <w:r w:rsidRPr="00D038AE">
        <w:rPr>
          <w:bCs/>
          <w:lang w:val="en-AU"/>
        </w:rPr>
        <w:t xml:space="preserve">reproducing analysis and QC metrics are available at </w:t>
      </w:r>
      <w:hyperlink r:id="rId4" w:history="1">
        <w:r w:rsidRPr="002A3E52">
          <w:rPr>
            <w:rStyle w:val="Hyperlink"/>
            <w:bCs/>
            <w:lang w:val="en-AU"/>
          </w:rPr>
          <w:t>https://github.com/Alexioner8/SNP-based_Proximity</w:t>
        </w:r>
      </w:hyperlink>
      <w:r w:rsidRPr="00D038AE">
        <w:rPr>
          <w:bCs/>
          <w:lang w:val="en-AU"/>
        </w:rPr>
        <w:t>.</w:t>
      </w:r>
    </w:p>
    <w:p w14:paraId="6974EC61" w14:textId="77777777" w:rsidR="00422B0A" w:rsidRPr="0047658A" w:rsidRDefault="00422B0A" w:rsidP="003C73A2">
      <w:pPr>
        <w:spacing w:line="360" w:lineRule="auto"/>
        <w:jc w:val="both"/>
        <w:rPr>
          <w:lang w:val="en-AU"/>
        </w:rPr>
      </w:pPr>
    </w:p>
    <w:sectPr w:rsidR="00422B0A" w:rsidRPr="0047658A">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4A56"/>
    <w:rsid w:val="000A5385"/>
    <w:rsid w:val="001D1ED0"/>
    <w:rsid w:val="002235E7"/>
    <w:rsid w:val="003C73A2"/>
    <w:rsid w:val="003D4A56"/>
    <w:rsid w:val="00422B0A"/>
    <w:rsid w:val="00424BC7"/>
    <w:rsid w:val="00461CEF"/>
    <w:rsid w:val="0047658A"/>
    <w:rsid w:val="00542F2A"/>
    <w:rsid w:val="005C76A8"/>
    <w:rsid w:val="005E33C1"/>
    <w:rsid w:val="006828EF"/>
    <w:rsid w:val="006C0105"/>
    <w:rsid w:val="00723C3D"/>
    <w:rsid w:val="007E2952"/>
    <w:rsid w:val="00823FAA"/>
    <w:rsid w:val="0084196A"/>
    <w:rsid w:val="00A364A6"/>
    <w:rsid w:val="00B76596"/>
    <w:rsid w:val="00C10C8B"/>
    <w:rsid w:val="00D17A2B"/>
    <w:rsid w:val="00DD364B"/>
    <w:rsid w:val="00EA457D"/>
    <w:rsid w:val="00EE5F0F"/>
    <w:rsid w:val="00F37234"/>
    <w:rsid w:val="00F75420"/>
    <w:rsid w:val="00FF3170"/>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3C9A74"/>
  <w15:chartTrackingRefBased/>
  <w15:docId w15:val="{BAD92699-A8C7-4126-ACEC-15591426B0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5F0F"/>
    <w:rPr>
      <w:lang w:val="de-DE"/>
    </w:rPr>
  </w:style>
  <w:style w:type="paragraph" w:styleId="Heading1">
    <w:name w:val="heading 1"/>
    <w:basedOn w:val="Normal"/>
    <w:next w:val="Normal"/>
    <w:link w:val="Heading1Char"/>
    <w:uiPriority w:val="9"/>
    <w:qFormat/>
    <w:rsid w:val="003D4A56"/>
    <w:pPr>
      <w:keepNext/>
      <w:keepLines/>
      <w:spacing w:before="360" w:after="80"/>
      <w:outlineLvl w:val="0"/>
    </w:pPr>
    <w:rPr>
      <w:rFonts w:asciiTheme="majorHAnsi" w:eastAsiaTheme="majorEastAsia" w:hAnsiTheme="majorHAnsi" w:cstheme="majorBidi"/>
      <w:color w:val="2E74B5" w:themeColor="accent1" w:themeShade="BF"/>
      <w:sz w:val="40"/>
      <w:szCs w:val="40"/>
      <w:lang w:val="en-AU"/>
    </w:rPr>
  </w:style>
  <w:style w:type="paragraph" w:styleId="Heading2">
    <w:name w:val="heading 2"/>
    <w:basedOn w:val="Normal"/>
    <w:next w:val="Normal"/>
    <w:link w:val="Heading2Char"/>
    <w:uiPriority w:val="9"/>
    <w:semiHidden/>
    <w:unhideWhenUsed/>
    <w:qFormat/>
    <w:rsid w:val="003D4A56"/>
    <w:pPr>
      <w:keepNext/>
      <w:keepLines/>
      <w:spacing w:before="160" w:after="80"/>
      <w:outlineLvl w:val="1"/>
    </w:pPr>
    <w:rPr>
      <w:rFonts w:asciiTheme="majorHAnsi" w:eastAsiaTheme="majorEastAsia" w:hAnsiTheme="majorHAnsi" w:cstheme="majorBidi"/>
      <w:color w:val="2E74B5" w:themeColor="accent1" w:themeShade="BF"/>
      <w:sz w:val="32"/>
      <w:szCs w:val="32"/>
      <w:lang w:val="en-AU"/>
    </w:rPr>
  </w:style>
  <w:style w:type="paragraph" w:styleId="Heading3">
    <w:name w:val="heading 3"/>
    <w:basedOn w:val="Normal"/>
    <w:next w:val="Normal"/>
    <w:link w:val="Heading3Char"/>
    <w:uiPriority w:val="9"/>
    <w:semiHidden/>
    <w:unhideWhenUsed/>
    <w:qFormat/>
    <w:rsid w:val="003D4A56"/>
    <w:pPr>
      <w:keepNext/>
      <w:keepLines/>
      <w:spacing w:before="160" w:after="80"/>
      <w:outlineLvl w:val="2"/>
    </w:pPr>
    <w:rPr>
      <w:rFonts w:eastAsiaTheme="majorEastAsia" w:cstheme="majorBidi"/>
      <w:color w:val="2E74B5" w:themeColor="accent1" w:themeShade="BF"/>
      <w:sz w:val="28"/>
      <w:szCs w:val="28"/>
      <w:lang w:val="en-AU"/>
    </w:rPr>
  </w:style>
  <w:style w:type="paragraph" w:styleId="Heading4">
    <w:name w:val="heading 4"/>
    <w:basedOn w:val="Normal"/>
    <w:next w:val="Normal"/>
    <w:link w:val="Heading4Char"/>
    <w:uiPriority w:val="9"/>
    <w:semiHidden/>
    <w:unhideWhenUsed/>
    <w:qFormat/>
    <w:rsid w:val="003D4A56"/>
    <w:pPr>
      <w:keepNext/>
      <w:keepLines/>
      <w:spacing w:before="80" w:after="40"/>
      <w:outlineLvl w:val="3"/>
    </w:pPr>
    <w:rPr>
      <w:rFonts w:eastAsiaTheme="majorEastAsia" w:cstheme="majorBidi"/>
      <w:i/>
      <w:iCs/>
      <w:color w:val="2E74B5" w:themeColor="accent1" w:themeShade="BF"/>
      <w:lang w:val="en-AU"/>
    </w:rPr>
  </w:style>
  <w:style w:type="paragraph" w:styleId="Heading5">
    <w:name w:val="heading 5"/>
    <w:basedOn w:val="Normal"/>
    <w:next w:val="Normal"/>
    <w:link w:val="Heading5Char"/>
    <w:uiPriority w:val="9"/>
    <w:semiHidden/>
    <w:unhideWhenUsed/>
    <w:qFormat/>
    <w:rsid w:val="003D4A56"/>
    <w:pPr>
      <w:keepNext/>
      <w:keepLines/>
      <w:spacing w:before="80" w:after="40"/>
      <w:outlineLvl w:val="4"/>
    </w:pPr>
    <w:rPr>
      <w:rFonts w:eastAsiaTheme="majorEastAsia" w:cstheme="majorBidi"/>
      <w:color w:val="2E74B5" w:themeColor="accent1" w:themeShade="BF"/>
      <w:lang w:val="en-AU"/>
    </w:rPr>
  </w:style>
  <w:style w:type="paragraph" w:styleId="Heading6">
    <w:name w:val="heading 6"/>
    <w:basedOn w:val="Normal"/>
    <w:next w:val="Normal"/>
    <w:link w:val="Heading6Char"/>
    <w:uiPriority w:val="9"/>
    <w:semiHidden/>
    <w:unhideWhenUsed/>
    <w:qFormat/>
    <w:rsid w:val="003D4A56"/>
    <w:pPr>
      <w:keepNext/>
      <w:keepLines/>
      <w:spacing w:before="40" w:after="0"/>
      <w:outlineLvl w:val="5"/>
    </w:pPr>
    <w:rPr>
      <w:rFonts w:eastAsiaTheme="majorEastAsia" w:cstheme="majorBidi"/>
      <w:i/>
      <w:iCs/>
      <w:color w:val="595959" w:themeColor="text1" w:themeTint="A6"/>
      <w:lang w:val="en-AU"/>
    </w:rPr>
  </w:style>
  <w:style w:type="paragraph" w:styleId="Heading7">
    <w:name w:val="heading 7"/>
    <w:basedOn w:val="Normal"/>
    <w:next w:val="Normal"/>
    <w:link w:val="Heading7Char"/>
    <w:uiPriority w:val="9"/>
    <w:semiHidden/>
    <w:unhideWhenUsed/>
    <w:qFormat/>
    <w:rsid w:val="003D4A56"/>
    <w:pPr>
      <w:keepNext/>
      <w:keepLines/>
      <w:spacing w:before="40" w:after="0"/>
      <w:outlineLvl w:val="6"/>
    </w:pPr>
    <w:rPr>
      <w:rFonts w:eastAsiaTheme="majorEastAsia" w:cstheme="majorBidi"/>
      <w:color w:val="595959" w:themeColor="text1" w:themeTint="A6"/>
      <w:lang w:val="en-AU"/>
    </w:rPr>
  </w:style>
  <w:style w:type="paragraph" w:styleId="Heading8">
    <w:name w:val="heading 8"/>
    <w:basedOn w:val="Normal"/>
    <w:next w:val="Normal"/>
    <w:link w:val="Heading8Char"/>
    <w:uiPriority w:val="9"/>
    <w:semiHidden/>
    <w:unhideWhenUsed/>
    <w:qFormat/>
    <w:rsid w:val="003D4A56"/>
    <w:pPr>
      <w:keepNext/>
      <w:keepLines/>
      <w:spacing w:after="0"/>
      <w:outlineLvl w:val="7"/>
    </w:pPr>
    <w:rPr>
      <w:rFonts w:eastAsiaTheme="majorEastAsia" w:cstheme="majorBidi"/>
      <w:i/>
      <w:iCs/>
      <w:color w:val="272727" w:themeColor="text1" w:themeTint="D8"/>
      <w:lang w:val="en-AU"/>
    </w:rPr>
  </w:style>
  <w:style w:type="paragraph" w:styleId="Heading9">
    <w:name w:val="heading 9"/>
    <w:basedOn w:val="Normal"/>
    <w:next w:val="Normal"/>
    <w:link w:val="Heading9Char"/>
    <w:uiPriority w:val="9"/>
    <w:semiHidden/>
    <w:unhideWhenUsed/>
    <w:qFormat/>
    <w:rsid w:val="003D4A56"/>
    <w:pPr>
      <w:keepNext/>
      <w:keepLines/>
      <w:spacing w:after="0"/>
      <w:outlineLvl w:val="8"/>
    </w:pPr>
    <w:rPr>
      <w:rFonts w:eastAsiaTheme="majorEastAsia" w:cstheme="majorBidi"/>
      <w:color w:val="272727" w:themeColor="text1" w:themeTint="D8"/>
      <w:lang w:val="en-AU"/>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4A56"/>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3D4A56"/>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3D4A56"/>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3D4A56"/>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3D4A56"/>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3D4A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4A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4A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4A56"/>
    <w:rPr>
      <w:rFonts w:eastAsiaTheme="majorEastAsia" w:cstheme="majorBidi"/>
      <w:color w:val="272727" w:themeColor="text1" w:themeTint="D8"/>
    </w:rPr>
  </w:style>
  <w:style w:type="paragraph" w:styleId="Title">
    <w:name w:val="Title"/>
    <w:basedOn w:val="Normal"/>
    <w:next w:val="Normal"/>
    <w:link w:val="TitleChar"/>
    <w:uiPriority w:val="10"/>
    <w:qFormat/>
    <w:rsid w:val="003D4A56"/>
    <w:pPr>
      <w:spacing w:after="80" w:line="240" w:lineRule="auto"/>
      <w:contextualSpacing/>
    </w:pPr>
    <w:rPr>
      <w:rFonts w:asciiTheme="majorHAnsi" w:eastAsiaTheme="majorEastAsia" w:hAnsiTheme="majorHAnsi" w:cstheme="majorBidi"/>
      <w:spacing w:val="-10"/>
      <w:kern w:val="28"/>
      <w:sz w:val="56"/>
      <w:szCs w:val="56"/>
      <w:lang w:val="en-AU"/>
    </w:rPr>
  </w:style>
  <w:style w:type="character" w:customStyle="1" w:styleId="TitleChar">
    <w:name w:val="Title Char"/>
    <w:basedOn w:val="DefaultParagraphFont"/>
    <w:link w:val="Title"/>
    <w:uiPriority w:val="10"/>
    <w:rsid w:val="003D4A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D4A56"/>
    <w:pPr>
      <w:numPr>
        <w:ilvl w:val="1"/>
      </w:numPr>
    </w:pPr>
    <w:rPr>
      <w:rFonts w:eastAsiaTheme="majorEastAsia" w:cstheme="majorBidi"/>
      <w:color w:val="595959" w:themeColor="text1" w:themeTint="A6"/>
      <w:spacing w:val="15"/>
      <w:sz w:val="28"/>
      <w:szCs w:val="28"/>
      <w:lang w:val="en-AU"/>
    </w:rPr>
  </w:style>
  <w:style w:type="character" w:customStyle="1" w:styleId="SubtitleChar">
    <w:name w:val="Subtitle Char"/>
    <w:basedOn w:val="DefaultParagraphFont"/>
    <w:link w:val="Subtitle"/>
    <w:uiPriority w:val="11"/>
    <w:rsid w:val="003D4A5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D4A56"/>
    <w:pPr>
      <w:spacing w:before="160"/>
      <w:jc w:val="center"/>
    </w:pPr>
    <w:rPr>
      <w:i/>
      <w:iCs/>
      <w:color w:val="404040" w:themeColor="text1" w:themeTint="BF"/>
      <w:lang w:val="en-AU"/>
    </w:rPr>
  </w:style>
  <w:style w:type="character" w:customStyle="1" w:styleId="QuoteChar">
    <w:name w:val="Quote Char"/>
    <w:basedOn w:val="DefaultParagraphFont"/>
    <w:link w:val="Quote"/>
    <w:uiPriority w:val="29"/>
    <w:rsid w:val="003D4A56"/>
    <w:rPr>
      <w:i/>
      <w:iCs/>
      <w:color w:val="404040" w:themeColor="text1" w:themeTint="BF"/>
    </w:rPr>
  </w:style>
  <w:style w:type="paragraph" w:styleId="ListParagraph">
    <w:name w:val="List Paragraph"/>
    <w:basedOn w:val="Normal"/>
    <w:uiPriority w:val="34"/>
    <w:qFormat/>
    <w:rsid w:val="003D4A56"/>
    <w:pPr>
      <w:ind w:left="720"/>
      <w:contextualSpacing/>
    </w:pPr>
    <w:rPr>
      <w:lang w:val="en-AU"/>
    </w:rPr>
  </w:style>
  <w:style w:type="character" w:styleId="IntenseEmphasis">
    <w:name w:val="Intense Emphasis"/>
    <w:basedOn w:val="DefaultParagraphFont"/>
    <w:uiPriority w:val="21"/>
    <w:qFormat/>
    <w:rsid w:val="003D4A56"/>
    <w:rPr>
      <w:i/>
      <w:iCs/>
      <w:color w:val="2E74B5" w:themeColor="accent1" w:themeShade="BF"/>
    </w:rPr>
  </w:style>
  <w:style w:type="paragraph" w:styleId="IntenseQuote">
    <w:name w:val="Intense Quote"/>
    <w:basedOn w:val="Normal"/>
    <w:next w:val="Normal"/>
    <w:link w:val="IntenseQuoteChar"/>
    <w:uiPriority w:val="30"/>
    <w:qFormat/>
    <w:rsid w:val="003D4A56"/>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lang w:val="en-AU"/>
    </w:rPr>
  </w:style>
  <w:style w:type="character" w:customStyle="1" w:styleId="IntenseQuoteChar">
    <w:name w:val="Intense Quote Char"/>
    <w:basedOn w:val="DefaultParagraphFont"/>
    <w:link w:val="IntenseQuote"/>
    <w:uiPriority w:val="30"/>
    <w:rsid w:val="003D4A56"/>
    <w:rPr>
      <w:i/>
      <w:iCs/>
      <w:color w:val="2E74B5" w:themeColor="accent1" w:themeShade="BF"/>
    </w:rPr>
  </w:style>
  <w:style w:type="character" w:styleId="IntenseReference">
    <w:name w:val="Intense Reference"/>
    <w:basedOn w:val="DefaultParagraphFont"/>
    <w:uiPriority w:val="32"/>
    <w:qFormat/>
    <w:rsid w:val="003D4A56"/>
    <w:rPr>
      <w:b/>
      <w:bCs/>
      <w:smallCaps/>
      <w:color w:val="2E74B5" w:themeColor="accent1" w:themeShade="BF"/>
      <w:spacing w:val="5"/>
    </w:rPr>
  </w:style>
  <w:style w:type="character" w:styleId="Hyperlink">
    <w:name w:val="Hyperlink"/>
    <w:basedOn w:val="DefaultParagraphFont"/>
    <w:uiPriority w:val="99"/>
    <w:unhideWhenUsed/>
    <w:rsid w:val="003C73A2"/>
    <w:rPr>
      <w:color w:val="0563C1" w:themeColor="hyperlink"/>
      <w:u w:val="single"/>
    </w:rPr>
  </w:style>
  <w:style w:type="character" w:styleId="UnresolvedMention">
    <w:name w:val="Unresolved Mention"/>
    <w:basedOn w:val="DefaultParagraphFont"/>
    <w:uiPriority w:val="99"/>
    <w:semiHidden/>
    <w:unhideWhenUsed/>
    <w:rsid w:val="003C73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github.com/Alexioner8/SNP-based_Proximity"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1228</Words>
  <Characters>7004</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Klinikum der Universitaet Muenchen</Company>
  <LinksUpToDate>false</LinksUpToDate>
  <CharactersWithSpaces>8216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Alejandro Martínez</dc:creator>
  <cp:keywords/>
  <dc:description/>
  <cp:lastModifiedBy>Alejandro Martínez</cp:lastModifiedBy>
  <cp:revision>9</cp:revision>
  <dcterms:created xsi:type="dcterms:W3CDTF">2025-09-16T13:49:00Z</dcterms:created>
  <dcterms:modified xsi:type="dcterms:W3CDTF">2026-06-09T11:27:00Z</dcterms:modified>
</cp:coreProperties>
</file>