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1D1D" w:rsidRPr="00E01D1D" w:rsidRDefault="00E01D1D" w:rsidP="00E01D1D">
      <w:pPr>
        <w:pStyle w:val="NormalWeb"/>
        <w:jc w:val="center"/>
        <w:rPr>
          <w:b/>
          <w:color w:val="000000"/>
          <w:sz w:val="27"/>
          <w:szCs w:val="27"/>
          <w:u w:val="single"/>
        </w:rPr>
      </w:pPr>
      <w:r w:rsidRPr="00E01D1D">
        <w:rPr>
          <w:b/>
          <w:color w:val="000000"/>
          <w:sz w:val="27"/>
          <w:szCs w:val="27"/>
          <w:u w:val="single"/>
        </w:rPr>
        <w:t>Reporte Big_Data_TP2_Grupo20.pdf</w:t>
      </w:r>
    </w:p>
    <w:p w:rsidR="00E01D1D" w:rsidRDefault="00E01D1D" w:rsidP="00E01D1D">
      <w:pPr>
        <w:pStyle w:val="NormalWeb"/>
        <w:rPr>
          <w:color w:val="000000"/>
          <w:sz w:val="27"/>
          <w:szCs w:val="27"/>
        </w:rPr>
      </w:pPr>
    </w:p>
    <w:p w:rsidR="00501509" w:rsidRDefault="00E01D1D" w:rsidP="00E01D1D">
      <w:pPr>
        <w:pStyle w:val="NormalWeb"/>
        <w:jc w:val="both"/>
        <w:rPr>
          <w:rFonts w:ascii="Candara Light" w:hAnsi="Candara Light"/>
          <w:b/>
          <w:color w:val="000000"/>
        </w:rPr>
      </w:pPr>
      <w:r w:rsidRPr="00501509">
        <w:rPr>
          <w:rFonts w:ascii="Candara Light" w:hAnsi="Candara Light"/>
          <w:b/>
          <w:color w:val="000000"/>
        </w:rPr>
        <w:t xml:space="preserve">Punto </w:t>
      </w:r>
      <w:r w:rsidR="00501509" w:rsidRPr="00501509">
        <w:rPr>
          <w:rFonts w:ascii="Candara Light" w:hAnsi="Candara Light"/>
          <w:b/>
          <w:color w:val="000000"/>
        </w:rPr>
        <w:t xml:space="preserve">1 </w:t>
      </w:r>
      <w:r w:rsidR="00501509">
        <w:rPr>
          <w:rFonts w:ascii="Candara Light" w:hAnsi="Candara Light"/>
          <w:b/>
          <w:color w:val="000000"/>
        </w:rPr>
        <w:t>-  Cómo Identificar personas desocupadas según el INDEC</w:t>
      </w:r>
    </w:p>
    <w:p w:rsidR="00704C66" w:rsidRDefault="00E01D1D" w:rsidP="00E01D1D">
      <w:pPr>
        <w:pStyle w:val="NormalWeb"/>
        <w:jc w:val="both"/>
        <w:rPr>
          <w:rFonts w:ascii="Candara Light" w:hAnsi="Candara Light"/>
          <w:color w:val="000000"/>
        </w:rPr>
      </w:pPr>
      <w:r w:rsidRPr="00501509">
        <w:rPr>
          <w:rFonts w:ascii="Candara Light" w:hAnsi="Candara Light"/>
          <w:color w:val="000000"/>
        </w:rPr>
        <w:t xml:space="preserve">Se identifica a las personas desocupadas como, las </w:t>
      </w:r>
      <w:r w:rsidR="00704C66">
        <w:rPr>
          <w:rFonts w:ascii="Candara Light" w:hAnsi="Candara Light"/>
          <w:color w:val="000000"/>
        </w:rPr>
        <w:t>personas que por el momento no e</w:t>
      </w:r>
      <w:r w:rsidRPr="00501509">
        <w:rPr>
          <w:rFonts w:ascii="Candara Light" w:hAnsi="Candara Light"/>
          <w:color w:val="000000"/>
        </w:rPr>
        <w:t xml:space="preserve">stán </w:t>
      </w:r>
      <w:r w:rsidRPr="00501509">
        <w:rPr>
          <w:rFonts w:ascii="Candara Light" w:hAnsi="Candara Light"/>
          <w:color w:val="000000"/>
        </w:rPr>
        <w:t>trabajando,</w:t>
      </w:r>
      <w:r w:rsidRPr="00501509">
        <w:rPr>
          <w:rFonts w:ascii="Candara Light" w:hAnsi="Candara Light"/>
          <w:color w:val="000000"/>
        </w:rPr>
        <w:t xml:space="preserve"> pero están en la búsqueda, es decir están dispuestos a trabajar.</w:t>
      </w:r>
    </w:p>
    <w:p w:rsidR="00501509" w:rsidRPr="00704C66" w:rsidRDefault="00501509" w:rsidP="00E01D1D">
      <w:pPr>
        <w:pStyle w:val="NormalWeb"/>
        <w:jc w:val="both"/>
        <w:rPr>
          <w:rFonts w:ascii="Candara Light" w:hAnsi="Candara Light"/>
          <w:color w:val="000000"/>
        </w:rPr>
      </w:pPr>
      <w:r w:rsidRPr="00821D83">
        <w:rPr>
          <w:rFonts w:ascii="Candara Light" w:hAnsi="Candara Light"/>
          <w:b/>
          <w:color w:val="000000"/>
        </w:rPr>
        <w:t>Punto 2</w:t>
      </w:r>
      <w:r w:rsidR="00E01D1D" w:rsidRPr="00821D83">
        <w:rPr>
          <w:rFonts w:ascii="Candara Light" w:hAnsi="Candara Light"/>
          <w:b/>
          <w:color w:val="000000"/>
        </w:rPr>
        <w:t xml:space="preserve">b </w:t>
      </w:r>
      <w:r w:rsidRPr="00821D83">
        <w:rPr>
          <w:rFonts w:ascii="Candara Light" w:hAnsi="Candara Light"/>
          <w:b/>
          <w:color w:val="000000"/>
        </w:rPr>
        <w:t xml:space="preserve">- </w:t>
      </w:r>
      <w:r w:rsidR="00821D83" w:rsidRPr="00821D83">
        <w:rPr>
          <w:rFonts w:ascii="Candara Light" w:hAnsi="Candara Light"/>
          <w:b/>
          <w:color w:val="000000"/>
        </w:rPr>
        <w:t>Variables</w:t>
      </w:r>
    </w:p>
    <w:p w:rsidR="00E01D1D" w:rsidRPr="00501509" w:rsidRDefault="00E01D1D" w:rsidP="00E01D1D">
      <w:pPr>
        <w:pStyle w:val="NormalWeb"/>
        <w:jc w:val="both"/>
        <w:rPr>
          <w:rFonts w:ascii="Candara Light" w:hAnsi="Candara Light"/>
          <w:color w:val="000000"/>
        </w:rPr>
      </w:pPr>
      <w:r w:rsidRPr="00501509">
        <w:rPr>
          <w:rFonts w:ascii="Candara Light" w:hAnsi="Candara Light"/>
          <w:color w:val="000000"/>
        </w:rPr>
        <w:t>Las variables que tienen más valores faltantes son GDECCFR (Numero del conjunto de aglomerados de 500.000 y más habitantes) y PDECCFR (número de decil de ingreso per cápita familiar del conjunto de aglomerados de menos de 500.000 habitantes). El año es 2024.</w:t>
      </w:r>
    </w:p>
    <w:p w:rsidR="00501509" w:rsidRPr="00821D83" w:rsidRDefault="005F6B9B" w:rsidP="00E01D1D">
      <w:pPr>
        <w:pStyle w:val="NormalWeb"/>
        <w:jc w:val="both"/>
        <w:rPr>
          <w:rFonts w:ascii="Candara Light" w:hAnsi="Candara Light"/>
          <w:b/>
          <w:color w:val="000000"/>
        </w:rPr>
      </w:pPr>
      <w:r>
        <w:rPr>
          <w:rFonts w:ascii="Candara Light" w:hAnsi="Candara Light"/>
          <w:b/>
          <w:color w:val="000000"/>
        </w:rPr>
        <w:t>Punto 2</w:t>
      </w:r>
      <w:r w:rsidR="00E01D1D" w:rsidRPr="00821D83">
        <w:rPr>
          <w:rFonts w:ascii="Candara Light" w:hAnsi="Candara Light"/>
          <w:b/>
          <w:color w:val="000000"/>
        </w:rPr>
        <w:t xml:space="preserve">c </w:t>
      </w:r>
      <w:r w:rsidR="00821D83" w:rsidRPr="00821D83">
        <w:rPr>
          <w:rFonts w:ascii="Candara Light" w:hAnsi="Candara Light"/>
          <w:b/>
          <w:color w:val="000000"/>
        </w:rPr>
        <w:t>– Proceso de limpieza</w:t>
      </w:r>
    </w:p>
    <w:p w:rsidR="00E01D1D" w:rsidRPr="00501509" w:rsidRDefault="00E01D1D" w:rsidP="00E01D1D">
      <w:pPr>
        <w:pStyle w:val="NormalWeb"/>
        <w:jc w:val="both"/>
        <w:rPr>
          <w:rFonts w:ascii="Candara Light" w:hAnsi="Candara Light"/>
          <w:color w:val="000000"/>
        </w:rPr>
      </w:pPr>
      <w:r w:rsidRPr="00501509">
        <w:rPr>
          <w:rFonts w:ascii="Candara Light" w:hAnsi="Candara Light"/>
          <w:color w:val="000000"/>
        </w:rPr>
        <w:t>Se realizó una limpieza en las 15 variables de ambos años, lo que mostro que había más valores faltantes de los que habíamos observado en el paso anterior. Para corregir los valores sin sentido, buscamos en los diccionarios de EPH cuáles eran estos valores (9, 99, 999, 9999, -7, -8, 0), estos eran iguales en ambos años. Nos dio como resultado que el año que tenía mayor cantidad de valores faltantes era 2024, con 7647.</w:t>
      </w:r>
    </w:p>
    <w:p w:rsidR="00501509" w:rsidRPr="00821D83" w:rsidRDefault="00E01D1D" w:rsidP="00E01D1D">
      <w:pPr>
        <w:pStyle w:val="NormalWeb"/>
        <w:jc w:val="both"/>
        <w:rPr>
          <w:rFonts w:ascii="Candara Light" w:hAnsi="Candara Light"/>
          <w:b/>
          <w:color w:val="000000"/>
        </w:rPr>
      </w:pPr>
      <w:r w:rsidRPr="00821D83">
        <w:rPr>
          <w:rFonts w:ascii="Candara Light" w:hAnsi="Candara Light"/>
          <w:b/>
          <w:color w:val="000000"/>
        </w:rPr>
        <w:t xml:space="preserve">Punto </w:t>
      </w:r>
      <w:r w:rsidR="00821D83" w:rsidRPr="00821D83">
        <w:rPr>
          <w:rFonts w:ascii="Candara Light" w:hAnsi="Candara Light"/>
          <w:b/>
          <w:color w:val="000000"/>
        </w:rPr>
        <w:t>3 -</w:t>
      </w:r>
      <w:r w:rsidR="00501509" w:rsidRPr="00821D83">
        <w:rPr>
          <w:rFonts w:ascii="Candara Light" w:hAnsi="Candara Light"/>
          <w:b/>
          <w:color w:val="000000"/>
        </w:rPr>
        <w:t xml:space="preserve"> Composición por sexo</w:t>
      </w:r>
    </w:p>
    <w:p w:rsidR="00E01D1D" w:rsidRPr="00501509" w:rsidRDefault="00E01D1D" w:rsidP="00E01D1D">
      <w:pPr>
        <w:pStyle w:val="NormalWeb"/>
        <w:jc w:val="both"/>
        <w:rPr>
          <w:rFonts w:ascii="Candara Light" w:hAnsi="Candara Light"/>
          <w:color w:val="000000"/>
        </w:rPr>
      </w:pPr>
      <w:r w:rsidRPr="00501509">
        <w:rPr>
          <w:rFonts w:ascii="Candara Light" w:hAnsi="Candara Light"/>
          <w:color w:val="000000"/>
        </w:rPr>
        <w:t>En el gráfico, podemos observar que la cantidad de hombres y mujeres es similar. Podemos ver que en 2024 hay una mayor cantidad de personas registradas, esto se puede deber a crecimiento poblacional.</w:t>
      </w:r>
    </w:p>
    <w:p w:rsidR="00E01D1D" w:rsidRPr="00501509" w:rsidRDefault="00501509" w:rsidP="00501509">
      <w:pPr>
        <w:pStyle w:val="NormalWeb"/>
        <w:jc w:val="center"/>
        <w:rPr>
          <w:rFonts w:ascii="Arial Narrow" w:hAnsi="Arial Narrow"/>
          <w:color w:val="000000"/>
        </w:rPr>
      </w:pPr>
      <w:r w:rsidRPr="00E01D1D">
        <w:rPr>
          <w:color w:val="000000"/>
          <w:sz w:val="27"/>
          <w:szCs w:val="27"/>
        </w:rPr>
        <w:drawing>
          <wp:inline distT="0" distB="0" distL="0" distR="0" wp14:anchorId="32734156" wp14:editId="0A9E507E">
            <wp:extent cx="3838221" cy="2878666"/>
            <wp:effectExtent l="76200" t="76200" r="124460" b="13144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40497" cy="288037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501509" w:rsidRPr="00501509" w:rsidRDefault="00501509" w:rsidP="00501509">
      <w:pPr>
        <w:rPr>
          <w:rFonts w:ascii="Candara Light" w:hAnsi="Candara Light"/>
          <w:b/>
          <w:bCs/>
          <w:sz w:val="24"/>
        </w:rPr>
      </w:pPr>
      <w:r w:rsidRPr="00501509">
        <w:rPr>
          <w:rFonts w:ascii="Candara Light" w:hAnsi="Candara Light"/>
          <w:b/>
          <w:bCs/>
          <w:sz w:val="24"/>
        </w:rPr>
        <w:lastRenderedPageBreak/>
        <w:t>Punto 4 – Matriz de Correlación (2004 y 2024)</w:t>
      </w:r>
    </w:p>
    <w:p w:rsidR="00501509" w:rsidRPr="00501509" w:rsidRDefault="00501509" w:rsidP="00501509">
      <w:pPr>
        <w:rPr>
          <w:rFonts w:ascii="Candara Light" w:hAnsi="Candara Light"/>
          <w:sz w:val="24"/>
        </w:rPr>
      </w:pPr>
      <w:r w:rsidRPr="00501509">
        <w:rPr>
          <w:rFonts w:ascii="Candara Light" w:hAnsi="Candara Light"/>
          <w:sz w:val="24"/>
        </w:rPr>
        <w:t>Matriz de correlaciones entre las variables seleccionadas: sexo (CH04), edad (CH06), estado civil (CH07), parentesco (CH08), nivel educativo (NIVEL_ED), condición de actividad (ESTADO), categoría de inactividad (CAT_INAC) e ingreso per cápita familiar (IPCF), para los años 2004 y 2024.</w:t>
      </w:r>
      <w:r w:rsidRPr="00501509">
        <w:rPr>
          <w:rFonts w:ascii="Candara Light" w:hAnsi="Candara Light"/>
          <w:sz w:val="24"/>
        </w:rPr>
        <w:br/>
        <w:t>En ambas matrices observamos una correlación positiva moderada entre edad y categoría de inactividad, indicando que a mayor edad aumenta la probabilidad de inactividad. También encontramos una leve correlación negativa entre nivel educativo y condición de desocupación, lo que sugiere que, a mayor educación formal, menor es la probabilidad de desempleo.</w:t>
      </w:r>
    </w:p>
    <w:p w:rsidR="00501509" w:rsidRPr="00501509" w:rsidRDefault="00501509" w:rsidP="00501509">
      <w:pPr>
        <w:rPr>
          <w:rFonts w:ascii="Candara Light" w:hAnsi="Candara Light"/>
          <w:sz w:val="24"/>
        </w:rPr>
      </w:pPr>
      <w:r w:rsidRPr="00501509">
        <w:rPr>
          <w:rFonts w:ascii="Candara Light" w:hAnsi="Candara Light"/>
          <w:sz w:val="24"/>
        </w:rPr>
        <w:t>Las correlaciones en general son débiles a moderadas, lo que implica que las variables analizadas no están fuertemente asociadas entre sí. La comparación entre 2004 y 2024 muestra patrones similares con pequeñas variaciones en las intensidades de las correlaciones.</w:t>
      </w:r>
    </w:p>
    <w:p w:rsidR="002C11FE" w:rsidRPr="00E01D1D" w:rsidRDefault="002C11FE" w:rsidP="002C11FE">
      <w:pPr>
        <w:jc w:val="both"/>
        <w:rPr>
          <w:rFonts w:ascii="Arial Narrow" w:hAnsi="Arial Narrow"/>
          <w:sz w:val="24"/>
        </w:rPr>
      </w:pPr>
    </w:p>
    <w:p w:rsidR="00E01D1D" w:rsidRDefault="002C11FE" w:rsidP="00E01D1D">
      <w:r>
        <w:rPr>
          <w:noProof/>
          <w:lang w:eastAsia="es-PE"/>
        </w:rPr>
        <w:drawing>
          <wp:anchor distT="0" distB="0" distL="114300" distR="114300" simplePos="0" relativeHeight="251658240" behindDoc="0" locked="0" layoutInCell="1" allowOverlap="1">
            <wp:simplePos x="0" y="0"/>
            <wp:positionH relativeFrom="margin">
              <wp:align>center</wp:align>
            </wp:positionH>
            <wp:positionV relativeFrom="paragraph">
              <wp:posOffset>84032</wp:posOffset>
            </wp:positionV>
            <wp:extent cx="2959100" cy="2460117"/>
            <wp:effectExtent l="76200" t="76200" r="127000" b="13081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escarga.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59100" cy="246011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p>
    <w:p w:rsidR="00E01D1D" w:rsidRPr="00E01D1D" w:rsidRDefault="00E01D1D" w:rsidP="00E01D1D"/>
    <w:p w:rsidR="00E01D1D" w:rsidRPr="00E01D1D" w:rsidRDefault="00E01D1D" w:rsidP="00E01D1D">
      <w:r>
        <w:t xml:space="preserve">                   </w:t>
      </w:r>
    </w:p>
    <w:p w:rsidR="00E01D1D" w:rsidRDefault="00E01D1D" w:rsidP="00E01D1D"/>
    <w:p w:rsidR="00E01D1D" w:rsidRDefault="002C11FE" w:rsidP="00E01D1D">
      <w:pPr>
        <w:jc w:val="center"/>
      </w:pPr>
      <w:r>
        <w:rPr>
          <w:noProof/>
          <w:lang w:eastAsia="es-PE"/>
        </w:rPr>
        <w:drawing>
          <wp:anchor distT="0" distB="0" distL="114300" distR="114300" simplePos="0" relativeHeight="251659264" behindDoc="0" locked="0" layoutInCell="1" allowOverlap="1">
            <wp:simplePos x="0" y="0"/>
            <wp:positionH relativeFrom="column">
              <wp:posOffset>1196975</wp:posOffset>
            </wp:positionH>
            <wp:positionV relativeFrom="paragraph">
              <wp:posOffset>1743710</wp:posOffset>
            </wp:positionV>
            <wp:extent cx="2994025" cy="2489200"/>
            <wp:effectExtent l="76200" t="76200" r="130175" b="139700"/>
            <wp:wrapThrough wrapText="bothSides">
              <wp:wrapPolygon edited="0">
                <wp:start x="-275" y="-661"/>
                <wp:lineTo x="-550" y="-496"/>
                <wp:lineTo x="-550" y="21986"/>
                <wp:lineTo x="-275" y="22647"/>
                <wp:lineTo x="22127" y="22647"/>
                <wp:lineTo x="22402" y="20829"/>
                <wp:lineTo x="22402" y="2149"/>
                <wp:lineTo x="22127" y="-331"/>
                <wp:lineTo x="22127" y="-661"/>
                <wp:lineTo x="-275" y="-661"/>
              </wp:wrapPolygon>
            </wp:wrapThrough>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escarga (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94025" cy="24892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t>}</w:t>
      </w:r>
    </w:p>
    <w:p w:rsidR="002C11FE" w:rsidRDefault="002C11FE" w:rsidP="00E01D1D">
      <w:pPr>
        <w:jc w:val="center"/>
      </w:pPr>
    </w:p>
    <w:p w:rsidR="002C11FE" w:rsidRPr="002C11FE" w:rsidRDefault="002C11FE" w:rsidP="002C11FE"/>
    <w:p w:rsidR="002C11FE" w:rsidRPr="002C11FE" w:rsidRDefault="002C11FE" w:rsidP="002C11FE"/>
    <w:p w:rsidR="002C11FE" w:rsidRPr="002C11FE" w:rsidRDefault="002C11FE" w:rsidP="002C11FE"/>
    <w:p w:rsidR="002C11FE" w:rsidRPr="002C11FE" w:rsidRDefault="002C11FE" w:rsidP="002C11FE"/>
    <w:p w:rsidR="002C11FE" w:rsidRPr="002C11FE" w:rsidRDefault="002C11FE" w:rsidP="002C11FE"/>
    <w:p w:rsidR="002C11FE" w:rsidRPr="002C11FE" w:rsidRDefault="002C11FE" w:rsidP="002C11FE"/>
    <w:p w:rsidR="002C11FE" w:rsidRDefault="002C11FE" w:rsidP="002C11FE"/>
    <w:p w:rsidR="002C11FE" w:rsidRDefault="002C11FE" w:rsidP="002C11FE"/>
    <w:p w:rsidR="002C11FE" w:rsidRDefault="002C11FE" w:rsidP="002C11FE"/>
    <w:p w:rsidR="002C11FE" w:rsidRDefault="002C11FE" w:rsidP="002C11FE"/>
    <w:p w:rsidR="002C11FE" w:rsidRDefault="002C11FE" w:rsidP="002C11FE"/>
    <w:p w:rsidR="00704C66" w:rsidRDefault="00704C66" w:rsidP="00501509">
      <w:pPr>
        <w:jc w:val="both"/>
        <w:rPr>
          <w:rFonts w:ascii="Candara Light" w:hAnsi="Candara Light"/>
          <w:b/>
          <w:bCs/>
          <w:sz w:val="24"/>
          <w:u w:val="single"/>
        </w:rPr>
      </w:pPr>
    </w:p>
    <w:p w:rsidR="00501509" w:rsidRPr="00821D83" w:rsidRDefault="00501509" w:rsidP="00501509">
      <w:pPr>
        <w:jc w:val="both"/>
        <w:rPr>
          <w:rFonts w:ascii="Candara Light" w:hAnsi="Candara Light"/>
          <w:sz w:val="24"/>
        </w:rPr>
      </w:pPr>
      <w:r w:rsidRPr="00821D83">
        <w:rPr>
          <w:rFonts w:ascii="Candara Light" w:hAnsi="Candara Light"/>
          <w:b/>
          <w:bCs/>
          <w:sz w:val="24"/>
        </w:rPr>
        <w:lastRenderedPageBreak/>
        <w:t>Pu</w:t>
      </w:r>
      <w:r w:rsidRPr="00821D83">
        <w:rPr>
          <w:rFonts w:ascii="Candara Light" w:hAnsi="Candara Light"/>
          <w:b/>
          <w:bCs/>
          <w:sz w:val="24"/>
        </w:rPr>
        <w:t>nto 5 – Desocupados e Inactivos</w:t>
      </w:r>
    </w:p>
    <w:p w:rsidR="00501509" w:rsidRDefault="00501509" w:rsidP="00501509">
      <w:pPr>
        <w:jc w:val="both"/>
        <w:rPr>
          <w:rFonts w:ascii="Candara Light" w:hAnsi="Candara Light"/>
          <w:sz w:val="24"/>
        </w:rPr>
      </w:pPr>
      <w:r w:rsidRPr="00501509">
        <w:rPr>
          <w:rFonts w:ascii="Candara Light" w:hAnsi="Candara Light"/>
          <w:sz w:val="24"/>
        </w:rPr>
        <w:t>Para el año 200</w:t>
      </w:r>
      <w:r w:rsidR="00911C54">
        <w:rPr>
          <w:rFonts w:ascii="Candara Light" w:hAnsi="Candara Light"/>
          <w:sz w:val="24"/>
        </w:rPr>
        <w:t>4, encontramos  “X” desocupados e “Y”</w:t>
      </w:r>
      <w:r w:rsidRPr="00501509">
        <w:rPr>
          <w:rFonts w:ascii="Candara Light" w:hAnsi="Candara Light"/>
          <w:sz w:val="24"/>
        </w:rPr>
        <w:t xml:space="preserve"> inactivos en la muestra, mientras que en 2024 encontramos </w:t>
      </w:r>
      <w:r w:rsidR="00911C54">
        <w:rPr>
          <w:rFonts w:ascii="Candara Light" w:hAnsi="Candara Light"/>
          <w:sz w:val="24"/>
        </w:rPr>
        <w:t>“</w:t>
      </w:r>
      <w:r w:rsidRPr="00501509">
        <w:rPr>
          <w:rFonts w:ascii="Candara Light" w:hAnsi="Candara Light"/>
          <w:sz w:val="24"/>
        </w:rPr>
        <w:t>Z</w:t>
      </w:r>
      <w:r w:rsidR="00911C54">
        <w:rPr>
          <w:rFonts w:ascii="Candara Light" w:hAnsi="Candara Light"/>
          <w:sz w:val="24"/>
        </w:rPr>
        <w:t>”</w:t>
      </w:r>
      <w:r w:rsidRPr="00501509">
        <w:rPr>
          <w:rFonts w:ascii="Candara Light" w:hAnsi="Candara Light"/>
          <w:sz w:val="24"/>
        </w:rPr>
        <w:t xml:space="preserve"> desocupados y </w:t>
      </w:r>
      <w:r w:rsidR="00911C54">
        <w:rPr>
          <w:rFonts w:ascii="Candara Light" w:hAnsi="Candara Light"/>
          <w:sz w:val="24"/>
        </w:rPr>
        <w:t>“</w:t>
      </w:r>
      <w:r w:rsidRPr="00501509">
        <w:rPr>
          <w:rFonts w:ascii="Candara Light" w:hAnsi="Candara Light"/>
          <w:sz w:val="24"/>
        </w:rPr>
        <w:t>W</w:t>
      </w:r>
      <w:r w:rsidR="00911C54">
        <w:rPr>
          <w:rFonts w:ascii="Candara Light" w:hAnsi="Candara Light"/>
          <w:sz w:val="24"/>
        </w:rPr>
        <w:t>”</w:t>
      </w:r>
      <w:r w:rsidRPr="00501509">
        <w:rPr>
          <w:rFonts w:ascii="Candara Light" w:hAnsi="Candara Light"/>
          <w:sz w:val="24"/>
        </w:rPr>
        <w:t xml:space="preserve"> inactivos.</w:t>
      </w:r>
      <w:r w:rsidRPr="00501509">
        <w:rPr>
          <w:rFonts w:ascii="Candara Light" w:hAnsi="Candara Light"/>
          <w:sz w:val="24"/>
        </w:rPr>
        <w:br/>
        <w:t>Analizando los ingresos per cápita familiares (IPCF) según estado laboral, los ocupados presentan los ingresos promedio más altos, seguidos por los inactivos y luego los desocupados.</w:t>
      </w:r>
      <w:r w:rsidRPr="00501509">
        <w:rPr>
          <w:rFonts w:ascii="Candara Light" w:hAnsi="Candara Light"/>
          <w:sz w:val="24"/>
        </w:rPr>
        <w:br/>
        <w:t>Esta tendencia se mantiene en ambos años, aunque los valores absolutos varían.</w:t>
      </w:r>
      <w:r w:rsidRPr="00501509">
        <w:rPr>
          <w:rFonts w:ascii="Candara Light" w:hAnsi="Candara Light"/>
          <w:sz w:val="24"/>
        </w:rPr>
        <w:br/>
        <w:t>Estos resultados reflejan las diferencias de acceso a recursos económicos entre los distintos estados de participación en el mercado laboral.</w:t>
      </w:r>
    </w:p>
    <w:p w:rsidR="00704C66" w:rsidRPr="00501509" w:rsidRDefault="00704C66" w:rsidP="00501509">
      <w:pPr>
        <w:jc w:val="both"/>
        <w:rPr>
          <w:rFonts w:ascii="Candara Light" w:hAnsi="Candara Light"/>
          <w:sz w:val="24"/>
        </w:rPr>
      </w:pPr>
    </w:p>
    <w:p w:rsidR="00501509" w:rsidRPr="00821D83" w:rsidRDefault="00501509" w:rsidP="00501509">
      <w:pPr>
        <w:jc w:val="both"/>
        <w:rPr>
          <w:rFonts w:ascii="Candara Light" w:hAnsi="Candara Light"/>
          <w:b/>
          <w:bCs/>
          <w:sz w:val="24"/>
        </w:rPr>
      </w:pPr>
      <w:r w:rsidRPr="00821D83">
        <w:rPr>
          <w:rFonts w:ascii="Candara Light" w:hAnsi="Candara Light"/>
          <w:b/>
          <w:bCs/>
          <w:sz w:val="24"/>
        </w:rPr>
        <w:t>Punto 6 – Análisis de No Respuesta en la Condición de Actividad</w:t>
      </w:r>
    </w:p>
    <w:p w:rsidR="00821D83" w:rsidRDefault="00501509" w:rsidP="00501509">
      <w:pPr>
        <w:jc w:val="both"/>
        <w:rPr>
          <w:rFonts w:ascii="Candara Light" w:hAnsi="Candara Light"/>
          <w:sz w:val="24"/>
        </w:rPr>
      </w:pPr>
      <w:r w:rsidRPr="00501509">
        <w:rPr>
          <w:rFonts w:ascii="Candara Light" w:hAnsi="Candara Light"/>
          <w:sz w:val="24"/>
        </w:rPr>
        <w:t xml:space="preserve">Analizamos la variable ESTADO para identificar los casos </w:t>
      </w:r>
      <w:r w:rsidR="00911C54">
        <w:rPr>
          <w:rFonts w:ascii="Candara Light" w:hAnsi="Candara Light"/>
          <w:sz w:val="24"/>
        </w:rPr>
        <w:t xml:space="preserve">de no respuesta en la condición </w:t>
      </w:r>
      <w:r w:rsidRPr="00501509">
        <w:rPr>
          <w:rFonts w:ascii="Candara Light" w:hAnsi="Candara Light"/>
          <w:sz w:val="24"/>
        </w:rPr>
        <w:t>de actividad.</w:t>
      </w:r>
      <w:r w:rsidRPr="00501509">
        <w:rPr>
          <w:rFonts w:ascii="Candara Light" w:hAnsi="Candara Light"/>
          <w:sz w:val="24"/>
        </w:rPr>
        <w:br/>
        <w:t>En el año 2004, encontramos X personas que no respondieron, mientras que en 2024 la cantidad fue de Y personas.</w:t>
      </w:r>
      <w:r w:rsidRPr="00501509">
        <w:rPr>
          <w:rFonts w:ascii="Candara Light" w:hAnsi="Candara Light"/>
          <w:sz w:val="24"/>
        </w:rPr>
        <w:br/>
        <w:t>Para continuar con el análisis, dividimos las bases en dos subconjuntos:</w:t>
      </w:r>
      <w:r w:rsidRPr="00501509">
        <w:rPr>
          <w:rFonts w:ascii="Candara Light" w:hAnsi="Candara Light"/>
          <w:sz w:val="24"/>
        </w:rPr>
        <w:br/>
        <w:t>"respondieron" (observaciones con respuesta válida en ESTADO)</w:t>
      </w:r>
      <w:r w:rsidRPr="00501509">
        <w:rPr>
          <w:rFonts w:ascii="Candara Light" w:hAnsi="Candara Light"/>
          <w:sz w:val="24"/>
        </w:rPr>
        <w:br/>
        <w:t>"no respondieron" (observaciones con ESTADO igual a 0).</w:t>
      </w:r>
      <w:r w:rsidRPr="00501509">
        <w:rPr>
          <w:rFonts w:ascii="Candara Light" w:hAnsi="Candara Light"/>
          <w:sz w:val="24"/>
        </w:rPr>
        <w:br/>
        <w:t>La separación permite trabajar únicamente con datos consistentes, evitando sesgos por falta de respuesta en el análisis de actividad laboral.</w:t>
      </w:r>
    </w:p>
    <w:p w:rsidR="00704C66" w:rsidRDefault="00704C66" w:rsidP="00501509">
      <w:pPr>
        <w:jc w:val="both"/>
        <w:rPr>
          <w:rFonts w:ascii="Candara Light" w:hAnsi="Candara Light"/>
          <w:sz w:val="24"/>
        </w:rPr>
      </w:pPr>
    </w:p>
    <w:p w:rsidR="00821D83" w:rsidRPr="00821D83" w:rsidRDefault="00821D83" w:rsidP="00501509">
      <w:pPr>
        <w:jc w:val="both"/>
        <w:rPr>
          <w:rFonts w:ascii="Candara Light" w:hAnsi="Candara Light"/>
          <w:b/>
          <w:sz w:val="24"/>
        </w:rPr>
      </w:pPr>
      <w:r w:rsidRPr="00821D83">
        <w:rPr>
          <w:rFonts w:ascii="Candara Light" w:hAnsi="Candara Light"/>
          <w:b/>
          <w:sz w:val="24"/>
        </w:rPr>
        <w:t>PUNTO 7 – Composición PEA para 2004 y 2024</w:t>
      </w:r>
    </w:p>
    <w:p w:rsidR="00704C66" w:rsidRDefault="00704C66" w:rsidP="00704C66">
      <w:pPr>
        <w:spacing w:before="100" w:beforeAutospacing="1" w:after="100" w:afterAutospacing="1" w:line="240" w:lineRule="auto"/>
        <w:rPr>
          <w:rFonts w:ascii="Candara Light" w:eastAsia="Times New Roman" w:hAnsi="Candara Light" w:cs="Times New Roman"/>
          <w:sz w:val="24"/>
          <w:szCs w:val="24"/>
          <w:lang w:eastAsia="es-PE"/>
        </w:rPr>
      </w:pPr>
      <w:r w:rsidRPr="00704C66">
        <w:rPr>
          <w:rFonts w:ascii="Candara Light" w:eastAsia="Times New Roman" w:hAnsi="Candara Light" w:cs="Times New Roman"/>
          <w:sz w:val="24"/>
          <w:szCs w:val="24"/>
          <w:lang w:eastAsia="es-PE"/>
        </w:rPr>
        <w:t>En el gráfico se observa que tanto la cantidad de personas desocupadas como la población económicamente activa (PEA) disminuyeron en 2024 respecto a 2004.</w:t>
      </w:r>
    </w:p>
    <w:p w:rsidR="00704C66" w:rsidRPr="00704C66" w:rsidRDefault="00704C66" w:rsidP="00704C66">
      <w:pPr>
        <w:spacing w:before="100" w:beforeAutospacing="1" w:after="100" w:afterAutospacing="1" w:line="240" w:lineRule="auto"/>
        <w:rPr>
          <w:rFonts w:ascii="Candara Light" w:eastAsia="Times New Roman" w:hAnsi="Candara Light" w:cs="Times New Roman"/>
          <w:sz w:val="24"/>
          <w:szCs w:val="24"/>
          <w:lang w:eastAsia="es-PE"/>
        </w:rPr>
      </w:pPr>
    </w:p>
    <w:p w:rsidR="00911C54" w:rsidRPr="00911C54" w:rsidRDefault="00911C54" w:rsidP="00704C66">
      <w:pPr>
        <w:spacing w:before="100" w:beforeAutospacing="1" w:after="100" w:afterAutospacing="1" w:line="240" w:lineRule="auto"/>
        <w:jc w:val="center"/>
        <w:rPr>
          <w:rFonts w:ascii="Candara Light" w:eastAsia="Times New Roman" w:hAnsi="Candara Light" w:cs="Times New Roman"/>
          <w:sz w:val="24"/>
          <w:szCs w:val="24"/>
          <w:lang w:eastAsia="es-PE"/>
        </w:rPr>
      </w:pPr>
      <w:r w:rsidRPr="00911C54">
        <w:rPr>
          <w:rFonts w:ascii="Candara Light" w:eastAsia="Times New Roman" w:hAnsi="Candara Light" w:cs="Times New Roman"/>
          <w:sz w:val="24"/>
          <w:szCs w:val="24"/>
          <w:lang w:eastAsia="es-PE"/>
        </w:rPr>
        <w:drawing>
          <wp:inline distT="0" distB="0" distL="0" distR="0" wp14:anchorId="683D20EF" wp14:editId="0C256CFC">
            <wp:extent cx="2984500" cy="2059740"/>
            <wp:effectExtent l="76200" t="76200" r="139700" b="13144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90425" cy="206382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2C11FE" w:rsidRDefault="002C11FE" w:rsidP="002C11FE"/>
    <w:p w:rsidR="002C11FE" w:rsidRDefault="00704C66" w:rsidP="002C11FE">
      <w:pPr>
        <w:rPr>
          <w:rFonts w:ascii="Candara Light" w:hAnsi="Candara Light"/>
          <w:b/>
          <w:sz w:val="24"/>
        </w:rPr>
      </w:pPr>
      <w:r w:rsidRPr="00704C66">
        <w:rPr>
          <w:rFonts w:ascii="Candara Light" w:hAnsi="Candara Light"/>
          <w:b/>
          <w:sz w:val="24"/>
        </w:rPr>
        <w:lastRenderedPageBreak/>
        <w:t>Punto 8 – Comparación PET Y PEA</w:t>
      </w:r>
    </w:p>
    <w:p w:rsidR="00704C66" w:rsidRPr="005F6B9B" w:rsidRDefault="00704C66" w:rsidP="002C11FE">
      <w:pPr>
        <w:rPr>
          <w:rFonts w:ascii="Candara Light" w:hAnsi="Candara Light"/>
          <w:sz w:val="24"/>
        </w:rPr>
      </w:pPr>
      <w:r w:rsidRPr="005F6B9B">
        <w:rPr>
          <w:rFonts w:ascii="Candara Light" w:hAnsi="Candara Light"/>
          <w:sz w:val="24"/>
        </w:rPr>
        <w:t>No hay datos con los cuáles trabajar para el caso de PET (Población en edad para trabajar). Ya sea por un error de código, definición o que simplemente la base de datos en esa categoría este vacía.</w:t>
      </w:r>
    </w:p>
    <w:p w:rsidR="00704C66" w:rsidRDefault="00704C66" w:rsidP="00704C66">
      <w:pPr>
        <w:jc w:val="center"/>
        <w:rPr>
          <w:rFonts w:ascii="Candara Light" w:hAnsi="Candara Light"/>
          <w:b/>
          <w:sz w:val="24"/>
        </w:rPr>
      </w:pPr>
      <w:r w:rsidRPr="00704C66">
        <w:rPr>
          <w:rFonts w:ascii="Candara Light" w:hAnsi="Candara Light"/>
          <w:b/>
          <w:sz w:val="24"/>
        </w:rPr>
        <w:drawing>
          <wp:inline distT="0" distB="0" distL="0" distR="0" wp14:anchorId="57AC76BC" wp14:editId="09A4AD3C">
            <wp:extent cx="3949700" cy="2848949"/>
            <wp:effectExtent l="76200" t="76200" r="127000" b="14224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53929" cy="285199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5F6B9B" w:rsidRDefault="005F6B9B" w:rsidP="00704C66">
      <w:pPr>
        <w:jc w:val="center"/>
        <w:rPr>
          <w:rFonts w:ascii="Candara Light" w:hAnsi="Candara Light"/>
          <w:b/>
          <w:sz w:val="24"/>
        </w:rPr>
      </w:pPr>
    </w:p>
    <w:p w:rsidR="005F6B9B" w:rsidRPr="005F6B9B" w:rsidRDefault="005F6B9B" w:rsidP="005F6B9B">
      <w:pPr>
        <w:pBdr>
          <w:top w:val="nil"/>
          <w:left w:val="nil"/>
          <w:bottom w:val="nil"/>
          <w:right w:val="nil"/>
          <w:between w:val="nil"/>
        </w:pBdr>
        <w:spacing w:before="240" w:after="0" w:line="240" w:lineRule="auto"/>
        <w:jc w:val="both"/>
        <w:rPr>
          <w:rFonts w:ascii="Candara Light" w:eastAsia="Century Schoolbook" w:hAnsi="Candara Light" w:cs="Century Schoolbook"/>
          <w:b/>
          <w:color w:val="000000"/>
        </w:rPr>
      </w:pPr>
      <w:r w:rsidRPr="005F6B9B">
        <w:rPr>
          <w:rFonts w:ascii="Candara Light" w:hAnsi="Candara Light"/>
          <w:b/>
          <w:sz w:val="24"/>
        </w:rPr>
        <w:t>Punto 9a - ¿</w:t>
      </w:r>
      <w:r w:rsidRPr="005F6B9B">
        <w:rPr>
          <w:rFonts w:ascii="Candara Light" w:eastAsia="Century Schoolbook" w:hAnsi="Candara Light" w:cs="Century Schoolbook"/>
          <w:b/>
          <w:color w:val="000000"/>
        </w:rPr>
        <w:t xml:space="preserve">Hubo cambios de desocupados por nivel educativo? </w:t>
      </w:r>
    </w:p>
    <w:p w:rsidR="007945C2" w:rsidRDefault="005F6B9B" w:rsidP="007945C2">
      <w:pPr>
        <w:spacing w:before="100" w:beforeAutospacing="1" w:after="100" w:afterAutospacing="1"/>
        <w:jc w:val="both"/>
        <w:rPr>
          <w:rFonts w:ascii="Candara Light" w:eastAsia="Times New Roman" w:hAnsi="Candara Light" w:cs="Times New Roman"/>
          <w:sz w:val="24"/>
          <w:szCs w:val="24"/>
          <w:lang w:eastAsia="es-PE"/>
        </w:rPr>
      </w:pPr>
      <w:r>
        <w:rPr>
          <w:rFonts w:ascii="Candara Light" w:eastAsia="Times New Roman" w:hAnsi="Candara Light" w:cs="Times New Roman"/>
          <w:sz w:val="24"/>
          <w:szCs w:val="24"/>
          <w:lang w:eastAsia="es-PE"/>
        </w:rPr>
        <w:t>Teniendo en cuenta que los registros en 2004 no tienen datos</w:t>
      </w:r>
      <w:r w:rsidR="007945C2">
        <w:rPr>
          <w:rFonts w:ascii="Candara Light" w:eastAsia="Times New Roman" w:hAnsi="Candara Light" w:cs="Times New Roman"/>
          <w:sz w:val="24"/>
          <w:szCs w:val="24"/>
          <w:lang w:eastAsia="es-PE"/>
        </w:rPr>
        <w:t xml:space="preserve"> de personas desocupadas por nivel educativo</w:t>
      </w:r>
      <w:r>
        <w:rPr>
          <w:rFonts w:ascii="Candara Light" w:eastAsia="Times New Roman" w:hAnsi="Candara Light" w:cs="Times New Roman"/>
          <w:sz w:val="24"/>
          <w:szCs w:val="24"/>
          <w:lang w:eastAsia="es-PE"/>
        </w:rPr>
        <w:t>. Lo tomaremos como si fuese un cero</w:t>
      </w:r>
      <w:r w:rsidR="007945C2">
        <w:rPr>
          <w:rFonts w:ascii="Candara Light" w:eastAsia="Times New Roman" w:hAnsi="Candara Light" w:cs="Times New Roman"/>
          <w:sz w:val="24"/>
          <w:szCs w:val="24"/>
          <w:lang w:eastAsia="es-PE"/>
        </w:rPr>
        <w:t>. En tal caso, para el 2024 hubo una distribución detallada según las subcategorías existentes. La desocupación afecta más a quienes tienen niveles de educación medios (en su mayoría incompleta).</w:t>
      </w:r>
    </w:p>
    <w:p w:rsidR="007945C2" w:rsidRDefault="007945C2" w:rsidP="007945C2">
      <w:pPr>
        <w:spacing w:before="100" w:beforeAutospacing="1" w:after="100" w:afterAutospacing="1"/>
        <w:jc w:val="both"/>
        <w:rPr>
          <w:rFonts w:ascii="Candara Light" w:eastAsia="Times New Roman" w:hAnsi="Candara Light" w:cs="Times New Roman"/>
          <w:b/>
          <w:sz w:val="24"/>
          <w:szCs w:val="24"/>
          <w:lang w:eastAsia="es-PE"/>
        </w:rPr>
      </w:pPr>
      <w:r w:rsidRPr="007945C2">
        <w:rPr>
          <w:rFonts w:ascii="Candara Light" w:eastAsia="Times New Roman" w:hAnsi="Candara Light" w:cs="Times New Roman"/>
          <w:b/>
          <w:sz w:val="24"/>
          <w:szCs w:val="24"/>
          <w:lang w:eastAsia="es-PE"/>
        </w:rPr>
        <w:t>Punto 9b - ¿Hubo cambios de desocupados por edad?</w:t>
      </w:r>
    </w:p>
    <w:p w:rsidR="007945C2" w:rsidRPr="007945C2" w:rsidRDefault="007945C2" w:rsidP="007945C2">
      <w:pPr>
        <w:spacing w:before="100" w:beforeAutospacing="1" w:after="100" w:afterAutospacing="1"/>
        <w:jc w:val="both"/>
        <w:rPr>
          <w:rFonts w:ascii="Candara Light" w:hAnsi="Candara Light" w:cs="Courier New"/>
          <w:sz w:val="24"/>
          <w:szCs w:val="24"/>
        </w:rPr>
      </w:pPr>
      <w:r w:rsidRPr="007945C2">
        <w:rPr>
          <w:rFonts w:ascii="Candara Light" w:hAnsi="Candara Light"/>
          <w:sz w:val="24"/>
          <w:szCs w:val="24"/>
        </w:rPr>
        <w:t xml:space="preserve">En </w:t>
      </w:r>
      <w:r>
        <w:rPr>
          <w:rStyle w:val="Textoennegrita"/>
          <w:rFonts w:ascii="Candara Light" w:hAnsi="Candara Light"/>
          <w:b w:val="0"/>
          <w:sz w:val="24"/>
          <w:szCs w:val="24"/>
        </w:rPr>
        <w:t>2004</w:t>
      </w:r>
      <w:r w:rsidRPr="007945C2">
        <w:rPr>
          <w:rFonts w:ascii="Candara Light" w:hAnsi="Candara Light"/>
          <w:b/>
          <w:sz w:val="24"/>
          <w:szCs w:val="24"/>
        </w:rPr>
        <w:t xml:space="preserve"> </w:t>
      </w:r>
      <w:r w:rsidRPr="007945C2">
        <w:rPr>
          <w:rStyle w:val="Textoennegrita"/>
          <w:rFonts w:ascii="Candara Light" w:hAnsi="Candara Light"/>
          <w:b w:val="0"/>
          <w:sz w:val="24"/>
          <w:szCs w:val="24"/>
        </w:rPr>
        <w:t>no hay registros de personas desocupadas</w:t>
      </w:r>
      <w:r w:rsidRPr="007945C2">
        <w:rPr>
          <w:rFonts w:ascii="Candara Light" w:hAnsi="Candara Light"/>
          <w:sz w:val="24"/>
          <w:szCs w:val="24"/>
        </w:rPr>
        <w:t xml:space="preserve"> en ningún grupo etario (</w:t>
      </w:r>
      <w:r>
        <w:rPr>
          <w:rStyle w:val="CdigoHTML"/>
          <w:rFonts w:ascii="Candara Light" w:eastAsiaTheme="minorHAnsi" w:hAnsi="Candara Light"/>
          <w:sz w:val="24"/>
          <w:szCs w:val="24"/>
        </w:rPr>
        <w:t>ya sea por error de código o falta de datos en la base).  La desocupación en 2024 se concentra más en el grupo etario entre 20 y 30 años (jóvenes adultos), pero a medida que la edad aumenta, la desocupación disminuye. La gente adulta y los jubilados ya están dentro del mercado laboral, en su mayoría.</w:t>
      </w:r>
      <w:bookmarkStart w:id="0" w:name="_GoBack"/>
      <w:bookmarkEnd w:id="0"/>
    </w:p>
    <w:p w:rsidR="005F6B9B" w:rsidRPr="005F6B9B" w:rsidRDefault="005F6B9B" w:rsidP="007945C2">
      <w:pPr>
        <w:spacing w:before="100" w:beforeAutospacing="1" w:after="100" w:afterAutospacing="1" w:line="240" w:lineRule="auto"/>
        <w:jc w:val="both"/>
        <w:rPr>
          <w:rFonts w:ascii="Candara Light" w:eastAsia="Times New Roman" w:hAnsi="Candara Light" w:cs="Times New Roman"/>
          <w:sz w:val="24"/>
          <w:szCs w:val="24"/>
          <w:lang w:eastAsia="es-PE"/>
        </w:rPr>
      </w:pPr>
    </w:p>
    <w:p w:rsidR="005F6B9B" w:rsidRDefault="005F6B9B" w:rsidP="005F6B9B">
      <w:pPr>
        <w:pBdr>
          <w:top w:val="nil"/>
          <w:left w:val="nil"/>
          <w:bottom w:val="nil"/>
          <w:right w:val="nil"/>
          <w:between w:val="nil"/>
        </w:pBdr>
        <w:spacing w:before="240" w:after="0" w:line="240" w:lineRule="auto"/>
        <w:jc w:val="both"/>
        <w:rPr>
          <w:rFonts w:ascii="Century Schoolbook" w:eastAsia="Century Schoolbook" w:hAnsi="Century Schoolbook" w:cs="Century Schoolbook"/>
          <w:color w:val="000000"/>
        </w:rPr>
      </w:pPr>
    </w:p>
    <w:p w:rsidR="005F6B9B" w:rsidRPr="00704C66" w:rsidRDefault="005F6B9B" w:rsidP="005F6B9B">
      <w:pPr>
        <w:rPr>
          <w:rFonts w:ascii="Candara Light" w:hAnsi="Candara Light"/>
          <w:b/>
          <w:sz w:val="24"/>
        </w:rPr>
      </w:pPr>
    </w:p>
    <w:sectPr w:rsidR="005F6B9B" w:rsidRPr="00704C6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E0E37" w:rsidRDefault="000E0E37" w:rsidP="002C11FE">
      <w:pPr>
        <w:spacing w:after="0" w:line="240" w:lineRule="auto"/>
      </w:pPr>
      <w:r>
        <w:separator/>
      </w:r>
    </w:p>
  </w:endnote>
  <w:endnote w:type="continuationSeparator" w:id="0">
    <w:p w:rsidR="000E0E37" w:rsidRDefault="000E0E37" w:rsidP="002C11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ndara Light">
    <w:panose1 w:val="020E0502030303020204"/>
    <w:charset w:val="00"/>
    <w:family w:val="swiss"/>
    <w:pitch w:val="variable"/>
    <w:sig w:usb0="A00002FF" w:usb1="00000002"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Century Schoolbook">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E0E37" w:rsidRDefault="000E0E37" w:rsidP="002C11FE">
      <w:pPr>
        <w:spacing w:after="0" w:line="240" w:lineRule="auto"/>
      </w:pPr>
      <w:r>
        <w:separator/>
      </w:r>
    </w:p>
  </w:footnote>
  <w:footnote w:type="continuationSeparator" w:id="0">
    <w:p w:rsidR="000E0E37" w:rsidRDefault="000E0E37" w:rsidP="002C11F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E101D1"/>
    <w:multiLevelType w:val="multilevel"/>
    <w:tmpl w:val="DE6A3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96D5651"/>
    <w:multiLevelType w:val="multilevel"/>
    <w:tmpl w:val="3D32FC1A"/>
    <w:lvl w:ilvl="0">
      <w:start w:val="1"/>
      <w:numFmt w:val="decimal"/>
      <w:lvlText w:val="%1."/>
      <w:lvlJc w:val="left"/>
      <w:pPr>
        <w:ind w:left="720" w:hanging="360"/>
      </w:pPr>
    </w:lvl>
    <w:lvl w:ilvl="1">
      <w:start w:val="1"/>
      <w:numFmt w:val="lowerLetter"/>
      <w:lvlText w:val="%2."/>
      <w:lvlJc w:val="left"/>
      <w:pPr>
        <w:ind w:left="1211"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1D1D"/>
    <w:rsid w:val="000A3751"/>
    <w:rsid w:val="000E0E37"/>
    <w:rsid w:val="002C11FE"/>
    <w:rsid w:val="00501509"/>
    <w:rsid w:val="005F6B9B"/>
    <w:rsid w:val="00704C66"/>
    <w:rsid w:val="007945C2"/>
    <w:rsid w:val="00821D83"/>
    <w:rsid w:val="00911C54"/>
    <w:rsid w:val="00E01D1D"/>
    <w:rsid w:val="00EF0D3F"/>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B0F4C4"/>
  <w15:chartTrackingRefBased/>
  <w15:docId w15:val="{2EA4C386-D28A-4119-A43A-59C3C9A9C0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E01D1D"/>
    <w:pPr>
      <w:spacing w:before="100" w:beforeAutospacing="1" w:after="100" w:afterAutospacing="1" w:line="240" w:lineRule="auto"/>
    </w:pPr>
    <w:rPr>
      <w:rFonts w:ascii="Times New Roman" w:eastAsia="Times New Roman" w:hAnsi="Times New Roman" w:cs="Times New Roman"/>
      <w:sz w:val="24"/>
      <w:szCs w:val="24"/>
      <w:lang w:eastAsia="es-PE"/>
    </w:rPr>
  </w:style>
  <w:style w:type="paragraph" w:styleId="Encabezado">
    <w:name w:val="header"/>
    <w:basedOn w:val="Normal"/>
    <w:link w:val="EncabezadoCar"/>
    <w:uiPriority w:val="99"/>
    <w:unhideWhenUsed/>
    <w:rsid w:val="002C11F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C11FE"/>
  </w:style>
  <w:style w:type="paragraph" w:styleId="Piedepgina">
    <w:name w:val="footer"/>
    <w:basedOn w:val="Normal"/>
    <w:link w:val="PiedepginaCar"/>
    <w:uiPriority w:val="99"/>
    <w:unhideWhenUsed/>
    <w:rsid w:val="002C11F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C11FE"/>
  </w:style>
  <w:style w:type="character" w:styleId="Textoennegrita">
    <w:name w:val="Strong"/>
    <w:basedOn w:val="Fuentedeprrafopredeter"/>
    <w:uiPriority w:val="22"/>
    <w:qFormat/>
    <w:rsid w:val="00911C54"/>
    <w:rPr>
      <w:b/>
      <w:bCs/>
    </w:rPr>
  </w:style>
  <w:style w:type="character" w:styleId="CdigoHTML">
    <w:name w:val="HTML Code"/>
    <w:basedOn w:val="Fuentedeprrafopredeter"/>
    <w:uiPriority w:val="99"/>
    <w:semiHidden/>
    <w:unhideWhenUsed/>
    <w:rsid w:val="00911C5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468984">
      <w:bodyDiv w:val="1"/>
      <w:marLeft w:val="0"/>
      <w:marRight w:val="0"/>
      <w:marTop w:val="0"/>
      <w:marBottom w:val="0"/>
      <w:divBdr>
        <w:top w:val="none" w:sz="0" w:space="0" w:color="auto"/>
        <w:left w:val="none" w:sz="0" w:space="0" w:color="auto"/>
        <w:bottom w:val="none" w:sz="0" w:space="0" w:color="auto"/>
        <w:right w:val="none" w:sz="0" w:space="0" w:color="auto"/>
      </w:divBdr>
    </w:div>
    <w:div w:id="653217471">
      <w:bodyDiv w:val="1"/>
      <w:marLeft w:val="0"/>
      <w:marRight w:val="0"/>
      <w:marTop w:val="0"/>
      <w:marBottom w:val="0"/>
      <w:divBdr>
        <w:top w:val="none" w:sz="0" w:space="0" w:color="auto"/>
        <w:left w:val="none" w:sz="0" w:space="0" w:color="auto"/>
        <w:bottom w:val="none" w:sz="0" w:space="0" w:color="auto"/>
        <w:right w:val="none" w:sz="0" w:space="0" w:color="auto"/>
      </w:divBdr>
    </w:div>
    <w:div w:id="742214736">
      <w:bodyDiv w:val="1"/>
      <w:marLeft w:val="0"/>
      <w:marRight w:val="0"/>
      <w:marTop w:val="0"/>
      <w:marBottom w:val="0"/>
      <w:divBdr>
        <w:top w:val="none" w:sz="0" w:space="0" w:color="auto"/>
        <w:left w:val="none" w:sz="0" w:space="0" w:color="auto"/>
        <w:bottom w:val="none" w:sz="0" w:space="0" w:color="auto"/>
        <w:right w:val="none" w:sz="0" w:space="0" w:color="auto"/>
      </w:divBdr>
    </w:div>
    <w:div w:id="873737534">
      <w:bodyDiv w:val="1"/>
      <w:marLeft w:val="0"/>
      <w:marRight w:val="0"/>
      <w:marTop w:val="0"/>
      <w:marBottom w:val="0"/>
      <w:divBdr>
        <w:top w:val="none" w:sz="0" w:space="0" w:color="auto"/>
        <w:left w:val="none" w:sz="0" w:space="0" w:color="auto"/>
        <w:bottom w:val="none" w:sz="0" w:space="0" w:color="auto"/>
        <w:right w:val="none" w:sz="0" w:space="0" w:color="auto"/>
      </w:divBdr>
    </w:div>
    <w:div w:id="1768692514">
      <w:bodyDiv w:val="1"/>
      <w:marLeft w:val="0"/>
      <w:marRight w:val="0"/>
      <w:marTop w:val="0"/>
      <w:marBottom w:val="0"/>
      <w:divBdr>
        <w:top w:val="none" w:sz="0" w:space="0" w:color="auto"/>
        <w:left w:val="none" w:sz="0" w:space="0" w:color="auto"/>
        <w:bottom w:val="none" w:sz="0" w:space="0" w:color="auto"/>
        <w:right w:val="none" w:sz="0" w:space="0" w:color="auto"/>
      </w:divBdr>
    </w:div>
    <w:div w:id="2098553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4</Pages>
  <Words>720</Words>
  <Characters>3961</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Alexia Pérez Bernal</dc:creator>
  <cp:keywords/>
  <dc:description/>
  <cp:lastModifiedBy>Alexia Pérez Bernal</cp:lastModifiedBy>
  <cp:revision>1</cp:revision>
  <dcterms:created xsi:type="dcterms:W3CDTF">2025-04-22T09:50:00Z</dcterms:created>
  <dcterms:modified xsi:type="dcterms:W3CDTF">2025-04-22T15:38:00Z</dcterms:modified>
</cp:coreProperties>
</file>