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Pr>
          <w:rFonts w:ascii="Calibri" w:hAnsi="Calibri" w:cs="Calibri"/>
          <w:b/>
          <w:bCs/>
          <w:szCs w:val="22"/>
        </w:rPr>
        <w:t>${</w:t>
      </w:r>
      <w:proofErr w:type="spellStart"/>
      <w:r w:rsidR="00E3793C">
        <w:rPr>
          <w:rFonts w:ascii="Calibri" w:hAnsi="Calibri" w:cs="Calibri"/>
          <w:b/>
          <w:bCs/>
          <w:szCs w:val="22"/>
        </w:rPr>
        <w:t>ilustreTitulo</w:t>
      </w:r>
      <w:proofErr w:type="spellEnd"/>
      <w:r w:rsidR="00E3793C">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77777777"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w:t>
      </w:r>
      <w:proofErr w:type="gramStart"/>
      <w:r w:rsidRPr="00A54E3A">
        <w:rPr>
          <w:rFonts w:ascii="Calibri" w:hAnsi="Calibri" w:cs="Calibri"/>
          <w:sz w:val="22"/>
          <w:szCs w:val="20"/>
        </w:rPr>
        <w:t>entrada en vigencia</w:t>
      </w:r>
      <w:proofErr w:type="gramEnd"/>
      <w:r w:rsidRPr="00A54E3A">
        <w:rPr>
          <w:rFonts w:ascii="Calibri" w:hAnsi="Calibri" w:cs="Calibri"/>
          <w:sz w:val="22"/>
          <w:szCs w:val="20"/>
        </w:rPr>
        <w:t xml:space="preserve">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w:t>
      </w:r>
      <w:proofErr w:type="gramStart"/>
      <w:r w:rsidRPr="00A54E3A">
        <w:rPr>
          <w:rFonts w:cs="Calibri"/>
          <w:szCs w:val="20"/>
        </w:rPr>
        <w:t>Director</w:t>
      </w:r>
      <w:proofErr w:type="gramEnd"/>
      <w:r w:rsidRPr="00A54E3A">
        <w:rPr>
          <w:rFonts w:cs="Calibri"/>
          <w:szCs w:val="20"/>
        </w:rPr>
        <w:t xml:space="preserve">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SISREC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 de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el SISREC para la rendición de cuentas a que dé lugar el presente convenio, ocupando las funcionalidades que otorga el perfil ejecutor, dando cumplimiento al marco normativo aplicable, incluyendo la preceptiva de la resolución </w:t>
      </w:r>
      <w:proofErr w:type="spellStart"/>
      <w:r w:rsidRPr="004247E9">
        <w:rPr>
          <w:rFonts w:asciiTheme="minorHAnsi" w:hAnsiTheme="minorHAnsi" w:cstheme="minorHAnsi"/>
          <w:sz w:val="22"/>
          <w:szCs w:val="22"/>
        </w:rPr>
        <w:t>N°</w:t>
      </w:r>
      <w:proofErr w:type="spellEnd"/>
      <w:r w:rsidRPr="004247E9">
        <w:rPr>
          <w:rFonts w:asciiTheme="minorHAnsi" w:hAnsiTheme="minorHAnsi" w:cstheme="minorHAnsi"/>
          <w:sz w:val="22"/>
          <w:szCs w:val="22"/>
        </w:rPr>
        <w:t xml:space="preserve">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FAE4DFD"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4F7BE59B"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47C4D125" w14:textId="3F64A040"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Vienes 16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2BB3811D"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18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0F77B0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Lunes 19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35D95A94" w14:textId="59F24C44"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20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289F586A" w14:textId="7A1A31B8"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Lunes </w:t>
            </w:r>
            <w:r w:rsidR="00FE5749" w:rsidRPr="00964ABA">
              <w:rPr>
                <w:rFonts w:ascii="Calibri" w:hAnsi="Calibri" w:cs="Calibri"/>
                <w:sz w:val="22"/>
                <w:szCs w:val="18"/>
              </w:rPr>
              <w:t>20 septiembre</w:t>
            </w:r>
            <w:r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w:t>
            </w:r>
            <w:r w:rsidR="00A81D69">
              <w:rPr>
                <w:rFonts w:ascii="Calibri" w:hAnsi="Calibri" w:cs="Calibri"/>
                <w:sz w:val="22"/>
                <w:szCs w:val="18"/>
              </w:rPr>
              <w:t>2021</w:t>
            </w:r>
          </w:p>
        </w:tc>
        <w:tc>
          <w:tcPr>
            <w:tcW w:w="3219" w:type="dxa"/>
            <w:shd w:val="clear" w:color="auto" w:fill="auto"/>
          </w:tcPr>
          <w:p w14:paraId="5F218A1D" w14:textId="6CD10551" w:rsidR="00964ABA" w:rsidRPr="00964ABA" w:rsidRDefault="00A81D69" w:rsidP="00E35FBB">
            <w:pPr>
              <w:jc w:val="both"/>
              <w:rPr>
                <w:rFonts w:ascii="Calibri" w:hAnsi="Calibri" w:cs="Calibri"/>
                <w:sz w:val="22"/>
                <w:szCs w:val="18"/>
              </w:rPr>
            </w:pPr>
            <w:r>
              <w:rPr>
                <w:rFonts w:ascii="Calibri" w:hAnsi="Calibri" w:cs="Calibri"/>
                <w:sz w:val="22"/>
                <w:szCs w:val="18"/>
              </w:rPr>
              <w:t>Lunes</w:t>
            </w:r>
            <w:r w:rsidR="00964ABA" w:rsidRPr="00964ABA">
              <w:rPr>
                <w:rFonts w:ascii="Calibri" w:hAnsi="Calibri" w:cs="Calibri"/>
                <w:sz w:val="22"/>
                <w:szCs w:val="18"/>
              </w:rPr>
              <w:t xml:space="preserve"> 2</w:t>
            </w:r>
            <w:r>
              <w:rPr>
                <w:rFonts w:ascii="Calibri" w:hAnsi="Calibri" w:cs="Calibri"/>
                <w:sz w:val="22"/>
                <w:szCs w:val="18"/>
              </w:rPr>
              <w:t>4</w:t>
            </w:r>
            <w:r w:rsidR="00964ABA" w:rsidRPr="00964ABA">
              <w:rPr>
                <w:rFonts w:ascii="Calibri" w:hAnsi="Calibri" w:cs="Calibri"/>
                <w:sz w:val="22"/>
                <w:szCs w:val="18"/>
              </w:rPr>
              <w:t xml:space="preserve"> febrero 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061BA0B8" w:rsidR="008154CA" w:rsidRDefault="008154CA" w:rsidP="00E35FBB">
            <w:pPr>
              <w:jc w:val="both"/>
              <w:rPr>
                <w:rFonts w:ascii="Calibri" w:hAnsi="Calibri" w:cs="Calibri"/>
                <w:sz w:val="22"/>
                <w:szCs w:val="18"/>
              </w:rPr>
            </w:pPr>
            <w:r>
              <w:rPr>
                <w:rFonts w:ascii="Calibri" w:hAnsi="Calibri" w:cs="Calibri"/>
                <w:sz w:val="22"/>
                <w:szCs w:val="18"/>
              </w:rPr>
              <w:t>Martes 22 de febrero 2022</w:t>
            </w:r>
          </w:p>
        </w:tc>
      </w:tr>
    </w:tbl>
    <w:p w14:paraId="6BB80D9C" w14:textId="77777777" w:rsidR="00964ABA" w:rsidRPr="00964ABA" w:rsidRDefault="00964ABA" w:rsidP="00964ABA">
      <w:bookmarkStart w:id="5" w:name="_Hlk2581357"/>
      <w:bookmarkEnd w:id="4"/>
    </w:p>
    <w:p w14:paraId="15583553" w14:textId="77777777" w:rsidR="008154CA" w:rsidRPr="008154CA" w:rsidRDefault="008154CA" w:rsidP="008154CA">
      <w:pPr>
        <w:jc w:val="both"/>
        <w:rPr>
          <w:rFonts w:asciiTheme="minorHAnsi" w:hAnsiTheme="minorHAnsi"/>
          <w:sz w:val="22"/>
          <w:szCs w:val="22"/>
        </w:rPr>
      </w:pPr>
      <w:proofErr w:type="gramStart"/>
      <w:r w:rsidRPr="008154CA">
        <w:rPr>
          <w:rFonts w:asciiTheme="minorHAnsi" w:hAnsiTheme="minorHAnsi"/>
          <w:sz w:val="22"/>
          <w:szCs w:val="22"/>
        </w:rPr>
        <w:t>El período a rendir</w:t>
      </w:r>
      <w:proofErr w:type="gramEnd"/>
      <w:r w:rsidRPr="008154CA">
        <w:rPr>
          <w:rFonts w:asciiTheme="minorHAnsi" w:hAnsiTheme="minorHAnsi"/>
          <w:sz w:val="22"/>
          <w:szCs w:val="22"/>
        </w:rPr>
        <w:t xml:space="preserve"> del mes de enero de 2022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04E09E9A"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el SISREC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5"/>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lastRenderedPageBreak/>
        <w:t>“PROGRAMA”</w:t>
      </w:r>
      <w:r>
        <w:rPr>
          <w:rFonts w:ascii="Calibri" w:hAnsi="Calibri" w:cs="Calibri"/>
          <w:sz w:val="22"/>
        </w:rPr>
        <w:t xml:space="preserve"> de Reforzamiento</w:t>
      </w:r>
      <w:r w:rsidRPr="006D18CD">
        <w:rPr>
          <w:rFonts w:ascii="Calibri" w:hAnsi="Calibri" w:cs="Calibri"/>
          <w:sz w:val="22"/>
        </w:rPr>
        <w:t xml:space="preserve"> o contratar más recurso humano </w:t>
      </w:r>
      <w:proofErr w:type="gramStart"/>
      <w:r w:rsidRPr="006D18CD">
        <w:rPr>
          <w:rFonts w:ascii="Calibri" w:hAnsi="Calibri" w:cs="Calibri"/>
          <w:sz w:val="22"/>
        </w:rPr>
        <w:t>de acuerdo al</w:t>
      </w:r>
      <w:proofErr w:type="gramEnd"/>
      <w:r w:rsidRPr="006D18CD">
        <w:rPr>
          <w:rFonts w:ascii="Calibri" w:hAnsi="Calibri" w:cs="Calibri"/>
          <w:sz w:val="22"/>
        </w:rPr>
        <w:t xml:space="preserve">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 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3FBC8285"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6B2B67">
        <w:rPr>
          <w:rFonts w:ascii="Calibri" w:hAnsi="Calibri" w:cs="Calibri"/>
          <w:sz w:val="22"/>
          <w:szCs w:val="22"/>
          <w:highlight w:val="yellow"/>
        </w:rPr>
        <w:t>01 de enero de 202</w:t>
      </w:r>
      <w:r w:rsidR="00AC3168" w:rsidRPr="006B2B67">
        <w:rPr>
          <w:rFonts w:ascii="Calibri" w:hAnsi="Calibri" w:cs="Calibri"/>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52.</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Sin perjuicio de lo anterior, las partes acuerdan que el presente contrato se prorrogará automáticamente, siempre que el programa a ejecutar cuente con disponibilidad presupuestaria </w:t>
      </w:r>
      <w:r w:rsidRPr="001057D8">
        <w:rPr>
          <w:rFonts w:ascii="Calibri" w:hAnsi="Calibri" w:cs="Calibri"/>
          <w:sz w:val="22"/>
          <w:szCs w:val="22"/>
        </w:rPr>
        <w:lastRenderedPageBreak/>
        <w:t>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33DB626D"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w:t>
      </w:r>
      <w:r w:rsidRPr="00E85731">
        <w:rPr>
          <w:rFonts w:ascii="Calibri" w:hAnsi="Calibri" w:cs="Calibri"/>
          <w:bCs/>
          <w:sz w:val="22"/>
          <w:szCs w:val="22"/>
          <w:highlight w:val="yellow"/>
        </w:rPr>
        <w:t xml:space="preserve">el mes de </w:t>
      </w:r>
      <w:r w:rsidR="00E85731" w:rsidRPr="00E85731">
        <w:rPr>
          <w:rFonts w:ascii="Calibri" w:hAnsi="Calibri" w:cs="Calibri"/>
          <w:bCs/>
          <w:sz w:val="22"/>
          <w:szCs w:val="22"/>
          <w:highlight w:val="yellow"/>
        </w:rPr>
        <w:t>marzo</w:t>
      </w:r>
      <w:r w:rsidRPr="00E85731">
        <w:rPr>
          <w:rFonts w:ascii="Calibri" w:hAnsi="Calibri" w:cs="Calibri"/>
          <w:bCs/>
          <w:sz w:val="22"/>
          <w:szCs w:val="22"/>
          <w:highlight w:val="yellow"/>
        </w:rPr>
        <w:t xml:space="preserve"> 202</w:t>
      </w:r>
      <w:r w:rsidR="00D5317E" w:rsidRPr="00E85731">
        <w:rPr>
          <w:rFonts w:ascii="Calibri" w:hAnsi="Calibri" w:cs="Calibri"/>
          <w:bCs/>
          <w:sz w:val="22"/>
          <w:szCs w:val="22"/>
          <w:highlight w:val="yellow"/>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72076B9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w:t>
      </w:r>
      <w:proofErr w:type="spellStart"/>
      <w:r w:rsidR="009721B3">
        <w:rPr>
          <w:rFonts w:ascii="Calibri" w:hAnsi="Calibri" w:cs="Calibri"/>
          <w:bCs/>
          <w:sz w:val="22"/>
          <w:szCs w:val="22"/>
        </w:rPr>
        <w:t>N°</w:t>
      </w:r>
      <w:proofErr w:type="spellEnd"/>
      <w:r w:rsidR="009721B3">
        <w:rPr>
          <w:rFonts w:ascii="Calibri" w:hAnsi="Calibri" w:cs="Calibri"/>
          <w:bCs/>
          <w:sz w:val="22"/>
          <w:szCs w:val="22"/>
        </w:rPr>
        <w:t xml:space="preserve"> 140/2004 del Ministerio de Salud, Decreto A</w:t>
      </w:r>
      <w:r w:rsidR="009721B3" w:rsidRPr="009F0A3A">
        <w:rPr>
          <w:rFonts w:ascii="Calibri" w:hAnsi="Calibri" w:cs="Calibri"/>
          <w:bCs/>
          <w:sz w:val="22"/>
          <w:szCs w:val="22"/>
        </w:rPr>
        <w:t>fecto N°42 del 13 de septiembre de 2019 del Ministerio de Salud.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proofErr w:type="spellStart"/>
      <w:r w:rsidR="00F62319" w:rsidRPr="006379C5">
        <w:rPr>
          <w:rFonts w:ascii="Calibri" w:hAnsi="Calibri" w:cs="Calibri"/>
          <w:bCs/>
          <w:sz w:val="22"/>
          <w:szCs w:val="22"/>
        </w:rPr>
        <w:t>addEjemplar</w:t>
      </w:r>
      <w:proofErr w:type="spellEnd"/>
      <w:r w:rsidR="00F62319" w:rsidRPr="006379C5">
        <w:rPr>
          <w:rFonts w:ascii="Calibri" w:hAnsi="Calibri" w:cs="Calibri"/>
          <w:bCs/>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B1846" w14:textId="77777777" w:rsidR="00E645DD" w:rsidRDefault="00E645DD" w:rsidP="00A4547F">
      <w:r>
        <w:separator/>
      </w:r>
    </w:p>
  </w:endnote>
  <w:endnote w:type="continuationSeparator" w:id="0">
    <w:p w14:paraId="33A1BAB9" w14:textId="77777777" w:rsidR="00E645DD" w:rsidRDefault="00E645DD"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DokChampa"/>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77777777"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6A57B" w14:textId="77777777" w:rsidR="00E645DD" w:rsidRDefault="00E645DD" w:rsidP="00A4547F">
      <w:r>
        <w:separator/>
      </w:r>
    </w:p>
  </w:footnote>
  <w:footnote w:type="continuationSeparator" w:id="0">
    <w:p w14:paraId="013AEA36" w14:textId="77777777" w:rsidR="00E645DD" w:rsidRDefault="00E645DD"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8C6"/>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098C"/>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33EA7"/>
    <w:rsid w:val="00F466D6"/>
    <w:rsid w:val="00F47F8B"/>
    <w:rsid w:val="00F55E50"/>
    <w:rsid w:val="00F62319"/>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8</Pages>
  <Words>3730</Words>
  <Characters>20521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24203</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138</cp:revision>
  <cp:lastPrinted>2020-01-23T14:50:00Z</cp:lastPrinted>
  <dcterms:created xsi:type="dcterms:W3CDTF">2020-01-22T11:27:00Z</dcterms:created>
  <dcterms:modified xsi:type="dcterms:W3CDTF">2021-02-04T19:42:00Z</dcterms:modified>
</cp:coreProperties>
</file>