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00680D11">
        <w:rPr>
          <w:rFonts w:ascii="Calibri" w:hAnsi="Calibri" w:cs="Calibri"/>
          <w:b/>
          <w:bCs/>
          <w:szCs w:val="22"/>
          <w:highlight w:val="green"/>
        </w:rPr>
        <w:t>Titulo</w:t>
      </w:r>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${periodoConvenio}</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${ilustreTitulo}</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${directorApelativo}</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${directorNationality}</w:t>
      </w:r>
      <w:r w:rsidRPr="00A54E3A">
        <w:rPr>
          <w:rFonts w:ascii="Calibri" w:hAnsi="Calibri" w:cs="Calibri"/>
          <w:b w:val="0"/>
          <w:color w:val="auto"/>
          <w:szCs w:val="20"/>
          <w:lang w:eastAsia="ar-SA"/>
        </w:rPr>
        <w:t xml:space="preserve">, Cédula Nacional de Identidad </w:t>
      </w:r>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r w:rsidR="003D05BD" w:rsidRPr="003D05BD">
        <w:rPr>
          <w:rFonts w:ascii="Calibri" w:hAnsi="Calibri" w:cs="Calibri"/>
          <w:color w:val="auto"/>
          <w:szCs w:val="20"/>
          <w:highlight w:val="green"/>
          <w:lang w:eastAsia="ar-SA"/>
        </w:rPr>
        <w:t>${directorRut}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${comunaRut}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${numResolucion}</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${establecimientosListado}</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${index}</w:t>
      </w:r>
      <w:r w:rsidRPr="003F3144">
        <w:rPr>
          <w:rFonts w:ascii="Calibri" w:hAnsi="Calibri" w:cs="Calibri"/>
          <w:bCs/>
          <w:color w:val="000000" w:themeColor="text1"/>
          <w:sz w:val="22"/>
          <w:szCs w:val="20"/>
          <w:highlight w:val="green"/>
        </w:rPr>
        <w:t>: ${componenteNombre}</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w:t>
      </w:r>
      <w:r w:rsidRPr="00A54E3A">
        <w:rPr>
          <w:rFonts w:ascii="Calibri" w:hAnsi="Calibri" w:cs="Calibri"/>
          <w:sz w:val="22"/>
          <w:szCs w:val="20"/>
        </w:rPr>
        <w:lastRenderedPageBreak/>
        <w:t xml:space="preserve">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${totalConvenio}</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${totalConvenioLetras}</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w:t>
      </w:r>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lastRenderedPageBreak/>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inspectivas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 xml:space="preserve">La “xxxxxxxxxxxxxxxxxxxxxxxxx”, “xxxxxxxxxxxxxxxxxxxxxxxx” y el “xxxxxxxxxxxxxxxxxxxxxxxx” utilizados como medio de verificación del indicador, forma parte del Anexo N°, N° y N°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inspectivas,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${index}</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r w:rsidRPr="00067430">
        <w:rPr>
          <w:rFonts w:ascii="Calibri" w:hAnsi="Calibri" w:cs="Calibri"/>
          <w:b/>
          <w:color w:val="000000" w:themeColor="text1"/>
          <w:sz w:val="22"/>
          <w:szCs w:val="20"/>
          <w:highlight w:val="green"/>
        </w:rPr>
        <w:t>cuotaMonto</w:t>
      </w:r>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(${cuotaLetra})</w:t>
      </w:r>
      <w:r w:rsidR="009975A6">
        <w:rPr>
          <w:rFonts w:ascii="Calibri" w:hAnsi="Calibri" w:cs="Calibri"/>
          <w:bCs/>
          <w:color w:val="000000" w:themeColor="text1"/>
          <w:sz w:val="22"/>
          <w:szCs w:val="20"/>
          <w:highlight w:val="green"/>
        </w:rPr>
        <w:t xml:space="preserve"> correspondiente al ${cuotaDescripcion}</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lastRenderedPageBreak/>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N°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lastRenderedPageBreak/>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addendum y resolución correspondientes.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lastRenderedPageBreak/>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C8C50BB"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00926C44" w:rsidRPr="00926C44">
        <w:rPr>
          <w:rFonts w:ascii="Calibri" w:hAnsi="Calibri" w:cs="Calibri"/>
          <w:sz w:val="22"/>
          <w:szCs w:val="22"/>
          <w:highlight w:val="yellow"/>
        </w:rPr>
        <w:t xml:space="preserve"> y Dictamen N°11.267 del año 2018 de la Contraloría General de la República</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5D011470"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lastRenderedPageBreak/>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w:t>
      </w:r>
      <w:r w:rsidR="005877A8">
        <w:rPr>
          <w:rFonts w:ascii="Calibri" w:hAnsi="Calibri" w:cs="Calibri"/>
          <w:bCs/>
          <w:sz w:val="22"/>
          <w:szCs w:val="22"/>
        </w:rPr>
        <w:t xml:space="preserve"> </w:t>
      </w:r>
      <w:r w:rsidR="005877A8" w:rsidRPr="005877A8">
        <w:rPr>
          <w:rFonts w:ascii="Calibri" w:hAnsi="Calibri" w:cs="Calibri"/>
          <w:bCs/>
          <w:sz w:val="22"/>
          <w:szCs w:val="22"/>
        </w:rPr>
        <w:t>${</w:t>
      </w:r>
      <w:r w:rsidR="005877A8">
        <w:rPr>
          <w:rFonts w:ascii="Calibri" w:hAnsi="Calibri" w:cs="Calibri"/>
          <w:bCs/>
          <w:sz w:val="22"/>
          <w:szCs w:val="22"/>
        </w:rPr>
        <w:t>a</w:t>
      </w:r>
      <w:r w:rsidR="005877A8" w:rsidRPr="005877A8">
        <w:rPr>
          <w:rFonts w:ascii="Calibri" w:hAnsi="Calibri" w:cs="Calibri"/>
          <w:bCs/>
          <w:sz w:val="22"/>
          <w:szCs w:val="22"/>
        </w:rPr>
        <w:t>rt8}</w:t>
      </w:r>
      <w:r w:rsidR="005877A8">
        <w:rPr>
          <w:rFonts w:ascii="Calibri" w:hAnsi="Calibri" w:cs="Calibri"/>
          <w:bCs/>
          <w:sz w:val="22"/>
          <w:szCs w:val="22"/>
        </w:rPr>
        <w:t>Decreto N°140/04, del Ministerio de Salud que aprobó el Reglamento Orgánico de los Servicios de Salud,</w:t>
      </w:r>
      <w:r w:rsidR="009721B3">
        <w:rPr>
          <w:rFonts w:ascii="Calibri" w:hAnsi="Calibri" w:cs="Calibri"/>
          <w:bCs/>
          <w:sz w:val="22"/>
          <w:szCs w:val="22"/>
        </w:rPr>
        <w:t xml:space="preserve"> </w:t>
      </w:r>
      <w:r w:rsidR="00046EF6" w:rsidRPr="00046EF6">
        <w:rPr>
          <w:rFonts w:ascii="Calibri" w:hAnsi="Calibri" w:cs="Calibri"/>
          <w:bCs/>
          <w:sz w:val="22"/>
          <w:szCs w:val="22"/>
          <w:highlight w:val="green"/>
        </w:rPr>
        <w:t>${directorDecreto}</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${alcaldeDecreto}</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03F0" w14:textId="77777777" w:rsidR="001C3265" w:rsidRDefault="001C3265" w:rsidP="00A4547F">
      <w:r>
        <w:separator/>
      </w:r>
    </w:p>
  </w:endnote>
  <w:endnote w:type="continuationSeparator" w:id="0">
    <w:p w14:paraId="3EF71DC5" w14:textId="77777777" w:rsidR="001C3265" w:rsidRDefault="001C3265"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CDA8" w14:textId="77777777" w:rsidR="001C3265" w:rsidRDefault="001C3265" w:rsidP="00A4547F">
      <w:r>
        <w:separator/>
      </w:r>
    </w:p>
  </w:footnote>
  <w:footnote w:type="continuationSeparator" w:id="0">
    <w:p w14:paraId="7AF79378" w14:textId="77777777" w:rsidR="001C3265" w:rsidRDefault="001C3265"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3265"/>
    <w:rsid w:val="001C4FBF"/>
    <w:rsid w:val="001D1516"/>
    <w:rsid w:val="001D4E5D"/>
    <w:rsid w:val="001E0C2E"/>
    <w:rsid w:val="001E6C56"/>
    <w:rsid w:val="001F01AC"/>
    <w:rsid w:val="001F0588"/>
    <w:rsid w:val="001F18A9"/>
    <w:rsid w:val="001F3B26"/>
    <w:rsid w:val="001F66B1"/>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877A8"/>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86F0B"/>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3487"/>
    <w:rsid w:val="00A05744"/>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3876</Words>
  <Characters>21321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25147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183</cp:revision>
  <cp:lastPrinted>2020-01-23T14:50:00Z</cp:lastPrinted>
  <dcterms:created xsi:type="dcterms:W3CDTF">2020-01-22T11:27:00Z</dcterms:created>
  <dcterms:modified xsi:type="dcterms:W3CDTF">2021-06-22T15:38:00Z</dcterms:modified>
</cp:coreProperties>
</file>