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00680D11">
        <w:rPr>
          <w:rFonts w:ascii="Calibri" w:hAnsi="Calibri" w:cs="Calibri"/>
          <w:b/>
          <w:bCs/>
          <w:szCs w:val="22"/>
          <w:highlight w:val="green"/>
        </w:rPr>
        <w:t>Titulo</w:t>
      </w:r>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${periodoConvenio}</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${ilustreTitulo}</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2FB90560"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${comunaRut}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${numResolucion}</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${establecimientosListado}</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${index}</w:t>
      </w:r>
      <w:r w:rsidRPr="003F3144">
        <w:rPr>
          <w:rFonts w:ascii="Calibri" w:hAnsi="Calibri" w:cs="Calibri"/>
          <w:bCs/>
          <w:color w:val="000000" w:themeColor="text1"/>
          <w:sz w:val="22"/>
          <w:szCs w:val="20"/>
          <w:highlight w:val="green"/>
        </w:rPr>
        <w:t>: ${componenteNombre}</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${totalConvenio}</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${totalConvenioLetras}</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inspectivas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inspectivas,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${index}</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r w:rsidRPr="00067430">
        <w:rPr>
          <w:rFonts w:ascii="Calibri" w:hAnsi="Calibri" w:cs="Calibri"/>
          <w:b/>
          <w:color w:val="000000" w:themeColor="text1"/>
          <w:sz w:val="22"/>
          <w:szCs w:val="20"/>
          <w:highlight w:val="green"/>
        </w:rPr>
        <w:t>cuotaMonto</w:t>
      </w:r>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(${cuotaLetra})</w:t>
      </w:r>
      <w:r w:rsidR="009975A6">
        <w:rPr>
          <w:rFonts w:ascii="Calibri" w:hAnsi="Calibri" w:cs="Calibri"/>
          <w:bCs/>
          <w:color w:val="000000" w:themeColor="text1"/>
          <w:sz w:val="22"/>
          <w:szCs w:val="20"/>
          <w:highlight w:val="green"/>
        </w:rPr>
        <w:t xml:space="preserve"> correspondiente al ${cuotaDescripcion}</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6CD10551" w:rsidR="00964ABA" w:rsidRPr="00964ABA" w:rsidRDefault="00A81D69" w:rsidP="00E35FBB">
            <w:pPr>
              <w:jc w:val="both"/>
              <w:rPr>
                <w:rFonts w:ascii="Calibri" w:hAnsi="Calibri" w:cs="Calibri"/>
                <w:sz w:val="22"/>
                <w:szCs w:val="18"/>
              </w:rPr>
            </w:pPr>
            <w:r>
              <w:rPr>
                <w:rFonts w:ascii="Calibri" w:hAnsi="Calibri" w:cs="Calibri"/>
                <w:sz w:val="22"/>
                <w:szCs w:val="18"/>
              </w:rPr>
              <w:t>Lunes</w:t>
            </w:r>
            <w:r w:rsidR="00964ABA" w:rsidRPr="00964ABA">
              <w:rPr>
                <w:rFonts w:ascii="Calibri" w:hAnsi="Calibri" w:cs="Calibri"/>
                <w:sz w:val="22"/>
                <w:szCs w:val="18"/>
              </w:rPr>
              <w:t xml:space="preserve"> 2</w:t>
            </w:r>
            <w:r>
              <w:rPr>
                <w:rFonts w:ascii="Calibri" w:hAnsi="Calibri" w:cs="Calibri"/>
                <w:sz w:val="22"/>
                <w:szCs w:val="18"/>
              </w:rPr>
              <w:t>4</w:t>
            </w:r>
            <w:r w:rsidR="00964ABA" w:rsidRPr="00964ABA">
              <w:rPr>
                <w:rFonts w:ascii="Calibri" w:hAnsi="Calibri" w:cs="Calibri"/>
                <w:sz w:val="22"/>
                <w:szCs w:val="18"/>
              </w:rPr>
              <w:t xml:space="preserve"> febrero 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061BA0B8" w:rsidR="008154CA" w:rsidRDefault="008154CA" w:rsidP="00E35FBB">
            <w:pPr>
              <w:jc w:val="both"/>
              <w:rPr>
                <w:rFonts w:ascii="Calibri" w:hAnsi="Calibri" w:cs="Calibri"/>
                <w:sz w:val="22"/>
                <w:szCs w:val="18"/>
              </w:rPr>
            </w:pPr>
            <w:r>
              <w:rPr>
                <w:rFonts w:ascii="Calibri" w:hAnsi="Calibri" w:cs="Calibri"/>
                <w:sz w:val="22"/>
                <w:szCs w:val="18"/>
              </w:rPr>
              <w:t>Martes 22 de febrero 2022</w:t>
            </w:r>
          </w:p>
        </w:tc>
      </w:tr>
    </w:tbl>
    <w:p w14:paraId="6BB80D9C" w14:textId="77777777" w:rsidR="00964ABA" w:rsidRPr="00964ABA" w:rsidRDefault="00964ABA" w:rsidP="00964ABA">
      <w:bookmarkStart w:id="5" w:name="_Hlk2581357"/>
      <w:bookmarkEnd w:id="4"/>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addendum y resolución correspondientes.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${alcaldeDecreto}</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${totalEjemplares}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r w:rsidR="00F62319" w:rsidRPr="006379C5">
        <w:rPr>
          <w:rFonts w:ascii="Calibri" w:hAnsi="Calibri" w:cs="Calibri"/>
          <w:bCs/>
          <w:sz w:val="22"/>
          <w:szCs w:val="22"/>
        </w:rPr>
        <w:t>addEjemplar}</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${ilustreTitulo}</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76928" w14:textId="77777777" w:rsidR="001964C3" w:rsidRDefault="001964C3" w:rsidP="00A4547F">
      <w:r>
        <w:separator/>
      </w:r>
    </w:p>
  </w:endnote>
  <w:endnote w:type="continuationSeparator" w:id="0">
    <w:p w14:paraId="489197E3" w14:textId="77777777" w:rsidR="001964C3" w:rsidRDefault="001964C3"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3E703" w14:textId="77777777" w:rsidR="001964C3" w:rsidRDefault="001964C3" w:rsidP="00A4547F">
      <w:r>
        <w:separator/>
      </w:r>
    </w:p>
  </w:footnote>
  <w:footnote w:type="continuationSeparator" w:id="0">
    <w:p w14:paraId="41EB50ED" w14:textId="77777777" w:rsidR="001964C3" w:rsidRDefault="001964C3"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3731</Words>
  <Characters>20525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24208</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141</cp:revision>
  <cp:lastPrinted>2020-01-23T14:50:00Z</cp:lastPrinted>
  <dcterms:created xsi:type="dcterms:W3CDTF">2020-01-22T11:27:00Z</dcterms:created>
  <dcterms:modified xsi:type="dcterms:W3CDTF">2021-02-05T15:20:00Z</dcterms:modified>
</cp:coreProperties>
</file>