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${periodoConvenio</w:t>
      </w:r>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${ilustreTitulo}</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${directorApelativo}</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${directorNationality}</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r w:rsidRPr="005225D4">
        <w:rPr>
          <w:rFonts w:ascii="Calibri" w:hAnsi="Calibri" w:cs="Calibri"/>
          <w:color w:val="auto"/>
          <w:szCs w:val="20"/>
          <w:highlight w:val="green"/>
          <w:lang w:eastAsia="ar-SA"/>
        </w:rPr>
        <w:t>N°</w:t>
      </w:r>
      <w:r w:rsidR="005810AE" w:rsidRPr="003D05BD">
        <w:rPr>
          <w:rFonts w:ascii="Calibri" w:hAnsi="Calibri" w:cs="Calibri"/>
          <w:color w:val="auto"/>
          <w:szCs w:val="20"/>
          <w:highlight w:val="green"/>
          <w:lang w:eastAsia="ar-SA"/>
        </w:rPr>
        <w:t>${directorRut}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${comunaRut}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r w:rsidRPr="005225D4">
        <w:rPr>
          <w:rFonts w:ascii="Calibri" w:hAnsi="Calibri" w:cs="Calibri"/>
          <w:color w:val="auto"/>
          <w:szCs w:val="20"/>
          <w:highlight w:val="green"/>
          <w:lang w:eastAsia="ar-SA"/>
        </w:rPr>
        <w:t>N°</w:t>
      </w:r>
      <w:r w:rsidR="00C71C38"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r w:rsidRPr="00310EB9">
        <w:rPr>
          <w:rFonts w:ascii="Calibri" w:hAnsi="Calibri" w:cs="Calibri"/>
          <w:b/>
          <w:sz w:val="22"/>
          <w:szCs w:val="20"/>
        </w:rPr>
        <w:t xml:space="preserve">entrada en vigencia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77777777" w:rsidR="009721B3"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r w:rsidRPr="00BB0937">
        <w:rPr>
          <w:rFonts w:ascii="Calibri" w:hAnsi="Calibri" w:cs="Calibri"/>
          <w:bCs/>
          <w:sz w:val="22"/>
          <w:szCs w:val="20"/>
        </w:rPr>
        <w:t>N</w:t>
      </w:r>
      <w:r w:rsidRPr="00BB0937">
        <w:rPr>
          <w:rFonts w:ascii="Calibri" w:hAnsi="Calibri" w:cs="Calibri"/>
          <w:b/>
          <w:bCs/>
          <w:sz w:val="22"/>
          <w:szCs w:val="20"/>
        </w:rPr>
        <w:t>°</w:t>
      </w:r>
      <w:r w:rsidR="00C71C38" w:rsidRPr="00A64A8F">
        <w:rPr>
          <w:rFonts w:ascii="Calibri" w:hAnsi="Calibri" w:cs="Calibri"/>
          <w:bCs/>
          <w:sz w:val="22"/>
          <w:szCs w:val="20"/>
          <w:highlight w:val="green"/>
        </w:rPr>
        <w:t>${numResolucion}</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${establecimientosListado}</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r w:rsidR="00BD7695" w:rsidRPr="00BD7695">
        <w:rPr>
          <w:rFonts w:ascii="Calibri" w:hAnsi="Calibri" w:cs="Calibri"/>
          <w:b/>
          <w:color w:val="000000" w:themeColor="text1"/>
          <w:sz w:val="22"/>
          <w:szCs w:val="20"/>
          <w:highlight w:val="green"/>
        </w:rPr>
        <w:t>componenteIndex</w:t>
      </w:r>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${componenteNombre}</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${totalConvenio} (${totalConvenioLetras})</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r w:rsidR="009523F9">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r w:rsidR="00EA518D">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sitas inspectivas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del uso correcto y adecuado de los recursos, mediante visitas inspectivas,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${totalQuotas}</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282587AA"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5C75B3F9" w14:textId="5AFA156A"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  donde</w:t>
      </w:r>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${percentage#1}%</w:t>
      </w:r>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 xml:space="preserve">${percentage#2}%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${percentage#3}%</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46BA977E" w14:textId="77777777"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${cuotaMonto}</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(${cuotaLetra})</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Quinta,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r w:rsidR="00821FEB">
        <w:rPr>
          <w:rFonts w:ascii="Calibri" w:hAnsi="Calibri" w:cs="Calibri"/>
          <w:bCs/>
          <w:color w:val="000000" w:themeColor="text1"/>
          <w:sz w:val="22"/>
          <w:szCs w:val="20"/>
          <w:highlight w:val="green"/>
        </w:rPr>
        <w:t>totalQuotasText</w:t>
      </w:r>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N°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7777777"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0B3EAD37" w14:textId="77777777"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7E87D7DD" w14:textId="77777777"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esolución N°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El periodo a rendir del mes de enero 2024,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DA34E0C" w14:textId="77777777" w:rsidR="0008057E" w:rsidRPr="004B7B0C" w:rsidRDefault="0008057E" w:rsidP="0008057E">
      <w:pPr>
        <w:pStyle w:val="Sinespaciado"/>
        <w:numPr>
          <w:ilvl w:val="0"/>
          <w:numId w:val="8"/>
        </w:numPr>
        <w:tabs>
          <w:tab w:val="left" w:pos="4395"/>
        </w:tabs>
        <w:rPr>
          <w:rFonts w:ascii="Calibri" w:hAnsi="Calibri" w:cs="Calibri"/>
          <w:noProof/>
          <w:sz w:val="22"/>
          <w:szCs w:val="20"/>
        </w:rPr>
      </w:pPr>
      <w:r w:rsidRPr="004B7B0C">
        <w:rPr>
          <w:rFonts w:ascii="Calibri" w:hAnsi="Calibri" w:cs="Calibri"/>
          <w:noProof/>
          <w:sz w:val="22"/>
          <w:szCs w:val="20"/>
        </w:rPr>
        <w:t xml:space="preserve">Liquidaciones de sueldo especificando pago por concepto de PRAPS, </w:t>
      </w:r>
      <w:r w:rsidRPr="004B7B0C">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La prórroga del convenio comenzará a regir desde el 01 de enero del año presupuestario siguiente y su duración se extenderá hasta el 31 de diciembre del mismo.</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7AB88E18" w14:textId="77777777" w:rsidR="00D202D7" w:rsidRPr="00D202D7" w:rsidRDefault="001E216E" w:rsidP="00D202D7">
      <w:pPr>
        <w:tabs>
          <w:tab w:val="left" w:pos="4395"/>
        </w:tabs>
        <w:spacing w:after="240"/>
        <w:jc w:val="both"/>
        <w:rPr>
          <w:rFonts w:ascii="Calibri" w:hAnsi="Calibri" w:cs="Calibri"/>
          <w:b/>
          <w:bCs/>
          <w:sz w:val="22"/>
          <w:szCs w:val="22"/>
        </w:rPr>
      </w:pPr>
      <w:bookmarkStart w:id="9" w:name="_Hlk2348924"/>
      <w:r>
        <w:rPr>
          <w:rFonts w:ascii="Calibri" w:hAnsi="Calibri" w:cs="Calibri"/>
          <w:b/>
          <w:sz w:val="22"/>
          <w:szCs w:val="22"/>
        </w:rPr>
        <w:t>DÉCIMA SEXTA</w:t>
      </w:r>
      <w:r w:rsidRPr="009F0A3A">
        <w:rPr>
          <w:rFonts w:ascii="Calibri" w:hAnsi="Calibri" w:cs="Calibri"/>
          <w:b/>
          <w:i/>
          <w:sz w:val="22"/>
          <w:szCs w:val="22"/>
        </w:rPr>
        <w:t>:</w:t>
      </w:r>
      <w:r w:rsidRPr="009F0A3A">
        <w:rPr>
          <w:rFonts w:ascii="Calibri" w:hAnsi="Calibri" w:cs="Calibri"/>
          <w:b/>
          <w:sz w:val="22"/>
          <w:szCs w:val="22"/>
        </w:rPr>
        <w:t xml:space="preserve"> </w:t>
      </w:r>
      <w:r w:rsidR="00D202D7" w:rsidRPr="00D202D7">
        <w:rPr>
          <w:rFonts w:ascii="Calibri" w:hAnsi="Calibri" w:cs="Calibri"/>
          <w:sz w:val="22"/>
          <w:szCs w:val="22"/>
        </w:rPr>
        <w:t>Finalizado el período de vigencia del presente convenio,</w:t>
      </w:r>
      <w:r w:rsidR="00D202D7" w:rsidRPr="00D202D7">
        <w:rPr>
          <w:rFonts w:ascii="Calibri" w:hAnsi="Calibri" w:cs="Calibri"/>
          <w:bCs/>
          <w:sz w:val="22"/>
          <w:szCs w:val="22"/>
        </w:rPr>
        <w:t xml:space="preserve"> el valor correspondiente a la parte transferida y no ejecutada, observada, no rendida o con incumplimiento de metas incluidas en el “</w:t>
      </w:r>
      <w:r w:rsidR="00D202D7" w:rsidRPr="00D202D7">
        <w:rPr>
          <w:rFonts w:ascii="Calibri" w:hAnsi="Calibri" w:cs="Calibri"/>
          <w:b/>
          <w:bCs/>
          <w:sz w:val="22"/>
          <w:szCs w:val="22"/>
        </w:rPr>
        <w:t>PROGRAMA”</w:t>
      </w:r>
      <w:r w:rsidR="00D202D7" w:rsidRPr="00D202D7">
        <w:rPr>
          <w:rFonts w:ascii="Calibri" w:hAnsi="Calibri" w:cs="Calibri"/>
          <w:bCs/>
          <w:sz w:val="22"/>
          <w:szCs w:val="22"/>
        </w:rPr>
        <w:t>, objeto de este instrumento, deberá ser reintegrado por la “</w:t>
      </w:r>
      <w:r w:rsidR="00D202D7" w:rsidRPr="00D202D7">
        <w:rPr>
          <w:rFonts w:ascii="Calibri" w:hAnsi="Calibri" w:cs="Calibri"/>
          <w:b/>
          <w:bCs/>
          <w:sz w:val="22"/>
          <w:szCs w:val="22"/>
        </w:rPr>
        <w:t xml:space="preserve">MUNICIPALIDAD” </w:t>
      </w:r>
      <w:r w:rsidR="00D202D7" w:rsidRPr="00D202D7">
        <w:rPr>
          <w:rFonts w:ascii="Calibri" w:hAnsi="Calibri" w:cs="Calibri"/>
          <w:bCs/>
          <w:sz w:val="22"/>
          <w:szCs w:val="22"/>
        </w:rPr>
        <w:t xml:space="preserve">al </w:t>
      </w:r>
      <w:r w:rsidR="00D202D7" w:rsidRPr="00D202D7">
        <w:rPr>
          <w:rFonts w:ascii="Calibri" w:hAnsi="Calibri" w:cs="Calibri"/>
          <w:b/>
          <w:bCs/>
          <w:sz w:val="22"/>
          <w:szCs w:val="22"/>
        </w:rPr>
        <w:t>“SERVICIO”</w:t>
      </w:r>
      <w:r w:rsidR="00D202D7" w:rsidRPr="00D202D7">
        <w:rPr>
          <w:rFonts w:ascii="Calibri" w:hAnsi="Calibri" w:cs="Calibri"/>
          <w:bCs/>
          <w:sz w:val="22"/>
          <w:szCs w:val="22"/>
        </w:rPr>
        <w:t xml:space="preserve"> a más tardar </w:t>
      </w:r>
      <w:r w:rsidR="00D202D7" w:rsidRPr="00D202D7">
        <w:rPr>
          <w:rFonts w:ascii="Calibri" w:hAnsi="Calibri" w:cs="Calibri"/>
          <w:b/>
          <w:bCs/>
          <w:sz w:val="22"/>
          <w:szCs w:val="22"/>
        </w:rPr>
        <w:t>el 31 de enero del año 2024</w:t>
      </w:r>
      <w:r w:rsidR="00D202D7" w:rsidRPr="00D202D7">
        <w:rPr>
          <w:rFonts w:ascii="Calibri" w:hAnsi="Calibri" w:cs="Calibri"/>
          <w:bCs/>
          <w:sz w:val="22"/>
          <w:szCs w:val="22"/>
        </w:rPr>
        <w:t>, según señala el artículo 7° de la Ley N°21.395 de Presupuestos de Sector Público correspondiente al año 2023, salvo casos excepcionales debidamente fundados.</w:t>
      </w:r>
      <w:r w:rsidR="00D202D7" w:rsidRPr="00D202D7">
        <w:rPr>
          <w:rFonts w:ascii="Calibri" w:hAnsi="Calibri" w:cs="Calibri"/>
          <w:b/>
          <w:bCs/>
          <w:sz w:val="22"/>
          <w:szCs w:val="22"/>
        </w:rPr>
        <w:t xml:space="preserve"> </w:t>
      </w:r>
      <w:r w:rsidR="00D202D7" w:rsidRPr="00D202D7">
        <w:rPr>
          <w:rFonts w:ascii="Calibri" w:hAnsi="Calibri" w:cs="Calibri"/>
          <w:bCs/>
          <w:sz w:val="22"/>
          <w:szCs w:val="22"/>
        </w:rPr>
        <w:t xml:space="preserve">Los reintegros deben ser realizados a la siguiente cuenta corriente del </w:t>
      </w:r>
      <w:r w:rsidR="00D202D7" w:rsidRPr="00D202D7">
        <w:rPr>
          <w:rFonts w:ascii="Calibri" w:hAnsi="Calibri" w:cs="Calibri"/>
          <w:b/>
          <w:bCs/>
          <w:sz w:val="22"/>
          <w:szCs w:val="22"/>
        </w:rPr>
        <w:t xml:space="preserve">“SERVICIO”, </w:t>
      </w:r>
      <w:r w:rsidR="00D202D7" w:rsidRPr="00D202D7">
        <w:rPr>
          <w:rFonts w:ascii="Calibri" w:hAnsi="Calibri" w:cs="Calibri"/>
          <w:bCs/>
          <w:sz w:val="22"/>
          <w:szCs w:val="22"/>
        </w:rPr>
        <w:t>indicando el Nombre del Programa y año presupuestario al que corresponde:</w:t>
      </w:r>
    </w:p>
    <w:tbl>
      <w:tblPr>
        <w:tblW w:w="8939" w:type="dxa"/>
        <w:tblInd w:w="-3" w:type="dxa"/>
        <w:tblCellMar>
          <w:left w:w="0" w:type="dxa"/>
          <w:right w:w="0" w:type="dxa"/>
        </w:tblCellMar>
        <w:tblLook w:val="04A0" w:firstRow="1" w:lastRow="0" w:firstColumn="1" w:lastColumn="0" w:noHBand="0" w:noVBand="1"/>
      </w:tblPr>
      <w:tblGrid>
        <w:gridCol w:w="3051"/>
        <w:gridCol w:w="2835"/>
        <w:gridCol w:w="3053"/>
      </w:tblGrid>
      <w:tr w:rsidR="00D202D7" w:rsidRPr="00D202D7" w14:paraId="71EA037B" w14:textId="77777777" w:rsidTr="0008561E">
        <w:trPr>
          <w:trHeight w:val="271"/>
        </w:trPr>
        <w:tc>
          <w:tcPr>
            <w:tcW w:w="8939" w:type="dxa"/>
            <w:gridSpan w:val="3"/>
            <w:tcBorders>
              <w:top w:val="single" w:sz="8" w:space="0" w:color="auto"/>
              <w:left w:val="single" w:sz="8" w:space="0" w:color="auto"/>
              <w:bottom w:val="single" w:sz="8" w:space="0" w:color="auto"/>
              <w:right w:val="single" w:sz="8" w:space="0" w:color="auto"/>
            </w:tcBorders>
            <w:shd w:val="clear" w:color="auto" w:fill="305496"/>
            <w:noWrap/>
            <w:tcMar>
              <w:top w:w="0" w:type="dxa"/>
              <w:left w:w="70" w:type="dxa"/>
              <w:bottom w:w="0" w:type="dxa"/>
              <w:right w:w="70" w:type="dxa"/>
            </w:tcMar>
            <w:vAlign w:val="bottom"/>
            <w:hideMark/>
          </w:tcPr>
          <w:p w14:paraId="15301D8A" w14:textId="77777777" w:rsidR="00D202D7" w:rsidRPr="00D202D7" w:rsidRDefault="00D202D7" w:rsidP="0008561E">
            <w:pPr>
              <w:jc w:val="center"/>
              <w:rPr>
                <w:b/>
                <w:bCs/>
                <w:color w:val="FFFFFF"/>
                <w:sz w:val="22"/>
                <w:szCs w:val="22"/>
                <w:lang w:val="es-CL" w:eastAsia="es-CL"/>
              </w:rPr>
            </w:pPr>
            <w:r w:rsidRPr="00D202D7">
              <w:rPr>
                <w:b/>
                <w:bCs/>
                <w:color w:val="FFFFFF"/>
                <w:lang w:eastAsia="es-CL"/>
              </w:rPr>
              <w:t>Cuenta para reintegros</w:t>
            </w:r>
          </w:p>
        </w:tc>
      </w:tr>
      <w:tr w:rsidR="00D202D7" w:rsidRPr="00D202D7" w14:paraId="7455BE58" w14:textId="77777777" w:rsidTr="0008561E">
        <w:trPr>
          <w:trHeight w:val="271"/>
        </w:trPr>
        <w:tc>
          <w:tcPr>
            <w:tcW w:w="305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9948969" w14:textId="77777777" w:rsidR="00D202D7" w:rsidRPr="00D202D7" w:rsidRDefault="00D202D7" w:rsidP="0008561E">
            <w:pPr>
              <w:jc w:val="center"/>
              <w:rPr>
                <w:color w:val="000000"/>
                <w:lang w:eastAsia="es-CL"/>
              </w:rPr>
            </w:pPr>
            <w:r w:rsidRPr="00D202D7">
              <w:rPr>
                <w:color w:val="000000"/>
                <w:lang w:eastAsia="es-CL"/>
              </w:rPr>
              <w:t>Nombre</w:t>
            </w:r>
          </w:p>
        </w:tc>
        <w:tc>
          <w:tcPr>
            <w:tcW w:w="283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684136" w14:textId="77777777" w:rsidR="00D202D7" w:rsidRPr="00D202D7" w:rsidRDefault="00D202D7" w:rsidP="0008561E">
            <w:pPr>
              <w:jc w:val="center"/>
              <w:rPr>
                <w:color w:val="000000"/>
                <w:lang w:eastAsia="es-CL"/>
              </w:rPr>
            </w:pPr>
            <w:r w:rsidRPr="00D202D7">
              <w:rPr>
                <w:color w:val="000000"/>
                <w:lang w:eastAsia="es-CL"/>
              </w:rPr>
              <w:t>Banco</w:t>
            </w:r>
          </w:p>
        </w:tc>
        <w:tc>
          <w:tcPr>
            <w:tcW w:w="30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49A73B5" w14:textId="77777777" w:rsidR="00D202D7" w:rsidRPr="00D202D7" w:rsidRDefault="00D202D7" w:rsidP="0008561E">
            <w:pPr>
              <w:jc w:val="center"/>
              <w:rPr>
                <w:color w:val="000000"/>
                <w:lang w:eastAsia="es-CL"/>
              </w:rPr>
            </w:pPr>
            <w:r w:rsidRPr="00D202D7">
              <w:rPr>
                <w:color w:val="000000"/>
                <w:lang w:eastAsia="es-CL"/>
              </w:rPr>
              <w:t>N° cuenta</w:t>
            </w:r>
          </w:p>
        </w:tc>
      </w:tr>
      <w:tr w:rsidR="00D202D7" w14:paraId="72FA75B8" w14:textId="77777777" w:rsidTr="0008561E">
        <w:trPr>
          <w:trHeight w:val="542"/>
        </w:trPr>
        <w:tc>
          <w:tcPr>
            <w:tcW w:w="305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8741CC6" w14:textId="77777777" w:rsidR="00D202D7" w:rsidRPr="00D202D7" w:rsidRDefault="00D202D7" w:rsidP="0008561E">
            <w:pPr>
              <w:jc w:val="center"/>
              <w:rPr>
                <w:color w:val="000000"/>
                <w:lang w:eastAsia="es-CL"/>
              </w:rPr>
            </w:pPr>
            <w:r w:rsidRPr="00D202D7">
              <w:rPr>
                <w:color w:val="000000"/>
                <w:lang w:eastAsia="es-CL"/>
              </w:rPr>
              <w:t>Servicio de Salud Iquique</w:t>
            </w:r>
          </w:p>
        </w:tc>
        <w:tc>
          <w:tcPr>
            <w:tcW w:w="283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9809380" w14:textId="77777777" w:rsidR="00D202D7" w:rsidRPr="00D202D7" w:rsidRDefault="00D202D7" w:rsidP="0008561E">
            <w:pPr>
              <w:jc w:val="center"/>
              <w:rPr>
                <w:color w:val="000000"/>
                <w:lang w:eastAsia="es-CL"/>
              </w:rPr>
            </w:pPr>
            <w:r w:rsidRPr="00D202D7">
              <w:rPr>
                <w:color w:val="000000"/>
                <w:lang w:eastAsia="es-CL"/>
              </w:rPr>
              <w:t>Banco Estado/ cuenta corriente</w:t>
            </w:r>
          </w:p>
        </w:tc>
        <w:tc>
          <w:tcPr>
            <w:tcW w:w="305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A7587D" w14:textId="77777777" w:rsidR="00D202D7" w:rsidRDefault="00D202D7" w:rsidP="0008561E">
            <w:pPr>
              <w:jc w:val="center"/>
              <w:rPr>
                <w:color w:val="000000"/>
                <w:lang w:eastAsia="es-CL"/>
              </w:rPr>
            </w:pPr>
            <w:r w:rsidRPr="00D202D7">
              <w:rPr>
                <w:color w:val="000000"/>
                <w:lang w:eastAsia="es-CL"/>
              </w:rPr>
              <w:t>1309099661</w:t>
            </w:r>
          </w:p>
        </w:tc>
      </w:tr>
    </w:tbl>
    <w:p w14:paraId="6CF88E82" w14:textId="0D830A89" w:rsidR="001E216E" w:rsidRPr="009F0A3A" w:rsidRDefault="001E216E" w:rsidP="001E216E">
      <w:pPr>
        <w:tabs>
          <w:tab w:val="left" w:pos="4395"/>
        </w:tabs>
        <w:spacing w:after="240"/>
        <w:jc w:val="both"/>
        <w:rPr>
          <w:rFonts w:ascii="Calibri" w:hAnsi="Calibri" w:cs="Calibri"/>
          <w:bCs/>
          <w:sz w:val="22"/>
          <w:szCs w:val="22"/>
        </w:rPr>
      </w:pP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dirigido a Director</w:t>
      </w:r>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procederá a elaborar addendum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${directorDecreto}</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${alcaldeDecreto}</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 xml:space="preserve">contraparte de este convenio y la División de </w:t>
      </w:r>
      <w:r w:rsidR="00D70B4C" w:rsidRPr="009A7D68">
        <w:rPr>
          <w:rFonts w:ascii="Calibri" w:hAnsi="Calibri" w:cs="Calibri"/>
          <w:bCs/>
          <w:sz w:val="22"/>
          <w:szCs w:val="22"/>
        </w:rPr>
        <w:lastRenderedPageBreak/>
        <w:t>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05BD" w14:textId="77777777" w:rsidR="00227B82" w:rsidRDefault="00227B82" w:rsidP="00A4547F">
      <w:r>
        <w:separator/>
      </w:r>
    </w:p>
  </w:endnote>
  <w:endnote w:type="continuationSeparator" w:id="0">
    <w:p w14:paraId="56B39A42" w14:textId="77777777" w:rsidR="00227B82" w:rsidRDefault="00227B82"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E652" w14:textId="77777777" w:rsidR="00227B82" w:rsidRDefault="00227B82" w:rsidP="00A4547F">
      <w:r>
        <w:separator/>
      </w:r>
    </w:p>
  </w:footnote>
  <w:footnote w:type="continuationSeparator" w:id="0">
    <w:p w14:paraId="6A3D1BDE" w14:textId="77777777" w:rsidR="00227B82" w:rsidRDefault="00227B82"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7D44"/>
    <w:rsid w:val="003504D6"/>
    <w:rsid w:val="00355860"/>
    <w:rsid w:val="00356B8F"/>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7822"/>
    <w:rsid w:val="009D02AC"/>
    <w:rsid w:val="009D0C04"/>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CA6"/>
    <w:rsid w:val="00D37F64"/>
    <w:rsid w:val="00D43630"/>
    <w:rsid w:val="00D44C0B"/>
    <w:rsid w:val="00D45EA3"/>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12</Pages>
  <Words>5432</Words>
  <Characters>29879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35241</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84</cp:revision>
  <cp:lastPrinted>2022-01-05T19:06:00Z</cp:lastPrinted>
  <dcterms:created xsi:type="dcterms:W3CDTF">2022-01-11T13:06:00Z</dcterms:created>
  <dcterms:modified xsi:type="dcterms:W3CDTF">2023-02-14T18:32:00Z</dcterms:modified>
</cp:coreProperties>
</file>