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${periodoConvenio</w:t>
      </w:r>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${ilustreTitulo}</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${fechaConvenio}</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${directorApelativo}</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${directorNationality}</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r w:rsidRPr="005225D4">
        <w:rPr>
          <w:rFonts w:ascii="Calibri" w:hAnsi="Calibri" w:cs="Calibri"/>
          <w:color w:val="auto"/>
          <w:szCs w:val="20"/>
          <w:highlight w:val="green"/>
          <w:lang w:eastAsia="ar-SA"/>
        </w:rPr>
        <w:t>N°</w:t>
      </w:r>
      <w:r w:rsidR="005810AE" w:rsidRPr="003D05BD">
        <w:rPr>
          <w:rFonts w:ascii="Calibri" w:hAnsi="Calibri" w:cs="Calibri"/>
          <w:color w:val="auto"/>
          <w:szCs w:val="20"/>
          <w:highlight w:val="green"/>
          <w:lang w:eastAsia="ar-SA"/>
        </w:rPr>
        <w:t>${directorRut}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${comunaRut}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r w:rsidRPr="005225D4">
        <w:rPr>
          <w:rFonts w:ascii="Calibri" w:hAnsi="Calibri" w:cs="Calibri"/>
          <w:color w:val="auto"/>
          <w:szCs w:val="20"/>
          <w:highlight w:val="green"/>
          <w:lang w:eastAsia="ar-SA"/>
        </w:rPr>
        <w:t>N°</w:t>
      </w:r>
      <w:r w:rsidR="00C71C38" w:rsidRPr="007A7405">
        <w:rPr>
          <w:rFonts w:ascii="Calibri" w:hAnsi="Calibri" w:cs="Calibri"/>
          <w:color w:val="auto"/>
          <w:szCs w:val="20"/>
          <w:highlight w:val="green"/>
          <w:lang w:eastAsia="ar-SA"/>
        </w:rPr>
        <w:t>${alcaldeRut}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${municipalidadDirec}</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r w:rsidRPr="00310EB9">
        <w:rPr>
          <w:rFonts w:ascii="Calibri" w:hAnsi="Calibri" w:cs="Calibri"/>
          <w:b/>
          <w:sz w:val="22"/>
          <w:szCs w:val="20"/>
        </w:rPr>
        <w:t xml:space="preserve">entrada en vigencia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resolutividad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r w:rsidRPr="00BB0937">
        <w:rPr>
          <w:rFonts w:ascii="Calibri" w:hAnsi="Calibri" w:cs="Calibri"/>
          <w:bCs/>
          <w:sz w:val="22"/>
          <w:szCs w:val="20"/>
        </w:rPr>
        <w:t>N</w:t>
      </w:r>
      <w:r w:rsidRPr="00BB0937">
        <w:rPr>
          <w:rFonts w:ascii="Calibri" w:hAnsi="Calibri" w:cs="Calibri"/>
          <w:b/>
          <w:bCs/>
          <w:sz w:val="22"/>
          <w:szCs w:val="20"/>
        </w:rPr>
        <w:t>°</w:t>
      </w:r>
      <w:r w:rsidR="00C71C38" w:rsidRPr="00A64A8F">
        <w:rPr>
          <w:rFonts w:ascii="Calibri" w:hAnsi="Calibri" w:cs="Calibri"/>
          <w:bCs/>
          <w:sz w:val="22"/>
          <w:szCs w:val="20"/>
          <w:highlight w:val="green"/>
        </w:rPr>
        <w:t>${numResolucion}</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${fechaResolucion}</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${establecimientosListado}</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${componentesListado}</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r w:rsidR="00BD7695" w:rsidRPr="00BD7695">
        <w:rPr>
          <w:rFonts w:ascii="Calibri" w:hAnsi="Calibri" w:cs="Calibri"/>
          <w:b/>
          <w:color w:val="000000" w:themeColor="text1"/>
          <w:sz w:val="22"/>
          <w:szCs w:val="20"/>
          <w:highlight w:val="green"/>
        </w:rPr>
        <w:t>componenteIndex</w:t>
      </w:r>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${componenteNombre}</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${/componentesListado}</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${totalConvenio} (${totalConvenioLetras})</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32414DD1"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enero del año 2024</w:t>
      </w:r>
      <w:r w:rsidR="00D809B9">
        <w:rPr>
          <w:rFonts w:cs="Calibri"/>
          <w:b/>
          <w:bCs/>
          <w:szCs w:val="20"/>
          <w:highlight w:val="green"/>
        </w:rPr>
        <w:t>.</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r w:rsidR="009523F9">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24605FC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enero del año 2024</w:t>
      </w:r>
      <w:r w:rsidR="00D809B9">
        <w:rPr>
          <w:rFonts w:cs="Calibri"/>
          <w:b/>
          <w:bCs/>
          <w:szCs w:val="20"/>
          <w:highlight w:val="green"/>
        </w:rPr>
        <w:t>.</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r w:rsidR="00EA518D">
        <w:rPr>
          <w:rFonts w:cs="Calibri"/>
          <w:szCs w:val="20"/>
          <w:highlight w:val="green"/>
        </w:rPr>
        <w:t>Octubre</w:t>
      </w:r>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de acuerdo al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Director</w:t>
      </w:r>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sitas inspectivas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al </w:t>
      </w:r>
      <w:r w:rsidRPr="00A54E3A">
        <w:rPr>
          <w:rFonts w:ascii="Calibri" w:hAnsi="Calibri" w:cs="Calibri"/>
          <w:color w:val="000000"/>
          <w:sz w:val="22"/>
          <w:szCs w:val="20"/>
        </w:rPr>
        <w:t xml:space="preserve">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del uso correcto y adecuado de los recursos, mediante visitas inspectivas,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${totalQuotas}</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634825AC"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w:t>
      </w:r>
      <w:r w:rsidR="00DA26DC">
        <w:rPr>
          <w:rFonts w:cs="Calibri"/>
          <w:bCs/>
          <w:szCs w:val="20"/>
          <w:highlight w:val="green"/>
        </w:rPr>
        <w:t>de los oficios correspondientes a la</w:t>
      </w:r>
      <w:r w:rsidRPr="00F94CB9">
        <w:rPr>
          <w:rFonts w:cs="Calibri"/>
          <w:bCs/>
          <w:szCs w:val="20"/>
          <w:highlight w:val="green"/>
        </w:rPr>
        <w:t xml:space="preserve">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5C75B3F9" w14:textId="03B18C19"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462A9">
        <w:rPr>
          <w:rFonts w:cs="Calibri"/>
          <w:bCs/>
          <w:szCs w:val="20"/>
          <w:highlight w:val="green"/>
        </w:rPr>
        <w:t xml:space="preserve"> </w:t>
      </w:r>
      <w:r w:rsidR="00D462A9" w:rsidRPr="00D462A9">
        <w:rPr>
          <w:rFonts w:cs="Calibri"/>
          <w:b/>
          <w:szCs w:val="20"/>
          <w:highlight w:val="green"/>
        </w:rPr>
        <w:t>“SISREC”</w:t>
      </w:r>
      <w:r w:rsidRPr="00F94CB9">
        <w:rPr>
          <w:rFonts w:cs="Calibri"/>
          <w:bCs/>
          <w:szCs w:val="20"/>
          <w:highlight w:val="green"/>
        </w:rPr>
        <w:t>,  donde</w:t>
      </w:r>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${percentage#1}%</w:t>
      </w:r>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 xml:space="preserve">${percentage#2}%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6E68949A"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 xml:space="preserve">“MUNICIPALIDAD”, </w:t>
      </w:r>
      <w:r w:rsidRPr="00F94CB9">
        <w:rPr>
          <w:rFonts w:cs="Calibri"/>
          <w:bCs/>
          <w:szCs w:val="20"/>
          <w:highlight w:val="green"/>
        </w:rPr>
        <w:t xml:space="preserve">posterior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${percentage#3}%</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68446250"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w:t>
      </w:r>
      <w:r w:rsidR="003A3B45">
        <w:rPr>
          <w:rFonts w:cs="Calibri"/>
          <w:bCs/>
          <w:szCs w:val="20"/>
          <w:highlight w:val="green"/>
        </w:rPr>
        <w:t xml:space="preserve">los oficios correspondientes a la </w:t>
      </w:r>
      <w:r w:rsidRPr="00F94CB9">
        <w:rPr>
          <w:rFonts w:cs="Calibri"/>
          <w:b/>
          <w:bCs/>
          <w:szCs w:val="20"/>
          <w:highlight w:val="green"/>
        </w:rPr>
        <w:t xml:space="preserve">“MUNICIPALIDAD”, </w:t>
      </w:r>
      <w:r w:rsidRPr="00F94CB9">
        <w:rPr>
          <w:rFonts w:cs="Calibri"/>
          <w:bCs/>
          <w:szCs w:val="20"/>
          <w:highlight w:val="green"/>
        </w:rPr>
        <w:t xml:space="preserve"> posterior a los cortes de evaluación indicados en la misma cláusula.   </w:t>
      </w:r>
    </w:p>
    <w:p w14:paraId="46BA977E" w14:textId="0DB9E6AB"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3A3B45">
        <w:rPr>
          <w:rFonts w:cs="Calibri"/>
          <w:bCs/>
          <w:szCs w:val="20"/>
          <w:highlight w:val="green"/>
        </w:rPr>
        <w:t xml:space="preserve"> </w:t>
      </w:r>
      <w:r w:rsidR="003A3B45" w:rsidRPr="003A3B45">
        <w:rPr>
          <w:rFonts w:cs="Calibri"/>
          <w:b/>
          <w:szCs w:val="20"/>
          <w:highlight w:val="green"/>
        </w:rPr>
        <w:t>“SISREC”</w:t>
      </w:r>
      <w:r w:rsidRPr="00F94CB9">
        <w:rPr>
          <w:rFonts w:cs="Calibri"/>
          <w:bCs/>
          <w:szCs w:val="20"/>
          <w:highlight w:val="green"/>
        </w:rPr>
        <w:t xml:space="preserve">,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${cuotaMonto}</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(${cuotaLetra})</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Programa,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Quinta,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r w:rsidR="00821FEB">
        <w:rPr>
          <w:rFonts w:ascii="Calibri" w:hAnsi="Calibri" w:cs="Calibri"/>
          <w:bCs/>
          <w:color w:val="000000" w:themeColor="text1"/>
          <w:sz w:val="22"/>
          <w:szCs w:val="20"/>
          <w:highlight w:val="green"/>
        </w:rPr>
        <w:t>totalQuotasText</w:t>
      </w:r>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N°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5ABC573"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r w:rsidR="00DA26DC">
        <w:rPr>
          <w:rFonts w:ascii="Calibri" w:hAnsi="Calibri" w:cs="Calibri"/>
          <w:sz w:val="22"/>
          <w:szCs w:val="20"/>
          <w:highlight w:val="green"/>
          <w:lang w:val="es-CL"/>
        </w:rPr>
        <w:t>“PROGRAMA”</w:t>
      </w:r>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298E3D0"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w:t>
      </w:r>
      <w:r w:rsidR="00DA26DC">
        <w:rPr>
          <w:rFonts w:cs="Calibri"/>
          <w:bCs/>
          <w:szCs w:val="20"/>
          <w:highlight w:val="green"/>
        </w:rPr>
        <w:t>os oficios</w:t>
      </w:r>
      <w:r w:rsidRPr="00F94CB9">
        <w:rPr>
          <w:rFonts w:cs="Calibri"/>
          <w:bCs/>
          <w:szCs w:val="20"/>
          <w:highlight w:val="green"/>
        </w:rPr>
        <w:t xml:space="preserve"> </w:t>
      </w:r>
      <w:r w:rsidR="00DA26DC">
        <w:rPr>
          <w:rFonts w:cs="Calibri"/>
          <w:bCs/>
          <w:szCs w:val="20"/>
          <w:highlight w:val="green"/>
        </w:rPr>
        <w:t>correspondientes a la</w:t>
      </w:r>
      <w:r w:rsidRPr="00F94CB9">
        <w:rPr>
          <w:rFonts w:cs="Calibri"/>
          <w:bCs/>
          <w:szCs w:val="20"/>
          <w:highlight w:val="green"/>
        </w:rPr>
        <w:t xml:space="preserve">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7E87D7DD" w14:textId="5B7145CD"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a través de la plataforma habilitada para estos fines</w:t>
      </w:r>
      <w:r w:rsidR="00DA26DC">
        <w:rPr>
          <w:rFonts w:cs="Calibri"/>
          <w:bCs/>
          <w:szCs w:val="20"/>
          <w:highlight w:val="green"/>
        </w:rPr>
        <w:t xml:space="preserve"> </w:t>
      </w:r>
      <w:r w:rsidR="00DA26DC" w:rsidRPr="00DA26DC">
        <w:rPr>
          <w:rFonts w:cs="Calibri"/>
          <w:b/>
          <w:szCs w:val="20"/>
          <w:highlight w:val="green"/>
        </w:rPr>
        <w:t>“SISREC”</w:t>
      </w:r>
      <w:r w:rsidRPr="00F94CB9">
        <w:rPr>
          <w:rFonts w:cs="Calibri"/>
          <w:bCs/>
          <w:szCs w:val="20"/>
          <w:highlight w:val="green"/>
        </w:rPr>
        <w:t xml:space="preserve">, </w:t>
      </w:r>
      <w:r w:rsidR="00DA26DC">
        <w:rPr>
          <w:rFonts w:cs="Calibri"/>
          <w:bCs/>
          <w:szCs w:val="20"/>
          <w:highlight w:val="green"/>
        </w:rPr>
        <w:t xml:space="preserve"> </w:t>
      </w:r>
      <w:r w:rsidRPr="00F94CB9">
        <w:rPr>
          <w:rFonts w:cs="Calibri"/>
          <w:bCs/>
          <w:szCs w:val="20"/>
          <w:highlight w:val="green"/>
        </w:rPr>
        <w:t xml:space="preserve">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esolución N°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570C9D2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4F5366">
        <w:rPr>
          <w:rFonts w:ascii="Calibri" w:hAnsi="Calibri" w:cs="Calibri"/>
          <w:sz w:val="22"/>
          <w:szCs w:val="22"/>
        </w:rPr>
        <w:t>f</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El periodo a rendir del mes de enero 2024,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r w:rsidRPr="00964ABA">
        <w:rPr>
          <w:rFonts w:ascii="Calibri" w:hAnsi="Calibri" w:cs="Calibri"/>
          <w:sz w:val="22"/>
          <w:szCs w:val="22"/>
        </w:rPr>
        <w:t>respaldo</w:t>
      </w:r>
      <w:r w:rsidR="00ED3F1F">
        <w:rPr>
          <w:rFonts w:ascii="Calibri" w:hAnsi="Calibri" w:cs="Calibri"/>
          <w:sz w:val="22"/>
          <w:szCs w:val="22"/>
        </w:rPr>
        <w:t>,</w:t>
      </w:r>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de acuerdo al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La prórroga del convenio comenzará a regir desde el 01 de enero del año presupuestario siguiente y su duración se extenderá hasta el 31 de diciembre del mismo.</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r w:rsidRPr="00D202D7">
        <w:rPr>
          <w:rFonts w:ascii="Calibri" w:hAnsi="Calibri" w:cs="Calibri"/>
          <w:sz w:val="22"/>
          <w:szCs w:val="22"/>
        </w:rPr>
        <w:t xml:space="preserve">da inicio a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6CF88E82" w14:textId="2DD1CF5E" w:rsidR="001E216E" w:rsidRPr="009F0A3A" w:rsidRDefault="009C4095" w:rsidP="001E216E">
      <w:pPr>
        <w:tabs>
          <w:tab w:val="left" w:pos="4395"/>
        </w:tabs>
        <w:spacing w:after="240"/>
        <w:jc w:val="both"/>
        <w:rPr>
          <w:rFonts w:ascii="Calibri" w:hAnsi="Calibri" w:cs="Calibri"/>
          <w:bCs/>
          <w:sz w:val="22"/>
          <w:szCs w:val="22"/>
        </w:rPr>
      </w:pPr>
      <w:bookmarkStart w:id="9" w:name="_Hlk2348924"/>
      <w:r w:rsidRPr="009C4095">
        <w:rPr>
          <w:rFonts w:ascii="Calibri" w:hAnsi="Calibri" w:cs="Calibri"/>
          <w:b/>
          <w:bCs/>
          <w:sz w:val="22"/>
          <w:szCs w:val="22"/>
        </w:rPr>
        <w:t>DÉCIMA SEXTA</w:t>
      </w:r>
      <w:r w:rsidRPr="009C4095">
        <w:rPr>
          <w:rFonts w:ascii="Calibri" w:hAnsi="Calibri" w:cs="Calibri"/>
          <w:b/>
          <w:bCs/>
          <w:i/>
          <w:iCs/>
          <w:sz w:val="22"/>
          <w:szCs w:val="22"/>
        </w:rPr>
        <w:t>:</w:t>
      </w:r>
      <w:r w:rsidRPr="009C4095">
        <w:rPr>
          <w:rFonts w:ascii="Calibri" w:hAnsi="Calibri" w:cs="Calibri"/>
          <w:b/>
          <w:bCs/>
          <w:sz w:val="22"/>
          <w:szCs w:val="22"/>
        </w:rPr>
        <w:t> </w:t>
      </w:r>
      <w:r w:rsidRPr="009C4095">
        <w:rPr>
          <w:rFonts w:ascii="Calibri" w:hAnsi="Calibri" w:cs="Calibri"/>
          <w:bCs/>
          <w:sz w:val="22"/>
          <w:szCs w:val="22"/>
        </w:rPr>
        <w:t>Finalizado el período de vigencia del presente convenio, los saldos transferidos no utilizados, deberán ser reintegrados por la </w:t>
      </w:r>
      <w:r w:rsidRPr="009C4095">
        <w:rPr>
          <w:rFonts w:ascii="Calibri" w:hAnsi="Calibri" w:cs="Calibri"/>
          <w:b/>
          <w:sz w:val="22"/>
          <w:szCs w:val="22"/>
        </w:rPr>
        <w:t>“MUNICIPALIDAD”</w:t>
      </w:r>
      <w:r w:rsidRPr="009C4095">
        <w:rPr>
          <w:rFonts w:ascii="Calibri" w:hAnsi="Calibri" w:cs="Calibri"/>
          <w:bCs/>
          <w:sz w:val="22"/>
          <w:szCs w:val="22"/>
        </w:rPr>
        <w:t>, a Rentas Generales de la nación, a más tardar </w:t>
      </w:r>
      <w:r w:rsidRPr="009C4095">
        <w:rPr>
          <w:rFonts w:ascii="Calibri" w:hAnsi="Calibri" w:cs="Calibri"/>
          <w:b/>
          <w:sz w:val="22"/>
          <w:szCs w:val="22"/>
        </w:rPr>
        <w:t>el 31 de enero del año 2024</w:t>
      </w:r>
      <w:r w:rsidRPr="009C4095">
        <w:rPr>
          <w:rFonts w:ascii="Calibri" w:hAnsi="Calibri" w:cs="Calibri"/>
          <w:bCs/>
          <w:sz w:val="22"/>
          <w:szCs w:val="22"/>
        </w:rPr>
        <w:t>, según señala el artículo 7° de la Ley N°21.516 de Presupuesto para el sector público, correspondiente al año 2023, salvo casos excepcionales debidamente fundados.</w:t>
      </w: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dirigido a Director</w:t>
      </w:r>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procederá a elaborar addendum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${directorDecreto}</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${alcaldeDecreto}</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contraparte de este convenio y la División de 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lastRenderedPageBreak/>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${ilustreTitulo}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0359" w14:textId="77777777" w:rsidR="008551A4" w:rsidRDefault="008551A4" w:rsidP="00A4547F">
      <w:r>
        <w:separator/>
      </w:r>
    </w:p>
  </w:endnote>
  <w:endnote w:type="continuationSeparator" w:id="0">
    <w:p w14:paraId="16B4F993" w14:textId="77777777" w:rsidR="008551A4" w:rsidRDefault="008551A4"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8D95" w14:textId="77777777" w:rsidR="008551A4" w:rsidRDefault="008551A4" w:rsidP="00A4547F">
      <w:r>
        <w:separator/>
      </w:r>
    </w:p>
  </w:footnote>
  <w:footnote w:type="continuationSeparator" w:id="0">
    <w:p w14:paraId="491E323A" w14:textId="77777777" w:rsidR="008551A4" w:rsidRDefault="008551A4"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4BC4"/>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0341"/>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3B45"/>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536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0939"/>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C2B08"/>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1A4"/>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420"/>
    <w:rsid w:val="008A0926"/>
    <w:rsid w:val="008A45C5"/>
    <w:rsid w:val="008A5BAC"/>
    <w:rsid w:val="008B0535"/>
    <w:rsid w:val="008B1F0F"/>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3D7"/>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4095"/>
    <w:rsid w:val="009C7822"/>
    <w:rsid w:val="009D02AC"/>
    <w:rsid w:val="009D0C04"/>
    <w:rsid w:val="009D12FF"/>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31B3"/>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62A9"/>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09B9"/>
    <w:rsid w:val="00D8379E"/>
    <w:rsid w:val="00D9154C"/>
    <w:rsid w:val="00D92325"/>
    <w:rsid w:val="00D9247F"/>
    <w:rsid w:val="00D92481"/>
    <w:rsid w:val="00D92513"/>
    <w:rsid w:val="00D957C7"/>
    <w:rsid w:val="00DA1A03"/>
    <w:rsid w:val="00DA26DC"/>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12</Pages>
  <Words>5330</Words>
  <Characters>29318</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34579</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97</cp:revision>
  <cp:lastPrinted>2022-01-05T19:06:00Z</cp:lastPrinted>
  <dcterms:created xsi:type="dcterms:W3CDTF">2022-01-11T13:06:00Z</dcterms:created>
  <dcterms:modified xsi:type="dcterms:W3CDTF">2023-02-28T18:20:00Z</dcterms:modified>
</cp:coreProperties>
</file>