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3324A"/>
          <w:sz w:val="32"/>
          <w:szCs w:val="32"/>
        </w:rPr>
        <w:t xml:space="preserve">BELLEZA DEL SER</w:t>
      </w:r>
    </w:p>
    <w:p>
      <w:pPr>
        <w:spacing w:after="300"/>
      </w:pPr>
      <w:r>
        <w:rPr>
          <w:rFonts w:ascii="Calibri" w:cs="Calibri" w:eastAsia="Calibri" w:hAnsi="Calibri"/>
          <w:i/>
          <w:iCs/>
          <w:color w:val="B08D57"/>
          <w:sz w:val="22"/>
          <w:szCs w:val="22"/>
        </w:rPr>
        <w:t xml:space="preserve">Confirmación de decisión tecnológica y detalles operativos — Hotmart Club</w:t>
      </w:r>
    </w:p>
    <w:p>
      <w:pPr>
        <w:spacing w:after="160" w:line="288"/>
      </w:pPr>
      <w:r>
        <w:rPr>
          <w:rFonts w:ascii="Calibri" w:cs="Calibri" w:eastAsia="Calibri" w:hAnsi="Calibri"/>
          <w:color w:val="1A1A1A"/>
          <w:sz w:val="22"/>
          <w:szCs w:val="22"/>
        </w:rPr>
        <w:t xml:space="preserve">Este informe complementa la propuesta tecnológica inicial. Confirma la decisión de plataforma y deja por escrito dos detalles operativos que hay que conversar con Naty antes de avanzar con la configuración, además de repasar cómo queda armada la conexión entre la web y Hotmart.</w:t>
      </w:r>
    </w:p>
    <w:p>
      <w:pPr>
        <w:pStyle w:val="Heading1"/>
        <w:pBdr>
          <w:bottom w:val="single" w:color="B08D57" w:sz="6" w:space="4"/>
        </w:pBdr>
        <w:spacing w:after="140" w:before="320"/>
      </w:pPr>
      <w:r>
        <w:rPr>
          <w:rFonts w:ascii="Calibri" w:cs="Calibri" w:eastAsia="Calibri" w:hAnsi="Calibri"/>
          <w:b/>
          <w:bCs/>
          <w:color w:val="23324A"/>
          <w:sz w:val="28"/>
          <w:szCs w:val="28"/>
        </w:rPr>
        <w:t xml:space="preserve">1. Decisión confirmada: Hotmart Club</w:t>
      </w:r>
    </w:p>
    <w:p>
      <w:pPr>
        <w:spacing w:after="160" w:line="288"/>
      </w:pPr>
      <w:r>
        <w:rPr>
          <w:rFonts w:ascii="Calibri" w:cs="Calibri" w:eastAsia="Calibri" w:hAnsi="Calibri"/>
          <w:color w:val="1A1A1A"/>
          <w:sz w:val="22"/>
          <w:szCs w:val="22"/>
        </w:rPr>
        <w:t xml:space="preserve">Después de revisar el goteo de contenido, las cohortes, los vivos, la integración con la web y el costo, Hotmart Club se confirma como la plataforma para lanzar la academia. Es la opción que mejor se ajusta a esta etapa: no requiere backend, no tiene costo fijo mensual y está pensada específicamente para integrarse con una web externa.</w:t>
      </w:r>
    </w:p>
    <w:p>
      <w:pPr>
        <w:pStyle w:val="Heading1"/>
        <w:pBdr>
          <w:bottom w:val="single" w:color="B08D57" w:sz="6" w:space="4"/>
        </w:pBdr>
        <w:spacing w:after="140" w:before="320"/>
      </w:pPr>
      <w:r>
        <w:rPr>
          <w:rFonts w:ascii="Calibri" w:cs="Calibri" w:eastAsia="Calibri" w:hAnsi="Calibri"/>
          <w:b/>
          <w:bCs/>
          <w:color w:val="23324A"/>
          <w:sz w:val="28"/>
          <w:szCs w:val="28"/>
        </w:rPr>
        <w:t xml:space="preserve">2. Cómo se resuelve el ingreso en distintos momentos</w:t>
      </w:r>
    </w:p>
    <w:p>
      <w:pPr>
        <w:spacing w:after="160" w:line="288"/>
      </w:pPr>
      <w:r>
        <w:rPr>
          <w:rFonts w:ascii="Calibri" w:cs="Calibri" w:eastAsia="Calibri" w:hAnsi="Calibri"/>
          <w:color w:val="1A1A1A"/>
          <w:sz w:val="22"/>
          <w:szCs w:val="22"/>
        </w:rPr>
        <w:t xml:space="preserve">Las alumnas pueden inscribirse en cualquier momento, pero una vez inscriptas se agrupan en cohortes que arrancan todas juntas en una fecha común. Esto es clave para la configuración técnica: el goteo de contenido de cada cohorte debe programarse por fecha fija (una fecha de calendario igual para todo el grupo), no por días desde la compra individual.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08D57" w:sz="4"/>
              <w:left w:val="single" w:color="B08D57" w:sz="4"/>
              <w:bottom w:val="single" w:color="B08D57" w:sz="4"/>
              <w:right w:val="single" w:color="B08D57" w:sz="4"/>
            </w:tcBorders>
            <w:shd w:fill="F4F1EC" w:val="clear"/>
            <w:tcMar>
              <w:top w:type="dxa" w:w="160"/>
              <w:left w:type="dxa" w:w="200"/>
              <w:bottom w:type="dxa" w:w="160"/>
              <w:right w:type="dxa" w:w="200"/>
            </w:tcMar>
          </w:tcPr>
          <w:p>
            <w:pPr>
              <w:spacing w:after="80"/>
            </w:pPr>
            <w:r>
              <w:rPr>
                <w:rFonts w:ascii="Calibri" w:cs="Calibri" w:eastAsia="Calibri" w:hAnsi="Calibri"/>
                <w:b/>
                <w:bCs/>
                <w:color w:val="23324A"/>
                <w:sz w:val="22"/>
                <w:szCs w:val="22"/>
              </w:rPr>
              <w:t xml:space="preserve">Por qué por fecha fija y no por días desde la compra</w:t>
            </w:r>
          </w:p>
          <w:p>
            <w:pPr>
              <w:spacing w:after="0" w:line="276"/>
            </w:pPr>
            <w:r>
              <w:rPr>
                <w:rFonts w:ascii="Calibri" w:cs="Calibri" w:eastAsia="Calibri" w:hAnsi="Calibri"/>
                <w:color w:val="1A1A1A"/>
                <w:sz w:val="21"/>
                <w:szCs w:val="21"/>
              </w:rPr>
              <w:t xml:space="preserve">Si el contenido se libera por días desde la compra, cada alumna tendría su propio calendario individual y nunca coincidirían en la misma semana — rompiendo el sentido del vivo grupal de la semana 4. Programando por fecha fija dentro de cada grupo/cohorte, todas las alumnas de ese período reciben la píldora de la semana 1, 2, 3 y 4 el mismo día, y llegan sincronizadas al encuentro en vivo.</w:t>
            </w:r>
          </w:p>
        </w:tc>
      </w:tr>
    </w:tbl>
    <w:p>
      <w:pPr>
        <w:spacing w:after="160" w:line="288"/>
      </w:pPr>
      <w:r>
        <w:rPr>
          <w:rFonts w:ascii="Calibri" w:cs="Calibri" w:eastAsia="Calibri" w:hAnsi="Calibri"/>
          <w:color w:val="1A1A1A"/>
          <w:sz w:val="22"/>
          <w:szCs w:val="22"/>
        </w:rPr>
        <w:t xml:space="preserve">En la práctica: cada vez que se abre una cohorte nueva (por ejemplo, mensual), se configura un grupo nuevo en Hotmart Club con su propio calendario de fechas fijas para las 9 meses de contenido.</w:t>
      </w:r>
    </w:p>
    <w:p>
      <w:pPr>
        <w:pStyle w:val="Heading1"/>
        <w:pBdr>
          <w:bottom w:val="single" w:color="B08D57" w:sz="6" w:space="4"/>
        </w:pBdr>
        <w:spacing w:after="140" w:before="320"/>
      </w:pPr>
      <w:r>
        <w:rPr>
          <w:rFonts w:ascii="Calibri" w:cs="Calibri" w:eastAsia="Calibri" w:hAnsi="Calibri"/>
          <w:b/>
          <w:bCs/>
          <w:color w:val="23324A"/>
          <w:sz w:val="28"/>
          <w:szCs w:val="28"/>
        </w:rPr>
        <w:t xml:space="preserve">3. Vivos: limitación nativa de Hotmart y alternativas para Zoom</w:t>
      </w:r>
    </w:p>
    <w:p>
      <w:pPr>
        <w:spacing w:after="160" w:line="288"/>
      </w:pPr>
      <w:r>
        <w:rPr>
          <w:rFonts w:ascii="Calibri" w:cs="Calibri" w:eastAsia="Calibri" w:hAnsi="Calibri"/>
          <w:color w:val="1A1A1A"/>
          <w:sz w:val="22"/>
          <w:szCs w:val="22"/>
        </w:rPr>
        <w:t xml:space="preserve">La función de transmisión en vivo dentro del área de miembros de Hotmart Club solo soporta de forma nativa transmisiones por YouTube o Vimeo. No admite Zoom (ni Google Meet) como fuente directa del vivo integrado a la plataforma.</w:t>
      </w:r>
    </w:p>
    <w:p>
      <w:pPr>
        <w:spacing w:after="160" w:line="288"/>
      </w:pPr>
      <w:r>
        <w:rPr>
          <w:rFonts w:ascii="Calibri" w:cs="Calibri" w:eastAsia="Calibri" w:hAnsi="Calibri"/>
          <w:color w:val="1A1A1A"/>
          <w:sz w:val="22"/>
          <w:szCs w:val="22"/>
        </w:rPr>
        <w:t xml:space="preserve">Como el formato que Naty quiere para el encuentro de la semana 4 (alumnas visibles por cámara, hablando por micrófono, más control de sala) es justamente el tipo de experiencia que Zoom resuelve mejor que un stream de YouTube/Vimeo, hay dos caminos posibles:</w:t>
      </w:r>
    </w:p>
    <w:p>
      <w:pPr>
        <w:pStyle w:val="ListParagraph"/>
        <w:numPr>
          <w:ilvl w:val="0"/>
          <w:numId w:val="2"/>
        </w:numPr>
        <w:spacing w:after="90" w:line="276"/>
      </w:pPr>
      <w:r>
        <w:rPr>
          <w:rFonts w:ascii="Calibri" w:cs="Calibri" w:eastAsia="Calibri" w:hAnsi="Calibri"/>
          <w:color w:val="1A1A1A"/>
          <w:sz w:val="22"/>
          <w:szCs w:val="22"/>
        </w:rPr>
        <w:t xml:space="preserve">Opción A: hacer el encuentro por Zoom y publicar el link de acceso como contenido de esa semana dentro del módulo correspondiente (sin usar la función nativa de "vivo" de Hotmart). Es la opción más simple y la que más se ajusta al formato que ella quiere.</w:t>
      </w:r>
    </w:p>
    <w:p>
      <w:pPr>
        <w:pStyle w:val="ListParagraph"/>
        <w:numPr>
          <w:ilvl w:val="0"/>
          <w:numId w:val="2"/>
        </w:numPr>
        <w:spacing w:after="90" w:line="276"/>
      </w:pPr>
      <w:r>
        <w:rPr>
          <w:rFonts w:ascii="Calibri" w:cs="Calibri" w:eastAsia="Calibri" w:hAnsi="Calibri"/>
          <w:color w:val="1A1A1A"/>
          <w:sz w:val="22"/>
          <w:szCs w:val="22"/>
        </w:rPr>
        <w:t xml:space="preserve">Opción B: usar la función nativa de vivo de Hotmart con una transmisión de relleno en YouTube o Vimeo (para cumplir el requisito técnico de la plataforma) y, en paralelo, publicar el link real de Zoom como el canal donde efectivamente se hace el encuentro. Tiene sentido solo si a Naty le importa que el vivo quede "dentro" de la experiencia nativa de Hotmart; agrega un paso extra sin necesidad real.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08D57" w:sz="4"/>
              <w:left w:val="single" w:color="B08D57" w:sz="4"/>
              <w:bottom w:val="single" w:color="B08D57" w:sz="4"/>
              <w:right w:val="single" w:color="B08D57" w:sz="4"/>
            </w:tcBorders>
            <w:shd w:fill="F4F1EC" w:val="clear"/>
            <w:tcMar>
              <w:top w:type="dxa" w:w="160"/>
              <w:left w:type="dxa" w:w="200"/>
              <w:bottom w:type="dxa" w:w="160"/>
              <w:right w:type="dxa" w:w="200"/>
            </w:tcMar>
          </w:tcPr>
          <w:p>
            <w:pPr>
              <w:spacing w:after="80"/>
            </w:pPr>
            <w:r>
              <w:rPr>
                <w:rFonts w:ascii="Calibri" w:cs="Calibri" w:eastAsia="Calibri" w:hAnsi="Calibri"/>
                <w:b/>
                <w:bCs/>
                <w:color w:val="23324A"/>
                <w:sz w:val="22"/>
                <w:szCs w:val="22"/>
              </w:rPr>
              <w:t xml:space="preserve">Recomendación</w:t>
            </w:r>
          </w:p>
          <w:p>
            <w:pPr>
              <w:spacing w:after="0" w:line="276"/>
            </w:pPr>
            <w:r>
              <w:rPr>
                <w:rFonts w:ascii="Calibri" w:cs="Calibri" w:eastAsia="Calibri" w:hAnsi="Calibri"/>
                <w:color w:val="1A1A1A"/>
                <w:sz w:val="21"/>
                <w:szCs w:val="21"/>
              </w:rPr>
              <w:t xml:space="preserve">Opción A: publicar el link de Zoom como contenido de la semana 4. Es más simple de mantener mes a mes y da el formato de cámara/micrófono/salas que el encuentro necesita.</w:t>
            </w:r>
          </w:p>
        </w:tc>
      </w:tr>
    </w:tbl>
    <w:p>
      <w:pPr>
        <w:pStyle w:val="Heading1"/>
        <w:pBdr>
          <w:bottom w:val="single" w:color="B08D57" w:sz="6" w:space="4"/>
        </w:pBdr>
        <w:spacing w:after="140" w:before="320"/>
      </w:pPr>
      <w:r>
        <w:rPr>
          <w:rFonts w:ascii="Calibri" w:cs="Calibri" w:eastAsia="Calibri" w:hAnsi="Calibri"/>
          <w:b/>
          <w:bCs/>
          <w:color w:val="23324A"/>
          <w:sz w:val="28"/>
          <w:szCs w:val="28"/>
        </w:rPr>
        <w:t xml:space="preserve">4. Cómo queda la conexión entre la web y Hotmart</w:t>
      </w:r>
    </w:p>
    <w:p>
      <w:pPr>
        <w:spacing w:after="160" w:line="288"/>
      </w:pPr>
      <w:r>
        <w:rPr>
          <w:rFonts w:ascii="Calibri" w:cs="Calibri" w:eastAsia="Calibri" w:hAnsi="Calibri"/>
          <w:color w:val="1A1A1A"/>
          <w:sz w:val="22"/>
          <w:szCs w:val="22"/>
        </w:rPr>
        <w:t xml:space="preserve">La propuesta final: se desarrolla un embudo de ventas dentro del sitio actual (bellezadelser.com), con la estética completa de la marca — landing, textos, diseño — y se conecta a Hotmart a través del botón con el checkout embebido (pop-up), tal como se probó en la página de prueba. La compra se siente parte del sitio, sin redirecciones bruscas.</w:t>
      </w:r>
    </w:p>
    <w:p>
      <w:pPr>
        <w:spacing w:after="160" w:line="288"/>
      </w:pPr>
      <w:r>
        <w:rPr>
          <w:rFonts w:ascii="Calibri" w:cs="Calibri" w:eastAsia="Calibri" w:hAnsi="Calibri"/>
          <w:color w:val="1A1A1A"/>
          <w:sz w:val="22"/>
          <w:szCs w:val="22"/>
        </w:rPr>
        <w:t xml:space="preserve">Una vez hecha la venta, todo lo demás — clases, seguimiento de contenido, control de alumnas, grupos/cohortes y comunicación — se gestiona íntegramente desde Hotmart. La web queda como la puerta de entrada y la cara visible de la marca; Hotmart como el motor operativo de la academia.</w:t>
      </w:r>
    </w:p>
    <w:p>
      <w:pPr>
        <w:pStyle w:val="Heading1"/>
        <w:pBdr>
          <w:bottom w:val="single" w:color="B08D57" w:sz="6" w:space="4"/>
        </w:pBdr>
        <w:spacing w:after="140" w:before="320"/>
      </w:pPr>
      <w:r>
        <w:rPr>
          <w:rFonts w:ascii="Calibri" w:cs="Calibri" w:eastAsia="Calibri" w:hAnsi="Calibri"/>
          <w:b/>
          <w:bCs/>
          <w:color w:val="23324A"/>
          <w:sz w:val="28"/>
          <w:szCs w:val="28"/>
        </w:rPr>
        <w:t xml:space="preserve">5. Costo: por qué encaja en esta etapa</w:t>
      </w:r>
    </w:p>
    <w:p>
      <w:pPr>
        <w:spacing w:after="160" w:line="288"/>
      </w:pPr>
      <w:r>
        <w:rPr>
          <w:rFonts w:ascii="Calibri" w:cs="Calibri" w:eastAsia="Calibri" w:hAnsi="Calibri"/>
          <w:color w:val="1A1A1A"/>
          <w:sz w:val="22"/>
          <w:szCs w:val="22"/>
        </w:rPr>
        <w:t xml:space="preserve">Hotmart no tiene costo de entrada ni suscripción mensual: cobra una comisión solo cuando hay una venta (9,9% + USD 0,50 por transacción). Esto lo hace ideal para esta etapa de validación — no hay que invertir en infraestructura antes de saber si el formato funciona, y el costo crece solo si el negocio también crece.</w:t>
      </w:r>
    </w:p>
    <w:p>
      <w:pPr>
        <w:pStyle w:val="Heading1"/>
        <w:pBdr>
          <w:bottom w:val="single" w:color="B08D57" w:sz="6" w:space="4"/>
        </w:pBdr>
        <w:spacing w:after="140" w:before="320"/>
      </w:pPr>
      <w:r>
        <w:rPr>
          <w:rFonts w:ascii="Calibri" w:cs="Calibri" w:eastAsia="Calibri" w:hAnsi="Calibri"/>
          <w:b/>
          <w:bCs/>
          <w:color w:val="23324A"/>
          <w:sz w:val="28"/>
          <w:szCs w:val="28"/>
        </w:rPr>
        <w:t xml:space="preserve">6. Próximo paso</w:t>
      </w:r>
    </w:p>
    <w:p>
      <w:pPr>
        <w:spacing w:after="160" w:line="288"/>
      </w:pPr>
      <w:r>
        <w:rPr>
          <w:rFonts w:ascii="Calibri" w:cs="Calibri" w:eastAsia="Calibri" w:hAnsi="Calibri"/>
          <w:color w:val="1A1A1A"/>
          <w:sz w:val="22"/>
          <w:szCs w:val="22"/>
        </w:rPr>
        <w:t xml:space="preserve">Coordinar una reunión con Naty la semana que viene para repasar estos dos puntos (cohortes por fecha fija y la decisión sobre los vivos) y confirmar el plan antes de empezar la configuración final.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2026-07-30T23:03:48.047Z</dcterms:created>
  <dcterms:modified xsi:type="dcterms:W3CDTF">2026-07-30T23:03:48.059Z</dcterms:modified>
</cp:coreProperties>
</file>

<file path=docProps/custom.xml><?xml version="1.0" encoding="utf-8"?>
<Properties xmlns="http://schemas.openxmlformats.org/officeDocument/2006/custom-properties" xmlns:vt="http://schemas.openxmlformats.org/officeDocument/2006/docPropsVTypes"/>
</file>