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Calibri" w:cs="Calibri" w:eastAsia="Calibri" w:hAnsi="Calibri"/>
          <w:b/>
          <w:bCs/>
          <w:color w:val="23324A"/>
          <w:sz w:val="44"/>
          <w:szCs w:val="44"/>
        </w:rPr>
        <w:t xml:space="preserve">BELLEZA DEL SER</w:t>
      </w:r>
    </w:p>
    <w:p>
      <w:pPr>
        <w:spacing w:after="60" w:before="120"/>
      </w:pPr>
      <w:r>
        <w:rPr>
          <w:rFonts w:ascii="Calibri" w:cs="Calibri" w:eastAsia="Calibri" w:hAnsi="Calibri"/>
          <w:color w:val="B08D57"/>
          <w:sz w:val="32"/>
          <w:szCs w:val="32"/>
        </w:rPr>
        <w:t xml:space="preserve">Propuesta tecnológica y hoja de ruta</w:t>
      </w:r>
    </w:p>
    <w:p>
      <w:pPr>
        <w:spacing w:after="2200" w:before="0"/>
      </w:pPr>
      <w:r>
        <w:rPr>
          <w:rFonts w:ascii="Calibri" w:cs="Calibri" w:eastAsia="Calibri" w:hAnsi="Calibri"/>
          <w:i/>
          <w:iCs/>
          <w:color w:val="6B6B6B"/>
          <w:sz w:val="24"/>
          <w:szCs w:val="24"/>
        </w:rPr>
        <w:t xml:space="preserve">Academia Holística — Membresía de 9 meses</w:t>
      </w:r>
    </w:p>
    <w:p>
      <w:pPr>
        <w:spacing w:after="60"/>
      </w:pPr>
      <w:r>
        <w:rPr>
          <w:rFonts w:ascii="Calibri" w:cs="Calibri" w:eastAsia="Calibri" w:hAnsi="Calibri"/>
          <w:sz w:val="22"/>
          <w:szCs w:val="22"/>
        </w:rPr>
        <w:t xml:space="preserve">Preparado por: Alexis</w:t>
      </w:r>
    </w:p>
    <w:p>
      <w:pPr>
        <w:spacing w:after="60"/>
      </w:pPr>
      <w:r>
        <w:rPr>
          <w:rFonts w:ascii="Calibri" w:cs="Calibri" w:eastAsia="Calibri" w:hAnsi="Calibri"/>
          <w:sz w:val="22"/>
          <w:szCs w:val="22"/>
        </w:rPr>
        <w:t xml:space="preserve">Contacto: alexisbazila@gmail.com</w:t>
      </w:r>
    </w:p>
    <w:p>
      <w:pPr>
        <w:spacing w:after="0"/>
      </w:pPr>
      <w:r>
        <w:rPr>
          <w:rFonts w:ascii="Calibri" w:cs="Calibri" w:eastAsia="Calibri" w:hAnsi="Calibri"/>
          <w:sz w:val="22"/>
          <w:szCs w:val="22"/>
        </w:rPr>
        <w:t xml:space="preserve">Fecha: 27 de julio de 2026</w:t>
      </w:r>
    </w:p>
    <w:p>
      <w:r>
        <w:br w:type="page"/>
      </w:r>
    </w:p>
    <w:p>
      <w:pPr>
        <w:pStyle w:val="Heading1"/>
        <w:pBdr>
          <w:bottom w:val="single" w:color="B08D57" w:sz="6" w:space="4"/>
        </w:pBdr>
        <w:spacing w:after="160" w:before="360"/>
      </w:pPr>
      <w:r>
        <w:rPr>
          <w:rFonts w:ascii="Calibri" w:cs="Calibri" w:eastAsia="Calibri" w:hAnsi="Calibri"/>
          <w:b/>
          <w:bCs/>
          <w:color w:val="23324A"/>
          <w:sz w:val="30"/>
          <w:szCs w:val="30"/>
        </w:rPr>
        <w:t xml:space="preserve">1. Resumen ejecutivo</w:t>
      </w:r>
    </w:p>
    <w:p>
      <w:pPr>
        <w:spacing w:after="160" w:line="288"/>
      </w:pPr>
      <w:r>
        <w:rPr>
          <w:rFonts w:ascii="Calibri" w:cs="Calibri" w:eastAsia="Calibri" w:hAnsi="Calibri"/>
          <w:color w:val="1A1A1A"/>
          <w:sz w:val="22"/>
          <w:szCs w:val="22"/>
        </w:rPr>
        <w:t xml:space="preserve">Belleza del Ser está transicionando de sesiones individuales (reiki, registros akáshicos, coaching holístico) a un modelo de academia: una membresía de 9 meses con una “píldora” en video semanal, actividades asociadas y un encuentro en vivo grupal en la semana 4 de cada mes. Las alumnas pueden sumarse en distintos momentos del programa, y ya existe contenido grabado para los primeros 3 meses.</w:t>
      </w:r>
    </w:p>
    <w:p>
      <w:pPr>
        <w:spacing w:after="160" w:line="288"/>
      </w:pPr>
      <w:r>
        <w:rPr>
          <w:rFonts w:ascii="Calibri" w:cs="Calibri" w:eastAsia="Calibri" w:hAnsi="Calibri"/>
          <w:color w:val="1A1A1A"/>
          <w:sz w:val="22"/>
          <w:szCs w:val="22"/>
        </w:rPr>
        <w:t xml:space="preserve">El sitio actual vive en un hosting compartido de Hostinger, que no admite backend. Desarrollar una plataforma de academia a medida en esta etapa implicaría un costo y una carga de mantenimiento desproporcionados tanto para el equipo técnico como para la clienta.</w:t>
      </w:r>
    </w:p>
    <w:p>
      <w:pPr>
        <w:spacing w:after="160" w:line="288"/>
      </w:pPr>
      <w:r>
        <w:rPr>
          <w:rFonts w:ascii="Calibri" w:cs="Calibri" w:eastAsia="Calibri" w:hAnsi="Calibri"/>
          <w:color w:val="1A1A1A"/>
          <w:sz w:val="22"/>
          <w:szCs w:val="22"/>
        </w:rPr>
        <w:t xml:space="preserve">Recomendación central: lanzar sobre Hotmart Club, integrado de forma nativa (sin backend) a la web actual mediante un checkout embebido. Hotmart cubre de forma nativa el goteo de contenido semanal, la segmentación por cohortes, las transmisiones en vivo y el cobro recurrente con métodos de pago locales. El rol del equipo técnico y de diseño se concentra en la configuración, la experiencia de compra integrada a la marca y el mantenimiento del sitio — no en sostener infraestructura.</w:t>
      </w:r>
    </w:p>
    <w:p>
      <w:pPr>
        <w:pStyle w:val="Heading1"/>
        <w:pBdr>
          <w:bottom w:val="single" w:color="B08D57" w:sz="6" w:space="4"/>
        </w:pBdr>
        <w:spacing w:after="160" w:before="360"/>
      </w:pPr>
      <w:r>
        <w:rPr>
          <w:rFonts w:ascii="Calibri" w:cs="Calibri" w:eastAsia="Calibri" w:hAnsi="Calibri"/>
          <w:b/>
          <w:bCs/>
          <w:color w:val="23324A"/>
          <w:sz w:val="30"/>
          <w:szCs w:val="30"/>
        </w:rPr>
        <w:t xml:space="preserve">2. Diagnóstico y objetivo del proyecto</w:t>
      </w:r>
    </w:p>
    <w:p>
      <w:pPr>
        <w:pStyle w:val="Heading2"/>
        <w:spacing w:after="120" w:before="260"/>
      </w:pPr>
      <w:r>
        <w:rPr>
          <w:rFonts w:ascii="Calibri" w:cs="Calibri" w:eastAsia="Calibri" w:hAnsi="Calibri"/>
          <w:b/>
          <w:bCs/>
          <w:color w:val="23324A"/>
          <w:sz w:val="24"/>
          <w:szCs w:val="24"/>
        </w:rPr>
        <w:t xml:space="preserve">2.1 Qué necesita el producto</w:t>
      </w:r>
    </w:p>
    <w:p>
      <w:pPr>
        <w:pStyle w:val="ListParagraph"/>
        <w:numPr>
          <w:ilvl w:val="0"/>
          <w:numId w:val="2"/>
        </w:numPr>
        <w:spacing w:after="90" w:line="276"/>
      </w:pPr>
      <w:r>
        <w:rPr>
          <w:rFonts w:ascii="Calibri" w:cs="Calibri" w:eastAsia="Calibri" w:hAnsi="Calibri"/>
          <w:color w:val="1A1A1A"/>
          <w:sz w:val="22"/>
          <w:szCs w:val="22"/>
        </w:rPr>
        <w:t xml:space="preserve">Membresía por suscripción de 9 meses, con posibilidad de que la alumna se sume en cualquier mes.</w:t>
      </w:r>
    </w:p>
    <w:p>
      <w:pPr>
        <w:pStyle w:val="ListParagraph"/>
        <w:numPr>
          <w:ilvl w:val="0"/>
          <w:numId w:val="2"/>
        </w:numPr>
        <w:spacing w:after="90" w:line="276"/>
      </w:pPr>
      <w:r>
        <w:rPr>
          <w:rFonts w:ascii="Calibri" w:cs="Calibri" w:eastAsia="Calibri" w:hAnsi="Calibri"/>
          <w:color w:val="1A1A1A"/>
          <w:sz w:val="22"/>
          <w:szCs w:val="22"/>
        </w:rPr>
        <w:t xml:space="preserve">Una píldora en video semanal, con su actividad correspondiente, entregada de forma progresiva (no todo el contenido disponible de una vez).</w:t>
      </w:r>
    </w:p>
    <w:p>
      <w:pPr>
        <w:pStyle w:val="ListParagraph"/>
        <w:numPr>
          <w:ilvl w:val="0"/>
          <w:numId w:val="2"/>
        </w:numPr>
        <w:spacing w:after="90" w:line="276"/>
      </w:pPr>
      <w:r>
        <w:rPr>
          <w:rFonts w:ascii="Calibri" w:cs="Calibri" w:eastAsia="Calibri" w:hAnsi="Calibri"/>
          <w:color w:val="1A1A1A"/>
          <w:sz w:val="22"/>
          <w:szCs w:val="22"/>
        </w:rPr>
        <w:t xml:space="preserve">Un encuentro en vivo grupal en la semana 4 de cada mes, donde las alumnas de ese período comparten en qué estuvieron trabajando.</w:t>
      </w:r>
    </w:p>
    <w:p>
      <w:pPr>
        <w:pStyle w:val="ListParagraph"/>
        <w:numPr>
          <w:ilvl w:val="0"/>
          <w:numId w:val="2"/>
        </w:numPr>
        <w:spacing w:after="90" w:line="276"/>
      </w:pPr>
      <w:r>
        <w:rPr>
          <w:rFonts w:ascii="Calibri" w:cs="Calibri" w:eastAsia="Calibri" w:hAnsi="Calibri"/>
          <w:color w:val="1A1A1A"/>
          <w:sz w:val="22"/>
          <w:szCs w:val="22"/>
        </w:rPr>
        <w:t xml:space="preserve">Contenido de los primeros 3 meses ya producido; el resto se completa sobre la marcha.</w:t>
      </w:r>
    </w:p>
    <w:p>
      <w:pPr>
        <w:pStyle w:val="Heading2"/>
        <w:spacing w:after="120" w:before="260"/>
      </w:pPr>
      <w:r>
        <w:rPr>
          <w:rFonts w:ascii="Calibri" w:cs="Calibri" w:eastAsia="Calibri" w:hAnsi="Calibri"/>
          <w:b/>
          <w:bCs/>
          <w:color w:val="23324A"/>
          <w:sz w:val="24"/>
          <w:szCs w:val="24"/>
        </w:rPr>
        <w:t xml:space="preserve">2.2 Restricciones del proyecto</w:t>
      </w:r>
    </w:p>
    <w:p>
      <w:pPr>
        <w:pStyle w:val="ListParagraph"/>
        <w:numPr>
          <w:ilvl w:val="0"/>
          <w:numId w:val="2"/>
        </w:numPr>
        <w:spacing w:after="90" w:line="276"/>
      </w:pPr>
      <w:r>
        <w:rPr>
          <w:rFonts w:ascii="Calibri" w:cs="Calibri" w:eastAsia="Calibri" w:hAnsi="Calibri"/>
          <w:color w:val="1A1A1A"/>
          <w:sz w:val="22"/>
          <w:szCs w:val="22"/>
        </w:rPr>
        <w:t xml:space="preserve">Hosting compartido (Hostinger) sin soporte de backend.</w:t>
      </w:r>
    </w:p>
    <w:p>
      <w:pPr>
        <w:pStyle w:val="ListParagraph"/>
        <w:numPr>
          <w:ilvl w:val="0"/>
          <w:numId w:val="2"/>
        </w:numPr>
        <w:spacing w:after="90" w:line="276"/>
      </w:pPr>
      <w:r>
        <w:rPr>
          <w:rFonts w:ascii="Calibri" w:cs="Calibri" w:eastAsia="Calibri" w:hAnsi="Calibri"/>
          <w:color w:val="1A1A1A"/>
          <w:sz w:val="22"/>
          <w:szCs w:val="22"/>
        </w:rPr>
        <w:t xml:space="preserve">El equipo de desarrollo necesita reducir la carga de trabajo en infraestructura para poder enfocarse en redes y contenido.</w:t>
      </w:r>
    </w:p>
    <w:p>
      <w:pPr>
        <w:pStyle w:val="ListParagraph"/>
        <w:numPr>
          <w:ilvl w:val="0"/>
          <w:numId w:val="2"/>
        </w:numPr>
        <w:spacing w:after="90" w:line="276"/>
      </w:pPr>
      <w:r>
        <w:rPr>
          <w:rFonts w:ascii="Calibri" w:cs="Calibri" w:eastAsia="Calibri" w:hAnsi="Calibri"/>
          <w:color w:val="1A1A1A"/>
          <w:sz w:val="22"/>
          <w:szCs w:val="22"/>
        </w:rPr>
        <w:t xml:space="preserve">La clienta está en etapa de lanzamiento: los costos fijos mensuales altos (SaaS de plataformas de cursos premium) son un riesgo antes de validar demanda.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08D57" w:sz="4"/>
              <w:left w:val="single" w:color="B08D57" w:sz="4"/>
              <w:bottom w:val="single" w:color="B08D57" w:sz="4"/>
              <w:right w:val="single" w:color="B08D57" w:sz="4"/>
            </w:tcBorders>
            <w:shd w:fill="F4F1EC" w:val="clear"/>
            <w:tcMar>
              <w:top w:type="dxa" w:w="160"/>
              <w:left w:type="dxa" w:w="200"/>
              <w:bottom w:type="dxa" w:w="160"/>
              <w:right w:type="dxa" w:w="200"/>
            </w:tcMar>
          </w:tcPr>
          <w:p>
            <w:pPr>
              <w:spacing w:after="80"/>
            </w:pPr>
            <w:r>
              <w:rPr>
                <w:rFonts w:ascii="Calibri" w:cs="Calibri" w:eastAsia="Calibri" w:hAnsi="Calibri"/>
                <w:b/>
                <w:bCs/>
                <w:color w:val="23324A"/>
                <w:sz w:val="22"/>
                <w:szCs w:val="22"/>
              </w:rPr>
              <w:t xml:space="preserve">Conclusión del diagnóstico</w:t>
            </w:r>
          </w:p>
          <w:p>
            <w:pPr>
              <w:spacing w:after="0" w:line="276"/>
            </w:pPr>
            <w:r>
              <w:rPr>
                <w:rFonts w:ascii="Calibri" w:cs="Calibri" w:eastAsia="Calibri" w:hAnsi="Calibri"/>
                <w:color w:val="1A1A1A"/>
                <w:sz w:val="21"/>
                <w:szCs w:val="21"/>
              </w:rPr>
              <w:t xml:space="preserve">No conviene construir una academia a medida en esta etapa. Conviene una plataforma ya construida que resuelva goteo de contenido, cohortes, pagos recurrentes y vivos — y reservar el desarrollo a medida para una fase futura, si el volumen lo justifica.</w:t>
            </w:r>
          </w:p>
        </w:tc>
      </w:tr>
    </w:tbl>
    <w:p>
      <w:pPr>
        <w:pStyle w:val="Heading1"/>
        <w:pBdr>
          <w:bottom w:val="single" w:color="B08D57" w:sz="6" w:space="4"/>
        </w:pBdr>
        <w:spacing w:after="160" w:before="360"/>
      </w:pPr>
      <w:r>
        <w:rPr>
          <w:rFonts w:ascii="Calibri" w:cs="Calibri" w:eastAsia="Calibri" w:hAnsi="Calibri"/>
          <w:b/>
          <w:bCs/>
          <w:color w:val="23324A"/>
          <w:sz w:val="30"/>
          <w:szCs w:val="30"/>
        </w:rPr>
        <w:t xml:space="preserve">3. Decisión de producto: cómo resolver el ingreso “en cualquier momento”</w:t>
      </w:r>
    </w:p>
    <w:p>
      <w:pPr>
        <w:spacing w:after="160" w:line="288"/>
      </w:pPr>
      <w:r>
        <w:rPr>
          <w:rFonts w:ascii="Calibri" w:cs="Calibri" w:eastAsia="Calibri" w:hAnsi="Calibri"/>
          <w:color w:val="1A1A1A"/>
          <w:sz w:val="22"/>
          <w:szCs w:val="22"/>
        </w:rPr>
        <w:t xml:space="preserve">El encuentro en vivo de la semana 4 necesita un grupo de alumnas sincronizadas. Si el ingreso fuera literalmente en cualquier día del año, nunca existiría un grupo limpio para ese vivo. La solución recomendada es convertir “empezá cuando quieras” en “empezá el primer día de cada mes”: intake mensual por cohortes.</w:t>
      </w:r>
    </w:p>
    <w:p>
      <w:pPr>
        <w:spacing w:after="160" w:line="288"/>
      </w:pPr>
      <w:r>
        <w:rPr>
          <w:rFonts w:ascii="Calibri" w:cs="Calibri" w:eastAsia="Calibri" w:hAnsi="Calibri"/>
          <w:color w:val="1A1A1A"/>
          <w:sz w:val="22"/>
          <w:szCs w:val="22"/>
        </w:rPr>
        <w:t xml:space="preserve">Cada alumna que se inscribe en un mes determinado queda agrupada con quienes se inscribieron ese mismo mes. Su semana 4 (y su vivo grupal) cae siempre en la misma fecha para todo ese grupo. La experiencia sigue siendo flexible — nunca se espera más de unas semanas para arrancar — pero el operativo queda ordenado y sostenible.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50"/>
      </w:tblGrid>
      <w:tr>
        <w:trPr>
          <w:tblHeader/>
        </w:trPr>
        <w:tc>
          <w:tcPr>
            <w:tcW w:type="dxa" w:w="3200"/>
            <w:shd w:fill="23324A" w:val="clear"/>
            <w:tcMar>
              <w:top w:type="dxa" w:w="100"/>
              <w:left w:type="dxa" w:w="120"/>
              <w:bottom w:type="dxa" w:w="100"/>
              <w:right w:type="dxa" w:w="120"/>
            </w:tcMar>
          </w:tcPr>
          <w:p>
            <w:r>
              <w:rPr>
                <w:rFonts w:ascii="Calibri" w:cs="Calibri" w:eastAsia="Calibri" w:hAnsi="Calibri"/>
                <w:b/>
                <w:bCs/>
                <w:color w:val="FFFFFF"/>
                <w:sz w:val="20"/>
                <w:szCs w:val="20"/>
              </w:rPr>
              <w:t xml:space="preserve">Mes de ingreso</w:t>
            </w:r>
          </w:p>
        </w:tc>
        <w:tc>
          <w:tcPr>
            <w:tcW w:type="dxa" w:w="3200"/>
            <w:shd w:fill="23324A" w:val="clear"/>
            <w:tcMar>
              <w:top w:type="dxa" w:w="100"/>
              <w:left w:type="dxa" w:w="120"/>
              <w:bottom w:type="dxa" w:w="100"/>
              <w:right w:type="dxa" w:w="120"/>
            </w:tcMar>
          </w:tcPr>
          <w:p>
            <w:r>
              <w:rPr>
                <w:rFonts w:ascii="Calibri" w:cs="Calibri" w:eastAsia="Calibri" w:hAnsi="Calibri"/>
                <w:b/>
                <w:bCs/>
                <w:color w:val="FFFFFF"/>
                <w:sz w:val="20"/>
                <w:szCs w:val="20"/>
              </w:rPr>
              <w:t xml:space="preserve">Grupo / cohorte</w:t>
            </w:r>
          </w:p>
        </w:tc>
        <w:tc>
          <w:tcPr>
            <w:tcW w:type="dxa" w:w="2950"/>
            <w:shd w:fill="23324A" w:val="clear"/>
            <w:tcMar>
              <w:top w:type="dxa" w:w="100"/>
              <w:left w:type="dxa" w:w="120"/>
              <w:bottom w:type="dxa" w:w="100"/>
              <w:right w:type="dxa" w:w="120"/>
            </w:tcMar>
          </w:tcPr>
          <w:p>
            <w:r>
              <w:rPr>
                <w:rFonts w:ascii="Calibri" w:cs="Calibri" w:eastAsia="Calibri" w:hAnsi="Calibri"/>
                <w:b/>
                <w:bCs/>
                <w:color w:val="FFFFFF"/>
                <w:sz w:val="20"/>
                <w:szCs w:val="20"/>
              </w:rPr>
              <w:t xml:space="preserve">Semana 4 (vivo grupal)</w:t>
            </w:r>
          </w:p>
        </w:tc>
      </w:tr>
      <w:tr>
        <w:tc>
          <w:tcPr>
            <w:tcW w:type="dxa" w:w="3200"/>
            <w:shd w:fill="FFFFFF" w:val="clear"/>
            <w:tcMar>
              <w:top w:type="dxa" w:w="90"/>
              <w:left w:type="dxa" w:w="120"/>
              <w:bottom w:type="dxa" w:w="90"/>
              <w:right w:type="dxa" w:w="120"/>
            </w:tcMar>
          </w:tcPr>
          <w:p>
            <w:r>
              <w:rPr>
                <w:rFonts w:ascii="Calibri" w:cs="Calibri" w:eastAsia="Calibri" w:hAnsi="Calibri"/>
                <w:color w:val="1A1A1A"/>
                <w:sz w:val="20"/>
                <w:szCs w:val="20"/>
              </w:rPr>
              <w:t xml:space="preserve">Agosto 2026</w:t>
            </w:r>
          </w:p>
        </w:tc>
        <w:tc>
          <w:tcPr>
            <w:tcW w:type="dxa" w:w="3200"/>
            <w:shd w:fill="FFFFFF" w:val="clear"/>
            <w:tcMar>
              <w:top w:type="dxa" w:w="90"/>
              <w:left w:type="dxa" w:w="120"/>
              <w:bottom w:type="dxa" w:w="90"/>
              <w:right w:type="dxa" w:w="120"/>
            </w:tcMar>
          </w:tcPr>
          <w:p>
            <w:r>
              <w:rPr>
                <w:rFonts w:ascii="Calibri" w:cs="Calibri" w:eastAsia="Calibri" w:hAnsi="Calibri"/>
                <w:color w:val="1A1A1A"/>
                <w:sz w:val="20"/>
                <w:szCs w:val="20"/>
              </w:rPr>
              <w:t xml:space="preserve">Cohorte Agosto</w:t>
            </w:r>
          </w:p>
        </w:tc>
        <w:tc>
          <w:tcPr>
            <w:tcW w:type="dxa" w:w="2950"/>
            <w:shd w:fill="FFFFFF" w:val="clear"/>
            <w:tcMar>
              <w:top w:type="dxa" w:w="90"/>
              <w:left w:type="dxa" w:w="120"/>
              <w:bottom w:type="dxa" w:w="90"/>
              <w:right w:type="dxa" w:w="120"/>
            </w:tcMar>
          </w:tcPr>
          <w:p>
            <w:r>
              <w:rPr>
                <w:rFonts w:ascii="Calibri" w:cs="Calibri" w:eastAsia="Calibri" w:hAnsi="Calibri"/>
                <w:color w:val="1A1A1A"/>
                <w:sz w:val="20"/>
                <w:szCs w:val="20"/>
              </w:rPr>
              <w:t xml:space="preserve">Última semana de agosto</w:t>
            </w:r>
          </w:p>
        </w:tc>
      </w:tr>
      <w:tr>
        <w:tc>
          <w:tcPr>
            <w:tcW w:type="dxa" w:w="3200"/>
            <w:shd w:fill="F4F1EC" w:val="clear"/>
            <w:tcMar>
              <w:top w:type="dxa" w:w="90"/>
              <w:left w:type="dxa" w:w="120"/>
              <w:bottom w:type="dxa" w:w="90"/>
              <w:right w:type="dxa" w:w="120"/>
            </w:tcMar>
          </w:tcPr>
          <w:p>
            <w:r>
              <w:rPr>
                <w:rFonts w:ascii="Calibri" w:cs="Calibri" w:eastAsia="Calibri" w:hAnsi="Calibri"/>
                <w:color w:val="1A1A1A"/>
                <w:sz w:val="20"/>
                <w:szCs w:val="20"/>
              </w:rPr>
              <w:t xml:space="preserve">Septiembre 2026</w:t>
            </w:r>
          </w:p>
        </w:tc>
        <w:tc>
          <w:tcPr>
            <w:tcW w:type="dxa" w:w="3200"/>
            <w:shd w:fill="F4F1EC" w:val="clear"/>
            <w:tcMar>
              <w:top w:type="dxa" w:w="90"/>
              <w:left w:type="dxa" w:w="120"/>
              <w:bottom w:type="dxa" w:w="90"/>
              <w:right w:type="dxa" w:w="120"/>
            </w:tcMar>
          </w:tcPr>
          <w:p>
            <w:r>
              <w:rPr>
                <w:rFonts w:ascii="Calibri" w:cs="Calibri" w:eastAsia="Calibri" w:hAnsi="Calibri"/>
                <w:color w:val="1A1A1A"/>
                <w:sz w:val="20"/>
                <w:szCs w:val="20"/>
              </w:rPr>
              <w:t xml:space="preserve">Cohorte Septiembre</w:t>
            </w:r>
          </w:p>
        </w:tc>
        <w:tc>
          <w:tcPr>
            <w:tcW w:type="dxa" w:w="2950"/>
            <w:shd w:fill="F4F1EC" w:val="clear"/>
            <w:tcMar>
              <w:top w:type="dxa" w:w="90"/>
              <w:left w:type="dxa" w:w="120"/>
              <w:bottom w:type="dxa" w:w="90"/>
              <w:right w:type="dxa" w:w="120"/>
            </w:tcMar>
          </w:tcPr>
          <w:p>
            <w:r>
              <w:rPr>
                <w:rFonts w:ascii="Calibri" w:cs="Calibri" w:eastAsia="Calibri" w:hAnsi="Calibri"/>
                <w:color w:val="1A1A1A"/>
                <w:sz w:val="20"/>
                <w:szCs w:val="20"/>
              </w:rPr>
              <w:t xml:space="preserve">Última semana de septiembre</w:t>
            </w:r>
          </w:p>
        </w:tc>
      </w:tr>
      <w:tr>
        <w:tc>
          <w:tcPr>
            <w:tcW w:type="dxa" w:w="3200"/>
            <w:shd w:fill="FFFFFF" w:val="clear"/>
            <w:tcMar>
              <w:top w:type="dxa" w:w="90"/>
              <w:left w:type="dxa" w:w="120"/>
              <w:bottom w:type="dxa" w:w="90"/>
              <w:right w:type="dxa" w:w="120"/>
            </w:tcMar>
          </w:tcPr>
          <w:p>
            <w:r>
              <w:rPr>
                <w:rFonts w:ascii="Calibri" w:cs="Calibri" w:eastAsia="Calibri" w:hAnsi="Calibri"/>
                <w:color w:val="1A1A1A"/>
                <w:sz w:val="20"/>
                <w:szCs w:val="20"/>
              </w:rPr>
              <w:t xml:space="preserve">Octubre 2026</w:t>
            </w:r>
          </w:p>
        </w:tc>
        <w:tc>
          <w:tcPr>
            <w:tcW w:type="dxa" w:w="3200"/>
            <w:shd w:fill="FFFFFF" w:val="clear"/>
            <w:tcMar>
              <w:top w:type="dxa" w:w="90"/>
              <w:left w:type="dxa" w:w="120"/>
              <w:bottom w:type="dxa" w:w="90"/>
              <w:right w:type="dxa" w:w="120"/>
            </w:tcMar>
          </w:tcPr>
          <w:p>
            <w:r>
              <w:rPr>
                <w:rFonts w:ascii="Calibri" w:cs="Calibri" w:eastAsia="Calibri" w:hAnsi="Calibri"/>
                <w:color w:val="1A1A1A"/>
                <w:sz w:val="20"/>
                <w:szCs w:val="20"/>
              </w:rPr>
              <w:t xml:space="preserve">Cohorte Octubre</w:t>
            </w:r>
          </w:p>
        </w:tc>
        <w:tc>
          <w:tcPr>
            <w:tcW w:type="dxa" w:w="2950"/>
            <w:shd w:fill="FFFFFF" w:val="clear"/>
            <w:tcMar>
              <w:top w:type="dxa" w:w="90"/>
              <w:left w:type="dxa" w:w="120"/>
              <w:bottom w:type="dxa" w:w="90"/>
              <w:right w:type="dxa" w:w="120"/>
            </w:tcMar>
          </w:tcPr>
          <w:p>
            <w:r>
              <w:rPr>
                <w:rFonts w:ascii="Calibri" w:cs="Calibri" w:eastAsia="Calibri" w:hAnsi="Calibri"/>
                <w:color w:val="1A1A1A"/>
                <w:sz w:val="20"/>
                <w:szCs w:val="20"/>
              </w:rPr>
              <w:t xml:space="preserve">Última semana de octubre</w:t>
            </w:r>
          </w:p>
        </w:tc>
      </w:tr>
    </w:tbl>
    <w:p>
      <w:pPr>
        <w:spacing w:after="160" w:line="288"/>
      </w:pPr>
      <w:r>
        <w:rPr>
          <w:rFonts w:ascii="Calibri" w:cs="Calibri" w:eastAsia="Calibri" w:hAnsi="Calibri"/>
          <w:color w:val="1A1A1A"/>
          <w:sz w:val="22"/>
          <w:szCs w:val="22"/>
        </w:rPr>
        <w:t xml:space="preserve">Este esquema se implementa en Hotmart Club mediante la función de “Grupos”: cada cohorte mensual es un grupo con su propio calendario de goteo y su propio vivo programado, dentro del mismo producto/membresía.</w:t>
      </w:r>
    </w:p>
    <w:p>
      <w:pPr>
        <w:pStyle w:val="Heading1"/>
        <w:pBdr>
          <w:bottom w:val="single" w:color="B08D57" w:sz="6" w:space="4"/>
        </w:pBdr>
        <w:spacing w:after="160" w:before="360"/>
      </w:pPr>
      <w:r>
        <w:rPr>
          <w:rFonts w:ascii="Calibri" w:cs="Calibri" w:eastAsia="Calibri" w:hAnsi="Calibri"/>
          <w:b/>
          <w:bCs/>
          <w:color w:val="23324A"/>
          <w:sz w:val="30"/>
          <w:szCs w:val="30"/>
        </w:rPr>
        <w:t xml:space="preserve">4. Arquitectura tecnológica recomendada</w:t>
      </w:r>
    </w:p>
    <w:p>
      <w:pPr>
        <w:pStyle w:val="Heading2"/>
        <w:spacing w:after="120" w:before="260"/>
      </w:pPr>
      <w:r>
        <w:rPr>
          <w:rFonts w:ascii="Calibri" w:cs="Calibri" w:eastAsia="Calibri" w:hAnsi="Calibri"/>
          <w:b/>
          <w:bCs/>
          <w:color w:val="23324A"/>
          <w:sz w:val="24"/>
          <w:szCs w:val="24"/>
        </w:rPr>
        <w:t xml:space="preserve">4.1 Los dos componentes</w:t>
      </w:r>
    </w:p>
    <w:p>
      <w:pPr>
        <w:pStyle w:val="ListParagraph"/>
        <w:numPr>
          <w:ilvl w:val="0"/>
          <w:numId w:val="2"/>
        </w:numPr>
        <w:spacing w:after="90" w:line="276"/>
      </w:pPr>
      <w:r>
        <w:rPr>
          <w:rFonts w:ascii="Calibri" w:cs="Calibri" w:eastAsia="Calibri" w:hAnsi="Calibri"/>
          <w:color w:val="1A1A1A"/>
          <w:sz w:val="22"/>
          <w:szCs w:val="22"/>
        </w:rPr>
        <w:t xml:space="preserve">Sitio web actual (Hostinger): sigue siendo la cara pública de la marca — landing, historia, identidad visual, blog, contacto. No cambia su hosting ni necesita backend nuevo.</w:t>
      </w:r>
    </w:p>
    <w:p>
      <w:pPr>
        <w:pStyle w:val="ListParagraph"/>
        <w:numPr>
          <w:ilvl w:val="0"/>
          <w:numId w:val="2"/>
        </w:numPr>
        <w:spacing w:after="90" w:line="276"/>
      </w:pPr>
      <w:r>
        <w:rPr>
          <w:rFonts w:ascii="Calibri" w:cs="Calibri" w:eastAsia="Calibri" w:hAnsi="Calibri"/>
          <w:color w:val="1A1A1A"/>
          <w:sz w:val="22"/>
          <w:szCs w:val="22"/>
        </w:rPr>
        <w:t xml:space="preserve">Hotmart Club: motor de la academia — pagos recurrentes, área de miembros, contenido en goteo, cohortes/grupos, transmisiones en vivo y gestión de alumnas.</w:t>
      </w:r>
    </w:p>
    <w:p>
      <w:pPr>
        <w:pStyle w:val="Heading2"/>
        <w:spacing w:after="120" w:before="260"/>
      </w:pPr>
      <w:r>
        <w:rPr>
          <w:rFonts w:ascii="Calibri" w:cs="Calibri" w:eastAsia="Calibri" w:hAnsi="Calibri"/>
          <w:b/>
          <w:bCs/>
          <w:color w:val="23324A"/>
          <w:sz w:val="24"/>
          <w:szCs w:val="24"/>
        </w:rPr>
        <w:t xml:space="preserve">4.2 Cómo se conectan sin backend</w:t>
      </w:r>
    </w:p>
    <w:p>
      <w:pPr>
        <w:spacing w:after="160" w:line="288"/>
      </w:pPr>
      <w:r>
        <w:rPr>
          <w:rFonts w:ascii="Calibri" w:cs="Calibri" w:eastAsia="Calibri" w:hAnsi="Calibri"/>
          <w:color w:val="1A1A1A"/>
          <w:sz w:val="22"/>
          <w:szCs w:val="22"/>
        </w:rPr>
        <w:t xml:space="preserve">La conexión se resuelve con el widget de checkout embebido de Hotmart: un script que se inserta en la página de ventas del sitio actual y abre el pago en un pop-up, sin redirigir a la alumna fuera de la web. No requiere servidor propio ni base de datos — es un fragmento de JavaScript y un enlace (HotLink) configurados desde el panel de Hotmart.</w:t>
      </w:r>
    </w:p>
    <w:p>
      <w:pPr>
        <w:spacing w:after="160" w:line="288"/>
      </w:pPr>
      <w:r>
        <w:rPr>
          <w:rFonts w:ascii="Calibri" w:cs="Calibri" w:eastAsia="Calibri" w:hAnsi="Calibri"/>
          <w:color w:val="1A1A1A"/>
          <w:sz w:val="22"/>
          <w:szCs w:val="22"/>
        </w:rPr>
        <w:t xml:space="preserve">Alternativa aún más simple, si se prefiere minimizar la integración visual: un botón en el sitio que lleva directo a la página de pago de Hotmart. Es menos “invisible” para la usuaria, pero de cero riesgo técnico.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08D57" w:sz="4"/>
              <w:left w:val="single" w:color="B08D57" w:sz="4"/>
              <w:bottom w:val="single" w:color="B08D57" w:sz="4"/>
              <w:right w:val="single" w:color="B08D57" w:sz="4"/>
            </w:tcBorders>
            <w:shd w:fill="F4F1EC" w:val="clear"/>
            <w:tcMar>
              <w:top w:type="dxa" w:w="160"/>
              <w:left w:type="dxa" w:w="200"/>
              <w:bottom w:type="dxa" w:w="160"/>
              <w:right w:type="dxa" w:w="200"/>
            </w:tcMar>
          </w:tcPr>
          <w:p>
            <w:pPr>
              <w:spacing w:after="80"/>
            </w:pPr>
            <w:r>
              <w:rPr>
                <w:rFonts w:ascii="Calibri" w:cs="Calibri" w:eastAsia="Calibri" w:hAnsi="Calibri"/>
                <w:b/>
                <w:bCs/>
                <w:color w:val="23324A"/>
                <w:sz w:val="22"/>
                <w:szCs w:val="22"/>
              </w:rPr>
              <w:t xml:space="preserve">Por qué esto resuelve la restricción de Hostinger</w:t>
            </w:r>
          </w:p>
          <w:p>
            <w:pPr>
              <w:spacing w:after="0" w:line="276"/>
            </w:pPr>
            <w:r>
              <w:rPr>
                <w:rFonts w:ascii="Calibri" w:cs="Calibri" w:eastAsia="Calibri" w:hAnsi="Calibri"/>
                <w:color w:val="1A1A1A"/>
                <w:sz w:val="21"/>
                <w:szCs w:val="21"/>
              </w:rPr>
              <w:t xml:space="preserve">Ni el goteo de contenido, ni los pagos recurrentes, ni el área de miembros, ni los vivos requieren backend propio: todo corre del lado de Hotmart. El sitio en Hostinger solo necesita alojar un script de checkout.</w:t>
            </w:r>
          </w:p>
        </w:tc>
      </w:tr>
    </w:tbl>
    <w:p>
      <w:pPr>
        <w:pStyle w:val="Heading2"/>
        <w:spacing w:after="120" w:before="260"/>
      </w:pPr>
      <w:r>
        <w:rPr>
          <w:rFonts w:ascii="Calibri" w:cs="Calibri" w:eastAsia="Calibri" w:hAnsi="Calibri"/>
          <w:b/>
          <w:bCs/>
          <w:color w:val="23324A"/>
          <w:sz w:val="24"/>
          <w:szCs w:val="24"/>
        </w:rPr>
        <w:t xml:space="preserve">4.3 Por qué Hotmart y no otra plataforma</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950"/>
        <w:gridCol w:w="2400"/>
        <w:gridCol w:w="1650"/>
        <w:gridCol w:w="1500"/>
        <w:gridCol w:w="1350"/>
        <w:gridCol w:w="1500"/>
      </w:tblGrid>
      <w:tr>
        <w:trPr>
          <w:tblHeader/>
        </w:trPr>
        <w:tc>
          <w:tcPr>
            <w:tcW w:type="dxa" w:w="1950"/>
            <w:shd w:fill="23324A" w:val="clear"/>
            <w:tcMar>
              <w:top w:type="dxa" w:w="100"/>
              <w:left w:type="dxa" w:w="120"/>
              <w:bottom w:type="dxa" w:w="100"/>
              <w:right w:type="dxa" w:w="120"/>
            </w:tcMar>
          </w:tcPr>
          <w:p>
            <w:r>
              <w:rPr>
                <w:rFonts w:ascii="Calibri" w:cs="Calibri" w:eastAsia="Calibri" w:hAnsi="Calibri"/>
                <w:b/>
                <w:bCs/>
                <w:color w:val="FFFFFF"/>
                <w:sz w:val="20"/>
                <w:szCs w:val="20"/>
              </w:rPr>
              <w:t xml:space="preserve">Plataforma</w:t>
            </w:r>
          </w:p>
        </w:tc>
        <w:tc>
          <w:tcPr>
            <w:tcW w:type="dxa" w:w="2400"/>
            <w:shd w:fill="23324A" w:val="clear"/>
            <w:tcMar>
              <w:top w:type="dxa" w:w="100"/>
              <w:left w:type="dxa" w:w="120"/>
              <w:bottom w:type="dxa" w:w="100"/>
              <w:right w:type="dxa" w:w="120"/>
            </w:tcMar>
          </w:tcPr>
          <w:p>
            <w:r>
              <w:rPr>
                <w:rFonts w:ascii="Calibri" w:cs="Calibri" w:eastAsia="Calibri" w:hAnsi="Calibri"/>
                <w:b/>
                <w:bCs/>
                <w:color w:val="FFFFFF"/>
                <w:sz w:val="20"/>
                <w:szCs w:val="20"/>
              </w:rPr>
              <w:t xml:space="preserve">Costo</w:t>
            </w:r>
          </w:p>
        </w:tc>
        <w:tc>
          <w:tcPr>
            <w:tcW w:type="dxa" w:w="1650"/>
            <w:shd w:fill="23324A" w:val="clear"/>
            <w:tcMar>
              <w:top w:type="dxa" w:w="100"/>
              <w:left w:type="dxa" w:w="120"/>
              <w:bottom w:type="dxa" w:w="100"/>
              <w:right w:type="dxa" w:w="120"/>
            </w:tcMar>
          </w:tcPr>
          <w:p>
            <w:r>
              <w:rPr>
                <w:rFonts w:ascii="Calibri" w:cs="Calibri" w:eastAsia="Calibri" w:hAnsi="Calibri"/>
                <w:b/>
                <w:bCs/>
                <w:color w:val="FFFFFF"/>
                <w:sz w:val="20"/>
                <w:szCs w:val="20"/>
              </w:rPr>
              <w:t xml:space="preserve">Pagos LATAM</w:t>
            </w:r>
          </w:p>
        </w:tc>
        <w:tc>
          <w:tcPr>
            <w:tcW w:type="dxa" w:w="1500"/>
            <w:shd w:fill="23324A" w:val="clear"/>
            <w:tcMar>
              <w:top w:type="dxa" w:w="100"/>
              <w:left w:type="dxa" w:w="120"/>
              <w:bottom w:type="dxa" w:w="100"/>
              <w:right w:type="dxa" w:w="120"/>
            </w:tcMar>
          </w:tcPr>
          <w:p>
            <w:r>
              <w:rPr>
                <w:rFonts w:ascii="Calibri" w:cs="Calibri" w:eastAsia="Calibri" w:hAnsi="Calibri"/>
                <w:b/>
                <w:bCs/>
                <w:color w:val="FFFFFF"/>
                <w:sz w:val="20"/>
                <w:szCs w:val="20"/>
              </w:rPr>
              <w:t xml:space="preserve">Backend propio</w:t>
            </w:r>
          </w:p>
        </w:tc>
        <w:tc>
          <w:tcPr>
            <w:tcW w:type="dxa" w:w="1350"/>
            <w:shd w:fill="23324A" w:val="clear"/>
            <w:tcMar>
              <w:top w:type="dxa" w:w="100"/>
              <w:left w:type="dxa" w:w="120"/>
              <w:bottom w:type="dxa" w:w="100"/>
              <w:right w:type="dxa" w:w="120"/>
            </w:tcMar>
          </w:tcPr>
          <w:p>
            <w:r>
              <w:rPr>
                <w:rFonts w:ascii="Calibri" w:cs="Calibri" w:eastAsia="Calibri" w:hAnsi="Calibri"/>
                <w:b/>
                <w:bCs/>
                <w:color w:val="FFFFFF"/>
                <w:sz w:val="20"/>
                <w:szCs w:val="20"/>
              </w:rPr>
              <w:t xml:space="preserve">Goteo + cohortes</w:t>
            </w:r>
          </w:p>
        </w:tc>
        <w:tc>
          <w:tcPr>
            <w:tcW w:type="dxa" w:w="1500"/>
            <w:shd w:fill="23324A" w:val="clear"/>
            <w:tcMar>
              <w:top w:type="dxa" w:w="100"/>
              <w:left w:type="dxa" w:w="120"/>
              <w:bottom w:type="dxa" w:w="100"/>
              <w:right w:type="dxa" w:w="120"/>
            </w:tcMar>
          </w:tcPr>
          <w:p>
            <w:r>
              <w:rPr>
                <w:rFonts w:ascii="Calibri" w:cs="Calibri" w:eastAsia="Calibri" w:hAnsi="Calibri"/>
                <w:b/>
                <w:bCs/>
                <w:color w:val="FFFFFF"/>
                <w:sz w:val="20"/>
                <w:szCs w:val="20"/>
              </w:rPr>
              <w:t xml:space="preserve">Vivo nativo</w:t>
            </w:r>
          </w:p>
        </w:tc>
      </w:tr>
      <w:tr>
        <w:tc>
          <w:tcPr>
            <w:tcW w:type="dxa" w:w="1950"/>
            <w:shd w:fill="FFFFFF" w:val="clear"/>
            <w:tcMar>
              <w:top w:type="dxa" w:w="90"/>
              <w:left w:type="dxa" w:w="120"/>
              <w:bottom w:type="dxa" w:w="90"/>
              <w:right w:type="dxa" w:w="120"/>
            </w:tcMar>
          </w:tcPr>
          <w:p>
            <w:r>
              <w:rPr>
                <w:rFonts w:ascii="Calibri" w:cs="Calibri" w:eastAsia="Calibri" w:hAnsi="Calibri"/>
                <w:color w:val="1A1A1A"/>
                <w:sz w:val="20"/>
                <w:szCs w:val="20"/>
              </w:rPr>
              <w:t xml:space="preserve">Hotmart Club</w:t>
            </w:r>
          </w:p>
        </w:tc>
        <w:tc>
          <w:tcPr>
            <w:tcW w:type="dxa" w:w="2400"/>
            <w:shd w:fill="FFFFFF" w:val="clear"/>
            <w:tcMar>
              <w:top w:type="dxa" w:w="90"/>
              <w:left w:type="dxa" w:w="120"/>
              <w:bottom w:type="dxa" w:w="90"/>
              <w:right w:type="dxa" w:w="120"/>
            </w:tcMar>
          </w:tcPr>
          <w:p>
            <w:r>
              <w:rPr>
                <w:rFonts w:ascii="Calibri" w:cs="Calibri" w:eastAsia="Calibri" w:hAnsi="Calibri"/>
                <w:color w:val="1A1A1A"/>
                <w:sz w:val="20"/>
                <w:szCs w:val="20"/>
              </w:rPr>
              <w:t xml:space="preserve">9,9% + USD 0,50 por venta (sin fee mensual)</w:t>
            </w:r>
          </w:p>
        </w:tc>
        <w:tc>
          <w:tcPr>
            <w:tcW w:type="dxa" w:w="1650"/>
            <w:shd w:fill="FFFFFF" w:val="clear"/>
            <w:tcMar>
              <w:top w:type="dxa" w:w="90"/>
              <w:left w:type="dxa" w:w="120"/>
              <w:bottom w:type="dxa" w:w="90"/>
              <w:right w:type="dxa" w:w="120"/>
            </w:tcMar>
          </w:tcPr>
          <w:p>
            <w:r>
              <w:rPr>
                <w:rFonts w:ascii="Calibri" w:cs="Calibri" w:eastAsia="Calibri" w:hAnsi="Calibri"/>
                <w:color w:val="1A1A1A"/>
                <w:sz w:val="20"/>
                <w:szCs w:val="20"/>
              </w:rPr>
              <w:t xml:space="preserve">Sí (Mercado Pago y otros)</w:t>
            </w:r>
          </w:p>
        </w:tc>
        <w:tc>
          <w:tcPr>
            <w:tcW w:type="dxa" w:w="1500"/>
            <w:shd w:fill="FFFFFF" w:val="clear"/>
            <w:tcMar>
              <w:top w:type="dxa" w:w="90"/>
              <w:left w:type="dxa" w:w="120"/>
              <w:bottom w:type="dxa" w:w="90"/>
              <w:right w:type="dxa" w:w="120"/>
            </w:tcMar>
          </w:tcPr>
          <w:p>
            <w:r>
              <w:rPr>
                <w:rFonts w:ascii="Calibri" w:cs="Calibri" w:eastAsia="Calibri" w:hAnsi="Calibri"/>
                <w:color w:val="1A1A1A"/>
                <w:sz w:val="20"/>
                <w:szCs w:val="20"/>
              </w:rPr>
              <w:t xml:space="preserve">No</w:t>
            </w:r>
          </w:p>
        </w:tc>
        <w:tc>
          <w:tcPr>
            <w:tcW w:type="dxa" w:w="1350"/>
            <w:shd w:fill="FFFFFF" w:val="clear"/>
            <w:tcMar>
              <w:top w:type="dxa" w:w="90"/>
              <w:left w:type="dxa" w:w="120"/>
              <w:bottom w:type="dxa" w:w="90"/>
              <w:right w:type="dxa" w:w="120"/>
            </w:tcMar>
          </w:tcPr>
          <w:p>
            <w:r>
              <w:rPr>
                <w:rFonts w:ascii="Calibri" w:cs="Calibri" w:eastAsia="Calibri" w:hAnsi="Calibri"/>
                <w:color w:val="1A1A1A"/>
                <w:sz w:val="20"/>
                <w:szCs w:val="20"/>
              </w:rPr>
              <w:t xml:space="preserve">Sí (por grupo)</w:t>
            </w:r>
          </w:p>
        </w:tc>
        <w:tc>
          <w:tcPr>
            <w:tcW w:type="dxa" w:w="1500"/>
            <w:shd w:fill="FFFFFF" w:val="clear"/>
            <w:tcMar>
              <w:top w:type="dxa" w:w="90"/>
              <w:left w:type="dxa" w:w="120"/>
              <w:bottom w:type="dxa" w:w="90"/>
              <w:right w:type="dxa" w:w="120"/>
            </w:tcMar>
          </w:tcPr>
          <w:p>
            <w:r>
              <w:rPr>
                <w:rFonts w:ascii="Calibri" w:cs="Calibri" w:eastAsia="Calibri" w:hAnsi="Calibri"/>
                <w:color w:val="1A1A1A"/>
                <w:sz w:val="20"/>
                <w:szCs w:val="20"/>
              </w:rPr>
              <w:t xml:space="preserve">Sí</w:t>
            </w:r>
          </w:p>
        </w:tc>
      </w:tr>
      <w:tr>
        <w:tc>
          <w:tcPr>
            <w:tcW w:type="dxa" w:w="1950"/>
            <w:shd w:fill="F4F1EC" w:val="clear"/>
            <w:tcMar>
              <w:top w:type="dxa" w:w="90"/>
              <w:left w:type="dxa" w:w="120"/>
              <w:bottom w:type="dxa" w:w="90"/>
              <w:right w:type="dxa" w:w="120"/>
            </w:tcMar>
          </w:tcPr>
          <w:p>
            <w:r>
              <w:rPr>
                <w:rFonts w:ascii="Calibri" w:cs="Calibri" w:eastAsia="Calibri" w:hAnsi="Calibri"/>
                <w:color w:val="1A1A1A"/>
                <w:sz w:val="20"/>
                <w:szCs w:val="20"/>
              </w:rPr>
              <w:t xml:space="preserve">Kajabi</w:t>
            </w:r>
          </w:p>
        </w:tc>
        <w:tc>
          <w:tcPr>
            <w:tcW w:type="dxa" w:w="2400"/>
            <w:shd w:fill="F4F1EC" w:val="clear"/>
            <w:tcMar>
              <w:top w:type="dxa" w:w="90"/>
              <w:left w:type="dxa" w:w="120"/>
              <w:bottom w:type="dxa" w:w="90"/>
              <w:right w:type="dxa" w:w="120"/>
            </w:tcMar>
          </w:tcPr>
          <w:p>
            <w:r>
              <w:rPr>
                <w:rFonts w:ascii="Calibri" w:cs="Calibri" w:eastAsia="Calibri" w:hAnsi="Calibri"/>
                <w:color w:val="1A1A1A"/>
                <w:sz w:val="20"/>
                <w:szCs w:val="20"/>
              </w:rPr>
              <w:t xml:space="preserve">desde ~USD 149/mes</w:t>
            </w:r>
          </w:p>
        </w:tc>
        <w:tc>
          <w:tcPr>
            <w:tcW w:type="dxa" w:w="1650"/>
            <w:shd w:fill="F4F1EC" w:val="clear"/>
            <w:tcMar>
              <w:top w:type="dxa" w:w="90"/>
              <w:left w:type="dxa" w:w="120"/>
              <w:bottom w:type="dxa" w:w="90"/>
              <w:right w:type="dxa" w:w="120"/>
            </w:tcMar>
          </w:tcPr>
          <w:p>
            <w:r>
              <w:rPr>
                <w:rFonts w:ascii="Calibri" w:cs="Calibri" w:eastAsia="Calibri" w:hAnsi="Calibri"/>
                <w:color w:val="1A1A1A"/>
                <w:sz w:val="20"/>
                <w:szCs w:val="20"/>
              </w:rPr>
              <w:t xml:space="preserve">Limitado</w:t>
            </w:r>
          </w:p>
        </w:tc>
        <w:tc>
          <w:tcPr>
            <w:tcW w:type="dxa" w:w="1500"/>
            <w:shd w:fill="F4F1EC" w:val="clear"/>
            <w:tcMar>
              <w:top w:type="dxa" w:w="90"/>
              <w:left w:type="dxa" w:w="120"/>
              <w:bottom w:type="dxa" w:w="90"/>
              <w:right w:type="dxa" w:w="120"/>
            </w:tcMar>
          </w:tcPr>
          <w:p>
            <w:r>
              <w:rPr>
                <w:rFonts w:ascii="Calibri" w:cs="Calibri" w:eastAsia="Calibri" w:hAnsi="Calibri"/>
                <w:color w:val="1A1A1A"/>
                <w:sz w:val="20"/>
                <w:szCs w:val="20"/>
              </w:rPr>
              <w:t xml:space="preserve">No</w:t>
            </w:r>
          </w:p>
        </w:tc>
        <w:tc>
          <w:tcPr>
            <w:tcW w:type="dxa" w:w="1350"/>
            <w:shd w:fill="F4F1EC" w:val="clear"/>
            <w:tcMar>
              <w:top w:type="dxa" w:w="90"/>
              <w:left w:type="dxa" w:w="120"/>
              <w:bottom w:type="dxa" w:w="90"/>
              <w:right w:type="dxa" w:w="120"/>
            </w:tcMar>
          </w:tcPr>
          <w:p>
            <w:r>
              <w:rPr>
                <w:rFonts w:ascii="Calibri" w:cs="Calibri" w:eastAsia="Calibri" w:hAnsi="Calibri"/>
                <w:color w:val="1A1A1A"/>
                <w:sz w:val="20"/>
                <w:szCs w:val="20"/>
              </w:rPr>
              <w:t xml:space="preserve">Sí</w:t>
            </w:r>
          </w:p>
        </w:tc>
        <w:tc>
          <w:tcPr>
            <w:tcW w:type="dxa" w:w="1500"/>
            <w:shd w:fill="F4F1EC" w:val="clear"/>
            <w:tcMar>
              <w:top w:type="dxa" w:w="90"/>
              <w:left w:type="dxa" w:w="120"/>
              <w:bottom w:type="dxa" w:w="90"/>
              <w:right w:type="dxa" w:w="120"/>
            </w:tcMar>
          </w:tcPr>
          <w:p>
            <w:r>
              <w:rPr>
                <w:rFonts w:ascii="Calibri" w:cs="Calibri" w:eastAsia="Calibri" w:hAnsi="Calibri"/>
                <w:color w:val="1A1A1A"/>
                <w:sz w:val="20"/>
                <w:szCs w:val="20"/>
              </w:rPr>
              <w:t xml:space="preserve">Vía integraciones</w:t>
            </w:r>
          </w:p>
        </w:tc>
      </w:tr>
      <w:tr>
        <w:tc>
          <w:tcPr>
            <w:tcW w:type="dxa" w:w="1950"/>
            <w:shd w:fill="FFFFFF" w:val="clear"/>
            <w:tcMar>
              <w:top w:type="dxa" w:w="90"/>
              <w:left w:type="dxa" w:w="120"/>
              <w:bottom w:type="dxa" w:w="90"/>
              <w:right w:type="dxa" w:w="120"/>
            </w:tcMar>
          </w:tcPr>
          <w:p>
            <w:r>
              <w:rPr>
                <w:rFonts w:ascii="Calibri" w:cs="Calibri" w:eastAsia="Calibri" w:hAnsi="Calibri"/>
                <w:color w:val="1A1A1A"/>
                <w:sz w:val="20"/>
                <w:szCs w:val="20"/>
              </w:rPr>
              <w:t xml:space="preserve">Circle</w:t>
            </w:r>
          </w:p>
        </w:tc>
        <w:tc>
          <w:tcPr>
            <w:tcW w:type="dxa" w:w="2400"/>
            <w:shd w:fill="FFFFFF" w:val="clear"/>
            <w:tcMar>
              <w:top w:type="dxa" w:w="90"/>
              <w:left w:type="dxa" w:w="120"/>
              <w:bottom w:type="dxa" w:w="90"/>
              <w:right w:type="dxa" w:w="120"/>
            </w:tcMar>
          </w:tcPr>
          <w:p>
            <w:r>
              <w:rPr>
                <w:rFonts w:ascii="Calibri" w:cs="Calibri" w:eastAsia="Calibri" w:hAnsi="Calibri"/>
                <w:color w:val="1A1A1A"/>
                <w:sz w:val="20"/>
                <w:szCs w:val="20"/>
              </w:rPr>
              <w:t xml:space="preserve">desde ~USD 89/mes</w:t>
            </w:r>
          </w:p>
        </w:tc>
        <w:tc>
          <w:tcPr>
            <w:tcW w:type="dxa" w:w="1650"/>
            <w:shd w:fill="FFFFFF" w:val="clear"/>
            <w:tcMar>
              <w:top w:type="dxa" w:w="90"/>
              <w:left w:type="dxa" w:w="120"/>
              <w:bottom w:type="dxa" w:w="90"/>
              <w:right w:type="dxa" w:w="120"/>
            </w:tcMar>
          </w:tcPr>
          <w:p>
            <w:r>
              <w:rPr>
                <w:rFonts w:ascii="Calibri" w:cs="Calibri" w:eastAsia="Calibri" w:hAnsi="Calibri"/>
                <w:color w:val="1A1A1A"/>
                <w:sz w:val="20"/>
                <w:szCs w:val="20"/>
              </w:rPr>
              <w:t xml:space="preserve">Limitado</w:t>
            </w:r>
          </w:p>
        </w:tc>
        <w:tc>
          <w:tcPr>
            <w:tcW w:type="dxa" w:w="1500"/>
            <w:shd w:fill="FFFFFF" w:val="clear"/>
            <w:tcMar>
              <w:top w:type="dxa" w:w="90"/>
              <w:left w:type="dxa" w:w="120"/>
              <w:bottom w:type="dxa" w:w="90"/>
              <w:right w:type="dxa" w:w="120"/>
            </w:tcMar>
          </w:tcPr>
          <w:p>
            <w:r>
              <w:rPr>
                <w:rFonts w:ascii="Calibri" w:cs="Calibri" w:eastAsia="Calibri" w:hAnsi="Calibri"/>
                <w:color w:val="1A1A1A"/>
                <w:sz w:val="20"/>
                <w:szCs w:val="20"/>
              </w:rPr>
              <w:t xml:space="preserve">No</w:t>
            </w:r>
          </w:p>
        </w:tc>
        <w:tc>
          <w:tcPr>
            <w:tcW w:type="dxa" w:w="1350"/>
            <w:shd w:fill="FFFFFF" w:val="clear"/>
            <w:tcMar>
              <w:top w:type="dxa" w:w="90"/>
              <w:left w:type="dxa" w:w="120"/>
              <w:bottom w:type="dxa" w:w="90"/>
              <w:right w:type="dxa" w:w="120"/>
            </w:tcMar>
          </w:tcPr>
          <w:p>
            <w:r>
              <w:rPr>
                <w:rFonts w:ascii="Calibri" w:cs="Calibri" w:eastAsia="Calibri" w:hAnsi="Calibri"/>
                <w:color w:val="1A1A1A"/>
                <w:sz w:val="20"/>
                <w:szCs w:val="20"/>
              </w:rPr>
              <w:t xml:space="preserve">Parcial</w:t>
            </w:r>
          </w:p>
        </w:tc>
        <w:tc>
          <w:tcPr>
            <w:tcW w:type="dxa" w:w="1500"/>
            <w:shd w:fill="FFFFFF" w:val="clear"/>
            <w:tcMar>
              <w:top w:type="dxa" w:w="90"/>
              <w:left w:type="dxa" w:w="120"/>
              <w:bottom w:type="dxa" w:w="90"/>
              <w:right w:type="dxa" w:w="120"/>
            </w:tcMar>
          </w:tcPr>
          <w:p>
            <w:r>
              <w:rPr>
                <w:rFonts w:ascii="Calibri" w:cs="Calibri" w:eastAsia="Calibri" w:hAnsi="Calibri"/>
                <w:color w:val="1A1A1A"/>
                <w:sz w:val="20"/>
                <w:szCs w:val="20"/>
              </w:rPr>
              <w:t xml:space="preserve">Vía integraciones</w:t>
            </w:r>
          </w:p>
        </w:tc>
      </w:tr>
      <w:tr>
        <w:tc>
          <w:tcPr>
            <w:tcW w:type="dxa" w:w="1950"/>
            <w:shd w:fill="F4F1EC" w:val="clear"/>
            <w:tcMar>
              <w:top w:type="dxa" w:w="90"/>
              <w:left w:type="dxa" w:w="120"/>
              <w:bottom w:type="dxa" w:w="90"/>
              <w:right w:type="dxa" w:w="120"/>
            </w:tcMar>
          </w:tcPr>
          <w:p>
            <w:r>
              <w:rPr>
                <w:rFonts w:ascii="Calibri" w:cs="Calibri" w:eastAsia="Calibri" w:hAnsi="Calibri"/>
                <w:color w:val="1A1A1A"/>
                <w:sz w:val="20"/>
                <w:szCs w:val="20"/>
              </w:rPr>
              <w:t xml:space="preserve">Teachable / Thinkific</w:t>
            </w:r>
          </w:p>
        </w:tc>
        <w:tc>
          <w:tcPr>
            <w:tcW w:type="dxa" w:w="2400"/>
            <w:shd w:fill="F4F1EC" w:val="clear"/>
            <w:tcMar>
              <w:top w:type="dxa" w:w="90"/>
              <w:left w:type="dxa" w:w="120"/>
              <w:bottom w:type="dxa" w:w="90"/>
              <w:right w:type="dxa" w:w="120"/>
            </w:tcMar>
          </w:tcPr>
          <w:p>
            <w:r>
              <w:rPr>
                <w:rFonts w:ascii="Calibri" w:cs="Calibri" w:eastAsia="Calibri" w:hAnsi="Calibri"/>
                <w:color w:val="1A1A1A"/>
                <w:sz w:val="20"/>
                <w:szCs w:val="20"/>
              </w:rPr>
              <w:t xml:space="preserve">desde ~USD 40-99/mes</w:t>
            </w:r>
          </w:p>
        </w:tc>
        <w:tc>
          <w:tcPr>
            <w:tcW w:type="dxa" w:w="1650"/>
            <w:shd w:fill="F4F1EC" w:val="clear"/>
            <w:tcMar>
              <w:top w:type="dxa" w:w="90"/>
              <w:left w:type="dxa" w:w="120"/>
              <w:bottom w:type="dxa" w:w="90"/>
              <w:right w:type="dxa" w:w="120"/>
            </w:tcMar>
          </w:tcPr>
          <w:p>
            <w:r>
              <w:rPr>
                <w:rFonts w:ascii="Calibri" w:cs="Calibri" w:eastAsia="Calibri" w:hAnsi="Calibri"/>
                <w:color w:val="1A1A1A"/>
                <w:sz w:val="20"/>
                <w:szCs w:val="20"/>
              </w:rPr>
              <w:t xml:space="preserve">Limitado</w:t>
            </w:r>
          </w:p>
        </w:tc>
        <w:tc>
          <w:tcPr>
            <w:tcW w:type="dxa" w:w="1500"/>
            <w:shd w:fill="F4F1EC" w:val="clear"/>
            <w:tcMar>
              <w:top w:type="dxa" w:w="90"/>
              <w:left w:type="dxa" w:w="120"/>
              <w:bottom w:type="dxa" w:w="90"/>
              <w:right w:type="dxa" w:w="120"/>
            </w:tcMar>
          </w:tcPr>
          <w:p>
            <w:r>
              <w:rPr>
                <w:rFonts w:ascii="Calibri" w:cs="Calibri" w:eastAsia="Calibri" w:hAnsi="Calibri"/>
                <w:color w:val="1A1A1A"/>
                <w:sz w:val="20"/>
                <w:szCs w:val="20"/>
              </w:rPr>
              <w:t xml:space="preserve">No</w:t>
            </w:r>
          </w:p>
        </w:tc>
        <w:tc>
          <w:tcPr>
            <w:tcW w:type="dxa" w:w="1350"/>
            <w:shd w:fill="F4F1EC" w:val="clear"/>
            <w:tcMar>
              <w:top w:type="dxa" w:w="90"/>
              <w:left w:type="dxa" w:w="120"/>
              <w:bottom w:type="dxa" w:w="90"/>
              <w:right w:type="dxa" w:w="120"/>
            </w:tcMar>
          </w:tcPr>
          <w:p>
            <w:r>
              <w:rPr>
                <w:rFonts w:ascii="Calibri" w:cs="Calibri" w:eastAsia="Calibri" w:hAnsi="Calibri"/>
                <w:color w:val="1A1A1A"/>
                <w:sz w:val="20"/>
                <w:szCs w:val="20"/>
              </w:rPr>
              <w:t xml:space="preserve">Sí</w:t>
            </w:r>
          </w:p>
        </w:tc>
        <w:tc>
          <w:tcPr>
            <w:tcW w:type="dxa" w:w="1500"/>
            <w:shd w:fill="F4F1EC" w:val="clear"/>
            <w:tcMar>
              <w:top w:type="dxa" w:w="90"/>
              <w:left w:type="dxa" w:w="120"/>
              <w:bottom w:type="dxa" w:w="90"/>
              <w:right w:type="dxa" w:w="120"/>
            </w:tcMar>
          </w:tcPr>
          <w:p>
            <w:r>
              <w:rPr>
                <w:rFonts w:ascii="Calibri" w:cs="Calibri" w:eastAsia="Calibri" w:hAnsi="Calibri"/>
                <w:color w:val="1A1A1A"/>
                <w:sz w:val="20"/>
                <w:szCs w:val="20"/>
              </w:rPr>
              <w:t xml:space="preserve">Vía integraciones</w:t>
            </w:r>
          </w:p>
        </w:tc>
      </w:tr>
      <w:tr>
        <w:tc>
          <w:tcPr>
            <w:tcW w:type="dxa" w:w="1950"/>
            <w:shd w:fill="FFFFFF" w:val="clear"/>
            <w:tcMar>
              <w:top w:type="dxa" w:w="90"/>
              <w:left w:type="dxa" w:w="120"/>
              <w:bottom w:type="dxa" w:w="90"/>
              <w:right w:type="dxa" w:w="120"/>
            </w:tcMar>
          </w:tcPr>
          <w:p>
            <w:r>
              <w:rPr>
                <w:rFonts w:ascii="Calibri" w:cs="Calibri" w:eastAsia="Calibri" w:hAnsi="Calibri"/>
                <w:color w:val="1A1A1A"/>
                <w:sz w:val="20"/>
                <w:szCs w:val="20"/>
              </w:rPr>
              <w:t xml:space="preserve">Plataforma a medida</w:t>
            </w:r>
          </w:p>
        </w:tc>
        <w:tc>
          <w:tcPr>
            <w:tcW w:type="dxa" w:w="2400"/>
            <w:shd w:fill="FFFFFF" w:val="clear"/>
            <w:tcMar>
              <w:top w:type="dxa" w:w="90"/>
              <w:left w:type="dxa" w:w="120"/>
              <w:bottom w:type="dxa" w:w="90"/>
              <w:right w:type="dxa" w:w="120"/>
            </w:tcMar>
          </w:tcPr>
          <w:p>
            <w:r>
              <w:rPr>
                <w:rFonts w:ascii="Calibri" w:cs="Calibri" w:eastAsia="Calibri" w:hAnsi="Calibri"/>
                <w:color w:val="1A1A1A"/>
                <w:sz w:val="20"/>
                <w:szCs w:val="20"/>
              </w:rPr>
              <w:t xml:space="preserve">Desarrollo + hosting con backend</w:t>
            </w:r>
          </w:p>
        </w:tc>
        <w:tc>
          <w:tcPr>
            <w:tcW w:type="dxa" w:w="1650"/>
            <w:shd w:fill="FFFFFF" w:val="clear"/>
            <w:tcMar>
              <w:top w:type="dxa" w:w="90"/>
              <w:left w:type="dxa" w:w="120"/>
              <w:bottom w:type="dxa" w:w="90"/>
              <w:right w:type="dxa" w:w="120"/>
            </w:tcMar>
          </w:tcPr>
          <w:p>
            <w:r>
              <w:rPr>
                <w:rFonts w:ascii="Calibri" w:cs="Calibri" w:eastAsia="Calibri" w:hAnsi="Calibri"/>
                <w:color w:val="1A1A1A"/>
                <w:sz w:val="20"/>
                <w:szCs w:val="20"/>
              </w:rPr>
              <w:t xml:space="preserve">A definir</w:t>
            </w:r>
          </w:p>
        </w:tc>
        <w:tc>
          <w:tcPr>
            <w:tcW w:type="dxa" w:w="1500"/>
            <w:shd w:fill="FFFFFF" w:val="clear"/>
            <w:tcMar>
              <w:top w:type="dxa" w:w="90"/>
              <w:left w:type="dxa" w:w="120"/>
              <w:bottom w:type="dxa" w:w="90"/>
              <w:right w:type="dxa" w:w="120"/>
            </w:tcMar>
          </w:tcPr>
          <w:p>
            <w:r>
              <w:rPr>
                <w:rFonts w:ascii="Calibri" w:cs="Calibri" w:eastAsia="Calibri" w:hAnsi="Calibri"/>
                <w:color w:val="1A1A1A"/>
                <w:sz w:val="20"/>
                <w:szCs w:val="20"/>
              </w:rPr>
              <w:t xml:space="preserve">Sí</w:t>
            </w:r>
          </w:p>
        </w:tc>
        <w:tc>
          <w:tcPr>
            <w:tcW w:type="dxa" w:w="1350"/>
            <w:shd w:fill="FFFFFF" w:val="clear"/>
            <w:tcMar>
              <w:top w:type="dxa" w:w="90"/>
              <w:left w:type="dxa" w:w="120"/>
              <w:bottom w:type="dxa" w:w="90"/>
              <w:right w:type="dxa" w:w="120"/>
            </w:tcMar>
          </w:tcPr>
          <w:p>
            <w:r>
              <w:rPr>
                <w:rFonts w:ascii="Calibri" w:cs="Calibri" w:eastAsia="Calibri" w:hAnsi="Calibri"/>
                <w:color w:val="1A1A1A"/>
                <w:sz w:val="20"/>
                <w:szCs w:val="20"/>
              </w:rPr>
              <w:t xml:space="preserve">A construir</w:t>
            </w:r>
          </w:p>
        </w:tc>
        <w:tc>
          <w:tcPr>
            <w:tcW w:type="dxa" w:w="1500"/>
            <w:shd w:fill="FFFFFF" w:val="clear"/>
            <w:tcMar>
              <w:top w:type="dxa" w:w="90"/>
              <w:left w:type="dxa" w:w="120"/>
              <w:bottom w:type="dxa" w:w="90"/>
              <w:right w:type="dxa" w:w="120"/>
            </w:tcMar>
          </w:tcPr>
          <w:p>
            <w:r>
              <w:rPr>
                <w:rFonts w:ascii="Calibri" w:cs="Calibri" w:eastAsia="Calibri" w:hAnsi="Calibri"/>
                <w:color w:val="1A1A1A"/>
                <w:sz w:val="20"/>
                <w:szCs w:val="20"/>
              </w:rPr>
              <w:t xml:space="preserve">A construir</w:t>
            </w:r>
          </w:p>
        </w:tc>
      </w:tr>
    </w:tbl>
    <w:p>
      <w:pPr>
        <w:spacing w:after="160" w:line="288"/>
      </w:pPr>
      <w:r>
        <w:rPr>
          <w:rFonts w:ascii="Calibri" w:cs="Calibri" w:eastAsia="Calibri" w:hAnsi="Calibri"/>
          <w:color w:val="1A1A1A"/>
          <w:sz w:val="22"/>
          <w:szCs w:val="22"/>
        </w:rPr>
        <w:t xml:space="preserve">Para una academia en etapa de lanzamiento con audiencia mayormente hispanohablante/LATAM, pagar por venta (Hotmart) en lugar de una suscripción SaaS fija reduce el riesgo financiero para la clienta mientras se valida la demanda.</w:t>
      </w:r>
    </w:p>
    <w:p>
      <w:pPr>
        <w:pStyle w:val="Heading1"/>
        <w:pBdr>
          <w:bottom w:val="single" w:color="B08D57" w:sz="6" w:space="4"/>
        </w:pBdr>
        <w:spacing w:after="160" w:before="360"/>
      </w:pPr>
      <w:r>
        <w:rPr>
          <w:rFonts w:ascii="Calibri" w:cs="Calibri" w:eastAsia="Calibri" w:hAnsi="Calibri"/>
          <w:b/>
          <w:bCs/>
          <w:color w:val="23324A"/>
          <w:sz w:val="30"/>
          <w:szCs w:val="30"/>
        </w:rPr>
        <w:t xml:space="preserve">5. Cómo el equipo técnico configura todo sin ser dueño de la cuenta</w:t>
      </w:r>
    </w:p>
    <w:p>
      <w:pPr>
        <w:spacing w:after="160" w:line="288"/>
      </w:pPr>
      <w:r>
        <w:rPr>
          <w:rFonts w:ascii="Calibri" w:cs="Calibri" w:eastAsia="Calibri" w:hAnsi="Calibri"/>
          <w:color w:val="1A1A1A"/>
          <w:sz w:val="22"/>
          <w:szCs w:val="22"/>
        </w:rPr>
        <w:t xml:space="preserve">Sí existe una forma de que el desarrollador y la diseñadora dejen todo armado sin que la cuenta, el dinero o el control del negocio dejen de ser de la clienta. Hotmart tiene una función llamada Central de Colaboradores, pensada exactamente para este escenario.</w:t>
      </w:r>
    </w:p>
    <w:p>
      <w:pPr>
        <w:pStyle w:val="Heading2"/>
        <w:spacing w:after="120" w:before="260"/>
      </w:pPr>
      <w:r>
        <w:rPr>
          <w:rFonts w:ascii="Calibri" w:cs="Calibri" w:eastAsia="Calibri" w:hAnsi="Calibri"/>
          <w:b/>
          <w:bCs/>
          <w:color w:val="23324A"/>
          <w:sz w:val="24"/>
          <w:szCs w:val="24"/>
        </w:rPr>
        <w:t xml:space="preserve">5.1 Cómo funciona</w:t>
      </w:r>
    </w:p>
    <w:p>
      <w:pPr>
        <w:pStyle w:val="ListParagraph"/>
        <w:numPr>
          <w:ilvl w:val="0"/>
          <w:numId w:val="2"/>
        </w:numPr>
        <w:spacing w:after="90" w:line="276"/>
      </w:pPr>
      <w:r>
        <w:rPr>
          <w:rFonts w:ascii="Calibri" w:cs="Calibri" w:eastAsia="Calibri" w:hAnsi="Calibri"/>
          <w:color w:val="1A1A1A"/>
          <w:sz w:val="22"/>
          <w:szCs w:val="22"/>
        </w:rPr>
        <w:t xml:space="preserve">La clienta se registra como Productora: es la dueña de la cuenta, de la billetera (Wallet) y de los retiros de dinero. Esto nunca se delega.</w:t>
      </w:r>
    </w:p>
    <w:p>
      <w:pPr>
        <w:pStyle w:val="ListParagraph"/>
        <w:numPr>
          <w:ilvl w:val="0"/>
          <w:numId w:val="2"/>
        </w:numPr>
        <w:spacing w:after="90" w:line="276"/>
      </w:pPr>
      <w:r>
        <w:rPr>
          <w:rFonts w:ascii="Calibri" w:cs="Calibri" w:eastAsia="Calibri" w:hAnsi="Calibri"/>
          <w:color w:val="1A1A1A"/>
          <w:sz w:val="22"/>
          <w:szCs w:val="22"/>
        </w:rPr>
        <w:t xml:space="preserve">Desde la Central de Colaboradores, la Productora invita a otras personas (vos y tu prima) con un perfil de permisos personalizado: acceso a Club (área de miembros, contenido, grupos, gamificación), a Productos (precios, ofertas) y a Player (biblioteca de video) — pero sin acceso a Wallet (saldo y retiros).</w:t>
      </w:r>
    </w:p>
    <w:p>
      <w:pPr>
        <w:pStyle w:val="ListParagraph"/>
        <w:numPr>
          <w:ilvl w:val="0"/>
          <w:numId w:val="2"/>
        </w:numPr>
        <w:spacing w:after="90" w:line="276"/>
      </w:pPr>
      <w:r>
        <w:rPr>
          <w:rFonts w:ascii="Calibri" w:cs="Calibri" w:eastAsia="Calibri" w:hAnsi="Calibri"/>
          <w:color w:val="1A1A1A"/>
          <w:sz w:val="22"/>
          <w:szCs w:val="22"/>
        </w:rPr>
        <w:t xml:space="preserve">Ningún colaborador puede modificar los datos personales ni bancarios de la cuenta: eso es exclusivo de la Productora.</w:t>
      </w:r>
    </w:p>
    <w:p>
      <w:pPr>
        <w:pStyle w:val="ListParagraph"/>
        <w:numPr>
          <w:ilvl w:val="0"/>
          <w:numId w:val="2"/>
        </w:numPr>
        <w:spacing w:after="90" w:line="276"/>
      </w:pPr>
      <w:r>
        <w:rPr>
          <w:rFonts w:ascii="Calibri" w:cs="Calibri" w:eastAsia="Calibri" w:hAnsi="Calibri"/>
          <w:color w:val="1A1A1A"/>
          <w:sz w:val="22"/>
          <w:szCs w:val="22"/>
        </w:rPr>
        <w:t xml:space="preserve">Existe también la figura de Coproductor, pensada para repartir ingresos entre creadores de contenido — no es la que corresponde acá, porque el rol de ustedes es de configuración técnica/diseño, no de coautoría del contenido.</w:t>
      </w:r>
    </w:p>
    <w:p>
      <w:pPr>
        <w:pStyle w:val="Heading2"/>
        <w:spacing w:after="120" w:before="260"/>
      </w:pPr>
      <w:r>
        <w:rPr>
          <w:rFonts w:ascii="Calibri" w:cs="Calibri" w:eastAsia="Calibri" w:hAnsi="Calibri"/>
          <w:b/>
          <w:bCs/>
          <w:color w:val="23324A"/>
          <w:sz w:val="24"/>
          <w:szCs w:val="24"/>
        </w:rPr>
        <w:t xml:space="preserve">5.2 ¿Es legal cobrar por este trabajo?</w:t>
      </w:r>
    </w:p>
    <w:p>
      <w:pPr>
        <w:spacing w:after="160" w:line="288"/>
      </w:pPr>
      <w:r>
        <w:rPr>
          <w:rFonts w:ascii="Calibri" w:cs="Calibri" w:eastAsia="Calibri" w:hAnsi="Calibri"/>
          <w:color w:val="1A1A1A"/>
          <w:sz w:val="22"/>
          <w:szCs w:val="22"/>
        </w:rPr>
        <w:t xml:space="preserve">Sí. No hay nada irregular en que un desarrollador y una diseñadora configuren la cuenta de un cliente como colaboradores y cobren por ese servicio — es el mismo modelo que usar cualquier agencia o freelancer que configura un CRM, un e-commerce o un sitio y después entrega el acceso al dueño del negocio. El dinero de las ventas siempre entra directo a la cuenta bancaria/Wallet de la clienta; ustedes nunca lo tocan ni lo intermedian, así que no hay conflicto ni riesgo impositivo para ustedes por ese lado.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08D57" w:sz="4"/>
              <w:left w:val="single" w:color="B08D57" w:sz="4"/>
              <w:bottom w:val="single" w:color="B08D57" w:sz="4"/>
              <w:right w:val="single" w:color="B08D57" w:sz="4"/>
            </w:tcBorders>
            <w:shd w:fill="F4F1EC" w:val="clear"/>
            <w:tcMar>
              <w:top w:type="dxa" w:w="160"/>
              <w:left w:type="dxa" w:w="200"/>
              <w:bottom w:type="dxa" w:w="160"/>
              <w:right w:type="dxa" w:w="200"/>
            </w:tcMar>
          </w:tcPr>
          <w:p>
            <w:pPr>
              <w:spacing w:after="80"/>
            </w:pPr>
            <w:r>
              <w:rPr>
                <w:rFonts w:ascii="Calibri" w:cs="Calibri" w:eastAsia="Calibri" w:hAnsi="Calibri"/>
                <w:b/>
                <w:bCs/>
                <w:color w:val="23324A"/>
                <w:sz w:val="22"/>
                <w:szCs w:val="22"/>
              </w:rPr>
              <w:t xml:space="preserve">Recomendación práctica</w:t>
            </w:r>
          </w:p>
          <w:p>
            <w:pPr>
              <w:spacing w:after="0" w:line="276"/>
            </w:pPr>
            <w:r>
              <w:rPr>
                <w:rFonts w:ascii="Calibri" w:cs="Calibri" w:eastAsia="Calibri" w:hAnsi="Calibri"/>
                <w:color w:val="1A1A1A"/>
                <w:sz w:val="21"/>
                <w:szCs w:val="21"/>
              </w:rPr>
              <w:t xml:space="preserve">Formalicen el trabajo con un alcance simple por escrito (qué se configura, qué queda para la clienta, plazos y precio). No hace falta un contrato complejo — un documento de una página que ambas partes acepten por email alcanza, y evita malentendidos sobre qué incluye el servicio.</w:t>
            </w:r>
          </w:p>
        </w:tc>
      </w:tr>
    </w:tbl>
    <w:p>
      <w:pPr>
        <w:pStyle w:val="Heading1"/>
        <w:pBdr>
          <w:bottom w:val="single" w:color="B08D57" w:sz="6" w:space="4"/>
        </w:pBdr>
        <w:spacing w:after="160" w:before="360"/>
      </w:pPr>
      <w:r>
        <w:rPr>
          <w:rFonts w:ascii="Calibri" w:cs="Calibri" w:eastAsia="Calibri" w:hAnsi="Calibri"/>
          <w:b/>
          <w:bCs/>
          <w:color w:val="23324A"/>
          <w:sz w:val="30"/>
          <w:szCs w:val="30"/>
        </w:rPr>
        <w:t xml:space="preserve">6. Paso a paso técnico de implementación</w:t>
      </w:r>
    </w:p>
    <w:p>
      <w:pPr>
        <w:pStyle w:val="Heading2"/>
        <w:spacing w:after="120" w:before="260"/>
      </w:pPr>
      <w:r>
        <w:rPr>
          <w:rFonts w:ascii="Calibri" w:cs="Calibri" w:eastAsia="Calibri" w:hAnsi="Calibri"/>
          <w:b/>
          <w:bCs/>
          <w:color w:val="23324A"/>
          <w:sz w:val="24"/>
          <w:szCs w:val="24"/>
        </w:rPr>
        <w:t xml:space="preserve">Fase 0 — Preparación (antes de tocar Hotmart)</w:t>
      </w:r>
    </w:p>
    <w:p>
      <w:pPr>
        <w:pStyle w:val="ListParagraph"/>
        <w:numPr>
          <w:ilvl w:val="0"/>
          <w:numId w:val="3"/>
        </w:numPr>
        <w:spacing w:after="90" w:line="276"/>
      </w:pPr>
      <w:r>
        <w:rPr>
          <w:rFonts w:ascii="Calibri" w:cs="Calibri" w:eastAsia="Calibri" w:hAnsi="Calibri"/>
          <w:color w:val="1A1A1A"/>
          <w:sz w:val="22"/>
          <w:szCs w:val="22"/>
        </w:rPr>
        <w:t xml:space="preserve">Definir con la clienta el precio de la membresía y si habrá plan mensual, pago único de 9 meses, o ambos.</w:t>
      </w:r>
    </w:p>
    <w:p>
      <w:pPr>
        <w:pStyle w:val="ListParagraph"/>
        <w:numPr>
          <w:ilvl w:val="0"/>
          <w:numId w:val="3"/>
        </w:numPr>
        <w:spacing w:after="90" w:line="276"/>
      </w:pPr>
      <w:r>
        <w:rPr>
          <w:rFonts w:ascii="Calibri" w:cs="Calibri" w:eastAsia="Calibri" w:hAnsi="Calibri"/>
          <w:color w:val="1A1A1A"/>
          <w:sz w:val="22"/>
          <w:szCs w:val="22"/>
        </w:rPr>
        <w:t xml:space="preserve">Confirmar el esquema de cohortes mensuales (sección 3) y la fecha del primer lanzamiento.</w:t>
      </w:r>
    </w:p>
    <w:p>
      <w:pPr>
        <w:pStyle w:val="ListParagraph"/>
        <w:numPr>
          <w:ilvl w:val="0"/>
          <w:numId w:val="3"/>
        </w:numPr>
        <w:spacing w:after="90" w:line="276"/>
      </w:pPr>
      <w:r>
        <w:rPr>
          <w:rFonts w:ascii="Calibri" w:cs="Calibri" w:eastAsia="Calibri" w:hAnsi="Calibri"/>
          <w:color w:val="1A1A1A"/>
          <w:sz w:val="22"/>
          <w:szCs w:val="22"/>
        </w:rPr>
        <w:t xml:space="preserve">Reunir todo el material de los primeros 3 meses: videos, actividades/consignas, materiales descargables.</w:t>
      </w:r>
    </w:p>
    <w:p>
      <w:pPr>
        <w:pStyle w:val="Heading2"/>
        <w:spacing w:after="120" w:before="260"/>
      </w:pPr>
      <w:r>
        <w:rPr>
          <w:rFonts w:ascii="Calibri" w:cs="Calibri" w:eastAsia="Calibri" w:hAnsi="Calibri"/>
          <w:b/>
          <w:bCs/>
          <w:color w:val="23324A"/>
          <w:sz w:val="24"/>
          <w:szCs w:val="24"/>
        </w:rPr>
        <w:t xml:space="preserve">Fase 1 — Cuenta y accesos</w:t>
      </w:r>
    </w:p>
    <w:p>
      <w:pPr>
        <w:pStyle w:val="ListParagraph"/>
        <w:numPr>
          <w:ilvl w:val="0"/>
          <w:numId w:val="3"/>
        </w:numPr>
        <w:spacing w:after="90" w:line="276"/>
      </w:pPr>
      <w:r>
        <w:rPr>
          <w:rFonts w:ascii="Calibri" w:cs="Calibri" w:eastAsia="Calibri" w:hAnsi="Calibri"/>
          <w:color w:val="1A1A1A"/>
          <w:sz w:val="22"/>
          <w:szCs w:val="22"/>
        </w:rPr>
        <w:t xml:space="preserve">La clienta crea (o valida) su cuenta como Productora en Hotmart.</w:t>
      </w:r>
    </w:p>
    <w:p>
      <w:pPr>
        <w:pStyle w:val="ListParagraph"/>
        <w:numPr>
          <w:ilvl w:val="0"/>
          <w:numId w:val="3"/>
        </w:numPr>
        <w:spacing w:after="90" w:line="276"/>
      </w:pPr>
      <w:r>
        <w:rPr>
          <w:rFonts w:ascii="Calibri" w:cs="Calibri" w:eastAsia="Calibri" w:hAnsi="Calibri"/>
          <w:color w:val="1A1A1A"/>
          <w:sz w:val="22"/>
          <w:szCs w:val="22"/>
        </w:rPr>
        <w:t xml:space="preserve">Se activa la Central de Colaboradores y se invita al desarrollador y a la diseñadora con permisos de Club, Productos y Player (sin Wallet).</w:t>
      </w:r>
    </w:p>
    <w:p>
      <w:pPr>
        <w:pStyle w:val="Heading2"/>
        <w:spacing w:after="120" w:before="260"/>
      </w:pPr>
      <w:r>
        <w:rPr>
          <w:rFonts w:ascii="Calibri" w:cs="Calibri" w:eastAsia="Calibri" w:hAnsi="Calibri"/>
          <w:b/>
          <w:bCs/>
          <w:color w:val="23324A"/>
          <w:sz w:val="24"/>
          <w:szCs w:val="24"/>
        </w:rPr>
        <w:t xml:space="preserve">Fase 2 — Estructura del producto</w:t>
      </w:r>
    </w:p>
    <w:p>
      <w:pPr>
        <w:pStyle w:val="ListParagraph"/>
        <w:numPr>
          <w:ilvl w:val="0"/>
          <w:numId w:val="3"/>
        </w:numPr>
        <w:spacing w:after="90" w:line="276"/>
      </w:pPr>
      <w:r>
        <w:rPr>
          <w:rFonts w:ascii="Calibri" w:cs="Calibri" w:eastAsia="Calibri" w:hAnsi="Calibri"/>
          <w:color w:val="1A1A1A"/>
          <w:sz w:val="22"/>
          <w:szCs w:val="22"/>
        </w:rPr>
        <w:t xml:space="preserve">Crear el producto tipo “área de miembros / suscripción” en Hotmart Club.</w:t>
      </w:r>
    </w:p>
    <w:p>
      <w:pPr>
        <w:pStyle w:val="ListParagraph"/>
        <w:numPr>
          <w:ilvl w:val="0"/>
          <w:numId w:val="3"/>
        </w:numPr>
        <w:spacing w:after="90" w:line="276"/>
      </w:pPr>
      <w:r>
        <w:rPr>
          <w:rFonts w:ascii="Calibri" w:cs="Calibri" w:eastAsia="Calibri" w:hAnsi="Calibri"/>
          <w:color w:val="1A1A1A"/>
          <w:sz w:val="22"/>
          <w:szCs w:val="22"/>
        </w:rPr>
        <w:t xml:space="preserve">Configurar el plan de cobro recurrente y los métodos de pago locales.</w:t>
      </w:r>
    </w:p>
    <w:p>
      <w:pPr>
        <w:pStyle w:val="ListParagraph"/>
        <w:numPr>
          <w:ilvl w:val="0"/>
          <w:numId w:val="3"/>
        </w:numPr>
        <w:spacing w:after="90" w:line="276"/>
      </w:pPr>
      <w:r>
        <w:rPr>
          <w:rFonts w:ascii="Calibri" w:cs="Calibri" w:eastAsia="Calibri" w:hAnsi="Calibri"/>
          <w:color w:val="1A1A1A"/>
          <w:sz w:val="22"/>
          <w:szCs w:val="22"/>
        </w:rPr>
        <w:t xml:space="preserve">Crear la estructura de módulos: Mes 1 a Mes 9, cada uno con sus semanas (píldora + actividad).</w:t>
      </w:r>
    </w:p>
    <w:p>
      <w:pPr>
        <w:pStyle w:val="ListParagraph"/>
        <w:numPr>
          <w:ilvl w:val="0"/>
          <w:numId w:val="3"/>
        </w:numPr>
        <w:spacing w:after="90" w:line="276"/>
      </w:pPr>
      <w:r>
        <w:rPr>
          <w:rFonts w:ascii="Calibri" w:cs="Calibri" w:eastAsia="Calibri" w:hAnsi="Calibri"/>
          <w:color w:val="1A1A1A"/>
          <w:sz w:val="22"/>
          <w:szCs w:val="22"/>
        </w:rPr>
        <w:t xml:space="preserve">Configurar el primer grupo/cohorte (por ejemplo “Cohorte Agosto 2026”) con su calendario de goteo por días desde el ingreso.</w:t>
      </w:r>
    </w:p>
    <w:p>
      <w:pPr>
        <w:pStyle w:val="Heading2"/>
        <w:spacing w:after="120" w:before="260"/>
      </w:pPr>
      <w:r>
        <w:rPr>
          <w:rFonts w:ascii="Calibri" w:cs="Calibri" w:eastAsia="Calibri" w:hAnsi="Calibri"/>
          <w:b/>
          <w:bCs/>
          <w:color w:val="23324A"/>
          <w:sz w:val="24"/>
          <w:szCs w:val="24"/>
        </w:rPr>
        <w:t xml:space="preserve">Fase 3 — Carga de contenido</w:t>
      </w:r>
    </w:p>
    <w:p>
      <w:pPr>
        <w:pStyle w:val="ListParagraph"/>
        <w:numPr>
          <w:ilvl w:val="0"/>
          <w:numId w:val="3"/>
        </w:numPr>
        <w:spacing w:after="90" w:line="276"/>
      </w:pPr>
      <w:r>
        <w:rPr>
          <w:rFonts w:ascii="Calibri" w:cs="Calibri" w:eastAsia="Calibri" w:hAnsi="Calibri"/>
          <w:color w:val="1A1A1A"/>
          <w:sz w:val="22"/>
          <w:szCs w:val="22"/>
        </w:rPr>
        <w:t xml:space="preserve">Subir los videos de los primeros 3 meses a la biblioteca (Player) y ordenarlos en los módulos correspondientes.</w:t>
      </w:r>
    </w:p>
    <w:p>
      <w:pPr>
        <w:pStyle w:val="ListParagraph"/>
        <w:numPr>
          <w:ilvl w:val="0"/>
          <w:numId w:val="3"/>
        </w:numPr>
        <w:spacing w:after="90" w:line="276"/>
      </w:pPr>
      <w:r>
        <w:rPr>
          <w:rFonts w:ascii="Calibri" w:cs="Calibri" w:eastAsia="Calibri" w:hAnsi="Calibri"/>
          <w:color w:val="1A1A1A"/>
          <w:sz w:val="22"/>
          <w:szCs w:val="22"/>
        </w:rPr>
        <w:t xml:space="preserve">Cargar las actividades de cada semana (documento, consigna o quiz según corresponda).</w:t>
      </w:r>
    </w:p>
    <w:p>
      <w:pPr>
        <w:pStyle w:val="ListParagraph"/>
        <w:numPr>
          <w:ilvl w:val="0"/>
          <w:numId w:val="3"/>
        </w:numPr>
        <w:spacing w:after="90" w:line="276"/>
      </w:pPr>
      <w:r>
        <w:rPr>
          <w:rFonts w:ascii="Calibri" w:cs="Calibri" w:eastAsia="Calibri" w:hAnsi="Calibri"/>
          <w:color w:val="1A1A1A"/>
          <w:sz w:val="22"/>
          <w:szCs w:val="22"/>
        </w:rPr>
        <w:t xml:space="preserve">Diseñar (con la diseñadora) las miniaturas, portada del área de miembros y assets visuales para que coincida con la identidad de marca.</w:t>
      </w:r>
    </w:p>
    <w:p>
      <w:pPr>
        <w:pStyle w:val="Heading2"/>
        <w:spacing w:after="120" w:before="260"/>
      </w:pPr>
      <w:r>
        <w:rPr>
          <w:rFonts w:ascii="Calibri" w:cs="Calibri" w:eastAsia="Calibri" w:hAnsi="Calibri"/>
          <w:b/>
          <w:bCs/>
          <w:color w:val="23324A"/>
          <w:sz w:val="24"/>
          <w:szCs w:val="24"/>
        </w:rPr>
        <w:t xml:space="preserve">Fase 4 — Vivos grupales</w:t>
      </w:r>
    </w:p>
    <w:p>
      <w:pPr>
        <w:pStyle w:val="ListParagraph"/>
        <w:numPr>
          <w:ilvl w:val="0"/>
          <w:numId w:val="3"/>
        </w:numPr>
        <w:spacing w:after="90" w:line="276"/>
      </w:pPr>
      <w:r>
        <w:rPr>
          <w:rFonts w:ascii="Calibri" w:cs="Calibri" w:eastAsia="Calibri" w:hAnsi="Calibri"/>
          <w:color w:val="1A1A1A"/>
          <w:sz w:val="22"/>
          <w:szCs w:val="22"/>
        </w:rPr>
        <w:t xml:space="preserve">Programar la transmisión en vivo de la semana 4 dentro del área de miembros para la primera cohorte.</w:t>
      </w:r>
    </w:p>
    <w:p>
      <w:pPr>
        <w:pStyle w:val="ListParagraph"/>
        <w:numPr>
          <w:ilvl w:val="0"/>
          <w:numId w:val="3"/>
        </w:numPr>
        <w:spacing w:after="90" w:line="276"/>
      </w:pPr>
      <w:r>
        <w:rPr>
          <w:rFonts w:ascii="Calibri" w:cs="Calibri" w:eastAsia="Calibri" w:hAnsi="Calibri"/>
          <w:color w:val="1A1A1A"/>
          <w:sz w:val="22"/>
          <w:szCs w:val="22"/>
        </w:rPr>
        <w:t xml:space="preserve">Definir el proceso para que cada nueva cohorte tenga su propio vivo agendado (manual al inicio, documentado como checklist mensual).</w:t>
      </w:r>
    </w:p>
    <w:p>
      <w:pPr>
        <w:pStyle w:val="Heading2"/>
        <w:spacing w:after="120" w:before="260"/>
      </w:pPr>
      <w:r>
        <w:rPr>
          <w:rFonts w:ascii="Calibri" w:cs="Calibri" w:eastAsia="Calibri" w:hAnsi="Calibri"/>
          <w:b/>
          <w:bCs/>
          <w:color w:val="23324A"/>
          <w:sz w:val="24"/>
          <w:szCs w:val="24"/>
        </w:rPr>
        <w:t xml:space="preserve">Fase 5 — Integración con la web actual</w:t>
      </w:r>
    </w:p>
    <w:p>
      <w:pPr>
        <w:pStyle w:val="ListParagraph"/>
        <w:numPr>
          <w:ilvl w:val="0"/>
          <w:numId w:val="3"/>
        </w:numPr>
        <w:spacing w:after="90" w:line="276"/>
      </w:pPr>
      <w:r>
        <w:rPr>
          <w:rFonts w:ascii="Calibri" w:cs="Calibri" w:eastAsia="Calibri" w:hAnsi="Calibri"/>
          <w:color w:val="1A1A1A"/>
          <w:sz w:val="22"/>
          <w:szCs w:val="22"/>
        </w:rPr>
        <w:t xml:space="preserve">Diseñar la página de ventas / landing de la academia dentro del sitio actual (Hostinger), a cargo de desarrollo + diseño.</w:t>
      </w:r>
    </w:p>
    <w:p>
      <w:pPr>
        <w:pStyle w:val="ListParagraph"/>
        <w:numPr>
          <w:ilvl w:val="0"/>
          <w:numId w:val="3"/>
        </w:numPr>
        <w:spacing w:after="90" w:line="276"/>
      </w:pPr>
      <w:r>
        <w:rPr>
          <w:rFonts w:ascii="Calibri" w:cs="Calibri" w:eastAsia="Calibri" w:hAnsi="Calibri"/>
          <w:color w:val="1A1A1A"/>
          <w:sz w:val="22"/>
          <w:szCs w:val="22"/>
        </w:rPr>
        <w:t xml:space="preserve">Insertar el widget de checkout embebido de Hotmart en el botón de inscripción, o alternativamente el botón con enlace directo a la página de pago.</w:t>
      </w:r>
    </w:p>
    <w:p>
      <w:pPr>
        <w:pStyle w:val="ListParagraph"/>
        <w:numPr>
          <w:ilvl w:val="0"/>
          <w:numId w:val="3"/>
        </w:numPr>
        <w:spacing w:after="90" w:line="276"/>
      </w:pPr>
      <w:r>
        <w:rPr>
          <w:rFonts w:ascii="Calibri" w:cs="Calibri" w:eastAsia="Calibri" w:hAnsi="Calibri"/>
          <w:color w:val="1A1A1A"/>
          <w:sz w:val="22"/>
          <w:szCs w:val="22"/>
        </w:rPr>
        <w:t xml:space="preserve">Instalar tracking (Meta Pixel, GA4) para medir el embudo desde la web hasta la compra.</w:t>
      </w:r>
    </w:p>
    <w:p>
      <w:pPr>
        <w:pStyle w:val="Heading2"/>
        <w:spacing w:after="120" w:before="260"/>
      </w:pPr>
      <w:r>
        <w:rPr>
          <w:rFonts w:ascii="Calibri" w:cs="Calibri" w:eastAsia="Calibri" w:hAnsi="Calibri"/>
          <w:b/>
          <w:bCs/>
          <w:color w:val="23324A"/>
          <w:sz w:val="24"/>
          <w:szCs w:val="24"/>
        </w:rPr>
        <w:t xml:space="preserve">Fase 6 — Pruebas</w:t>
      </w:r>
    </w:p>
    <w:p>
      <w:pPr>
        <w:pStyle w:val="ListParagraph"/>
        <w:numPr>
          <w:ilvl w:val="0"/>
          <w:numId w:val="3"/>
        </w:numPr>
        <w:spacing w:after="90" w:line="276"/>
      </w:pPr>
      <w:r>
        <w:rPr>
          <w:rFonts w:ascii="Calibri" w:cs="Calibri" w:eastAsia="Calibri" w:hAnsi="Calibri"/>
          <w:color w:val="1A1A1A"/>
          <w:sz w:val="22"/>
          <w:szCs w:val="22"/>
        </w:rPr>
        <w:t xml:space="preserve">Realizar una compra de prueba de punta a punta: pago, acceso al área de miembros, recepción de la píldora de bienvenida.</w:t>
      </w:r>
    </w:p>
    <w:p>
      <w:pPr>
        <w:pStyle w:val="ListParagraph"/>
        <w:numPr>
          <w:ilvl w:val="0"/>
          <w:numId w:val="3"/>
        </w:numPr>
        <w:spacing w:after="90" w:line="276"/>
      </w:pPr>
      <w:r>
        <w:rPr>
          <w:rFonts w:ascii="Calibri" w:cs="Calibri" w:eastAsia="Calibri" w:hAnsi="Calibri"/>
          <w:color w:val="1A1A1A"/>
          <w:sz w:val="22"/>
          <w:szCs w:val="22"/>
        </w:rPr>
        <w:t xml:space="preserve">Verificar en un celular y en una notebook que el checkout embebido se vea y funcione bien.</w:t>
      </w:r>
    </w:p>
    <w:p>
      <w:pPr>
        <w:pStyle w:val="ListParagraph"/>
        <w:numPr>
          <w:ilvl w:val="0"/>
          <w:numId w:val="3"/>
        </w:numPr>
        <w:spacing w:after="90" w:line="276"/>
      </w:pPr>
      <w:r>
        <w:rPr>
          <w:rFonts w:ascii="Calibri" w:cs="Calibri" w:eastAsia="Calibri" w:hAnsi="Calibri"/>
          <w:color w:val="1A1A1A"/>
          <w:sz w:val="22"/>
          <w:szCs w:val="22"/>
        </w:rPr>
        <w:t xml:space="preserve">Revisar que el goteo de contenido y la fecha del vivo se muestren correctamente para la cohorte de prueba.</w:t>
      </w:r>
    </w:p>
    <w:p>
      <w:pPr>
        <w:pStyle w:val="Heading2"/>
        <w:spacing w:after="120" w:before="260"/>
      </w:pPr>
      <w:r>
        <w:rPr>
          <w:rFonts w:ascii="Calibri" w:cs="Calibri" w:eastAsia="Calibri" w:hAnsi="Calibri"/>
          <w:b/>
          <w:bCs/>
          <w:color w:val="23324A"/>
          <w:sz w:val="24"/>
          <w:szCs w:val="24"/>
        </w:rPr>
        <w:t xml:space="preserve">Fase 7 — Lanzamiento</w:t>
      </w:r>
    </w:p>
    <w:p>
      <w:pPr>
        <w:pStyle w:val="ListParagraph"/>
        <w:numPr>
          <w:ilvl w:val="0"/>
          <w:numId w:val="3"/>
        </w:numPr>
        <w:spacing w:after="90" w:line="276"/>
      </w:pPr>
      <w:r>
        <w:rPr>
          <w:rFonts w:ascii="Calibri" w:cs="Calibri" w:eastAsia="Calibri" w:hAnsi="Calibri"/>
          <w:color w:val="1A1A1A"/>
          <w:sz w:val="22"/>
          <w:szCs w:val="22"/>
        </w:rPr>
        <w:t xml:space="preserve">Abrir la inscripción a la primera cohorte con fecha de corte definida.</w:t>
      </w:r>
    </w:p>
    <w:p>
      <w:pPr>
        <w:pStyle w:val="ListParagraph"/>
        <w:numPr>
          <w:ilvl w:val="0"/>
          <w:numId w:val="3"/>
        </w:numPr>
        <w:spacing w:after="90" w:line="276"/>
      </w:pPr>
      <w:r>
        <w:rPr>
          <w:rFonts w:ascii="Calibri" w:cs="Calibri" w:eastAsia="Calibri" w:hAnsi="Calibri"/>
          <w:color w:val="1A1A1A"/>
          <w:sz w:val="22"/>
          <w:szCs w:val="22"/>
        </w:rPr>
        <w:t xml:space="preserve">Acompañar la primera semana en vivo para resolver dudas técnicas de las alumnas.</w:t>
      </w:r>
    </w:p>
    <w:p>
      <w:pPr>
        <w:pStyle w:val="ListParagraph"/>
        <w:numPr>
          <w:ilvl w:val="0"/>
          <w:numId w:val="3"/>
        </w:numPr>
        <w:spacing w:after="90" w:line="276"/>
      </w:pPr>
      <w:r>
        <w:rPr>
          <w:rFonts w:ascii="Calibri" w:cs="Calibri" w:eastAsia="Calibri" w:hAnsi="Calibri"/>
          <w:color w:val="1A1A1A"/>
          <w:sz w:val="22"/>
          <w:szCs w:val="22"/>
        </w:rPr>
        <w:t xml:space="preserve">Documentar el checklist mensual para que la clienta pueda abrir cohortes nuevas de forma cada vez más autónoma.</w:t>
      </w:r>
    </w:p>
    <w:p>
      <w:pPr>
        <w:pStyle w:val="Heading1"/>
        <w:pBdr>
          <w:bottom w:val="single" w:color="B08D57" w:sz="6" w:space="4"/>
        </w:pBdr>
        <w:spacing w:after="160" w:before="360"/>
      </w:pPr>
      <w:r>
        <w:rPr>
          <w:rFonts w:ascii="Calibri" w:cs="Calibri" w:eastAsia="Calibri" w:hAnsi="Calibri"/>
          <w:b/>
          <w:bCs/>
          <w:color w:val="23324A"/>
          <w:sz w:val="30"/>
          <w:szCs w:val="30"/>
        </w:rPr>
        <w:t xml:space="preserve">7. Propuesta de paquete de servicios</w:t>
      </w:r>
    </w:p>
    <w:p>
      <w:pPr>
        <w:spacing w:after="160" w:line="288"/>
      </w:pPr>
      <w:r>
        <w:rPr>
          <w:rFonts w:ascii="Calibri" w:cs="Calibri" w:eastAsia="Calibri" w:hAnsi="Calibri"/>
          <w:color w:val="1A1A1A"/>
          <w:sz w:val="22"/>
          <w:szCs w:val="22"/>
        </w:rPr>
        <w:t xml:space="preserve">El valor del equipo técnico y de diseño no está en “administrar Hotmart” de forma indefinida — eso la clienta puede aprenderlo. Está en el diseño de la experiencia, la configuración fina que evita soporte manual a futuro, y el mantenimiento del sitio que sigue siendo la puerta de entrada de la marca.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2650"/>
      </w:tblGrid>
      <w:tr>
        <w:trPr>
          <w:tblHeader/>
        </w:trPr>
        <w:tc>
          <w:tcPr>
            <w:tcW w:type="dxa" w:w="2400"/>
            <w:shd w:fill="23324A" w:val="clear"/>
            <w:tcMar>
              <w:top w:type="dxa" w:w="100"/>
              <w:left w:type="dxa" w:w="120"/>
              <w:bottom w:type="dxa" w:w="100"/>
              <w:right w:type="dxa" w:w="120"/>
            </w:tcMar>
          </w:tcPr>
          <w:p>
            <w:r>
              <w:rPr>
                <w:rFonts w:ascii="Calibri" w:cs="Calibri" w:eastAsia="Calibri" w:hAnsi="Calibri"/>
                <w:b/>
                <w:bCs/>
                <w:color w:val="FFFFFF"/>
                <w:sz w:val="20"/>
                <w:szCs w:val="20"/>
              </w:rPr>
              <w:t xml:space="preserve">Bloque</w:t>
            </w:r>
          </w:p>
        </w:tc>
        <w:tc>
          <w:tcPr>
            <w:tcW w:type="dxa" w:w="4300"/>
            <w:shd w:fill="23324A" w:val="clear"/>
            <w:tcMar>
              <w:top w:type="dxa" w:w="100"/>
              <w:left w:type="dxa" w:w="120"/>
              <w:bottom w:type="dxa" w:w="100"/>
              <w:right w:type="dxa" w:w="120"/>
            </w:tcMar>
          </w:tcPr>
          <w:p>
            <w:r>
              <w:rPr>
                <w:rFonts w:ascii="Calibri" w:cs="Calibri" w:eastAsia="Calibri" w:hAnsi="Calibri"/>
                <w:b/>
                <w:bCs/>
                <w:color w:val="FFFFFF"/>
                <w:sz w:val="20"/>
                <w:szCs w:val="20"/>
              </w:rPr>
              <w:t xml:space="preserve">Incluye</w:t>
            </w:r>
          </w:p>
        </w:tc>
        <w:tc>
          <w:tcPr>
            <w:tcW w:type="dxa" w:w="2650"/>
            <w:shd w:fill="23324A" w:val="clear"/>
            <w:tcMar>
              <w:top w:type="dxa" w:w="100"/>
              <w:left w:type="dxa" w:w="120"/>
              <w:bottom w:type="dxa" w:w="100"/>
              <w:right w:type="dxa" w:w="120"/>
            </w:tcMar>
          </w:tcPr>
          <w:p>
            <w:r>
              <w:rPr>
                <w:rFonts w:ascii="Calibri" w:cs="Calibri" w:eastAsia="Calibri" w:hAnsi="Calibri"/>
                <w:b/>
                <w:bCs/>
                <w:color w:val="FFFFFF"/>
                <w:sz w:val="20"/>
                <w:szCs w:val="20"/>
              </w:rPr>
              <w:t xml:space="preserve">Modalidad sugerida</w:t>
            </w:r>
          </w:p>
        </w:tc>
      </w:tr>
      <w:tr>
        <w:tc>
          <w:tcPr>
            <w:tcW w:type="dxa" w:w="2400"/>
            <w:shd w:fill="FFFFFF" w:val="clear"/>
            <w:tcMar>
              <w:top w:type="dxa" w:w="90"/>
              <w:left w:type="dxa" w:w="120"/>
              <w:bottom w:type="dxa" w:w="90"/>
              <w:right w:type="dxa" w:w="120"/>
            </w:tcMar>
          </w:tcPr>
          <w:p>
            <w:r>
              <w:rPr>
                <w:rFonts w:ascii="Calibri" w:cs="Calibri" w:eastAsia="Calibri" w:hAnsi="Calibri"/>
                <w:color w:val="1A1A1A"/>
                <w:sz w:val="20"/>
                <w:szCs w:val="20"/>
              </w:rPr>
              <w:t xml:space="preserve">Setup de lanzamiento</w:t>
            </w:r>
          </w:p>
        </w:tc>
        <w:tc>
          <w:tcPr>
            <w:tcW w:type="dxa" w:w="4300"/>
            <w:shd w:fill="FFFFFF" w:val="clear"/>
            <w:tcMar>
              <w:top w:type="dxa" w:w="90"/>
              <w:left w:type="dxa" w:w="120"/>
              <w:bottom w:type="dxa" w:w="90"/>
              <w:right w:type="dxa" w:w="120"/>
            </w:tcMar>
          </w:tcPr>
          <w:p>
            <w:r>
              <w:rPr>
                <w:rFonts w:ascii="Calibri" w:cs="Calibri" w:eastAsia="Calibri" w:hAnsi="Calibri"/>
                <w:color w:val="1A1A1A"/>
                <w:sz w:val="20"/>
                <w:szCs w:val="20"/>
              </w:rPr>
              <w:t xml:space="preserve">Fases 1 a 6 completas: cuenta, producto, cohortes, contenido, vivos, integración web, pruebas</w:t>
            </w:r>
          </w:p>
        </w:tc>
        <w:tc>
          <w:tcPr>
            <w:tcW w:type="dxa" w:w="2650"/>
            <w:shd w:fill="FFFFFF" w:val="clear"/>
            <w:tcMar>
              <w:top w:type="dxa" w:w="90"/>
              <w:left w:type="dxa" w:w="120"/>
              <w:bottom w:type="dxa" w:w="90"/>
              <w:right w:type="dxa" w:w="120"/>
            </w:tcMar>
          </w:tcPr>
          <w:p>
            <w:r>
              <w:rPr>
                <w:rFonts w:ascii="Calibri" w:cs="Calibri" w:eastAsia="Calibri" w:hAnsi="Calibri"/>
                <w:color w:val="1A1A1A"/>
                <w:sz w:val="20"/>
                <w:szCs w:val="20"/>
              </w:rPr>
              <w:t xml:space="preserve">Pago único</w:t>
            </w:r>
          </w:p>
        </w:tc>
      </w:tr>
      <w:tr>
        <w:tc>
          <w:tcPr>
            <w:tcW w:type="dxa" w:w="2400"/>
            <w:shd w:fill="F4F1EC" w:val="clear"/>
            <w:tcMar>
              <w:top w:type="dxa" w:w="90"/>
              <w:left w:type="dxa" w:w="120"/>
              <w:bottom w:type="dxa" w:w="90"/>
              <w:right w:type="dxa" w:w="120"/>
            </w:tcMar>
          </w:tcPr>
          <w:p>
            <w:r>
              <w:rPr>
                <w:rFonts w:ascii="Calibri" w:cs="Calibri" w:eastAsia="Calibri" w:hAnsi="Calibri"/>
                <w:color w:val="1A1A1A"/>
                <w:sz w:val="20"/>
                <w:szCs w:val="20"/>
              </w:rPr>
              <w:t xml:space="preserve">Diseño de experiencia</w:t>
            </w:r>
          </w:p>
        </w:tc>
        <w:tc>
          <w:tcPr>
            <w:tcW w:type="dxa" w:w="4300"/>
            <w:shd w:fill="F4F1EC" w:val="clear"/>
            <w:tcMar>
              <w:top w:type="dxa" w:w="90"/>
              <w:left w:type="dxa" w:w="120"/>
              <w:bottom w:type="dxa" w:w="90"/>
              <w:right w:type="dxa" w:w="120"/>
            </w:tcMar>
          </w:tcPr>
          <w:p>
            <w:r>
              <w:rPr>
                <w:rFonts w:ascii="Calibri" w:cs="Calibri" w:eastAsia="Calibri" w:hAnsi="Calibri"/>
                <w:color w:val="1A1A1A"/>
                <w:sz w:val="20"/>
                <w:szCs w:val="20"/>
              </w:rPr>
              <w:t xml:space="preserve">Landing de la academia, assets del área de miembros, identidad visual del checkout</w:t>
            </w:r>
          </w:p>
        </w:tc>
        <w:tc>
          <w:tcPr>
            <w:tcW w:type="dxa" w:w="2650"/>
            <w:shd w:fill="F4F1EC" w:val="clear"/>
            <w:tcMar>
              <w:top w:type="dxa" w:w="90"/>
              <w:left w:type="dxa" w:w="120"/>
              <w:bottom w:type="dxa" w:w="90"/>
              <w:right w:type="dxa" w:w="120"/>
            </w:tcMar>
          </w:tcPr>
          <w:p>
            <w:r>
              <w:rPr>
                <w:rFonts w:ascii="Calibri" w:cs="Calibri" w:eastAsia="Calibri" w:hAnsi="Calibri"/>
                <w:color w:val="1A1A1A"/>
                <w:sz w:val="20"/>
                <w:szCs w:val="20"/>
              </w:rPr>
              <w:t xml:space="preserve">Pago único (diseñadora)</w:t>
            </w:r>
          </w:p>
        </w:tc>
      </w:tr>
      <w:tr>
        <w:tc>
          <w:tcPr>
            <w:tcW w:type="dxa" w:w="2400"/>
            <w:shd w:fill="FFFFFF" w:val="clear"/>
            <w:tcMar>
              <w:top w:type="dxa" w:w="90"/>
              <w:left w:type="dxa" w:w="120"/>
              <w:bottom w:type="dxa" w:w="90"/>
              <w:right w:type="dxa" w:w="120"/>
            </w:tcMar>
          </w:tcPr>
          <w:p>
            <w:r>
              <w:rPr>
                <w:rFonts w:ascii="Calibri" w:cs="Calibri" w:eastAsia="Calibri" w:hAnsi="Calibri"/>
                <w:color w:val="1A1A1A"/>
                <w:sz w:val="20"/>
                <w:szCs w:val="20"/>
              </w:rPr>
              <w:t xml:space="preserve">Mantenimiento web</w:t>
            </w:r>
          </w:p>
        </w:tc>
        <w:tc>
          <w:tcPr>
            <w:tcW w:type="dxa" w:w="4300"/>
            <w:shd w:fill="FFFFFF" w:val="clear"/>
            <w:tcMar>
              <w:top w:type="dxa" w:w="90"/>
              <w:left w:type="dxa" w:w="120"/>
              <w:bottom w:type="dxa" w:w="90"/>
              <w:right w:type="dxa" w:w="120"/>
            </w:tcMar>
          </w:tcPr>
          <w:p>
            <w:r>
              <w:rPr>
                <w:rFonts w:ascii="Calibri" w:cs="Calibri" w:eastAsia="Calibri" w:hAnsi="Calibri"/>
                <w:color w:val="1A1A1A"/>
                <w:sz w:val="20"/>
                <w:szCs w:val="20"/>
              </w:rPr>
              <w:t xml:space="preserve">Sitio en Hostinger: actualizaciones, SEO, velocidad, ajustes de landing</w:t>
            </w:r>
          </w:p>
        </w:tc>
        <w:tc>
          <w:tcPr>
            <w:tcW w:type="dxa" w:w="2650"/>
            <w:shd w:fill="FFFFFF" w:val="clear"/>
            <w:tcMar>
              <w:top w:type="dxa" w:w="90"/>
              <w:left w:type="dxa" w:w="120"/>
              <w:bottom w:type="dxa" w:w="90"/>
              <w:right w:type="dxa" w:w="120"/>
            </w:tcMar>
          </w:tcPr>
          <w:p>
            <w:r>
              <w:rPr>
                <w:rFonts w:ascii="Calibri" w:cs="Calibri" w:eastAsia="Calibri" w:hAnsi="Calibri"/>
                <w:color w:val="1A1A1A"/>
                <w:sz w:val="20"/>
                <w:szCs w:val="20"/>
              </w:rPr>
              <w:t xml:space="preserve">Retainer mensual liviano</w:t>
            </w:r>
          </w:p>
        </w:tc>
      </w:tr>
      <w:tr>
        <w:tc>
          <w:tcPr>
            <w:tcW w:type="dxa" w:w="2400"/>
            <w:shd w:fill="F4F1EC" w:val="clear"/>
            <w:tcMar>
              <w:top w:type="dxa" w:w="90"/>
              <w:left w:type="dxa" w:w="120"/>
              <w:bottom w:type="dxa" w:w="90"/>
              <w:right w:type="dxa" w:w="120"/>
            </w:tcMar>
          </w:tcPr>
          <w:p>
            <w:r>
              <w:rPr>
                <w:rFonts w:ascii="Calibri" w:cs="Calibri" w:eastAsia="Calibri" w:hAnsi="Calibri"/>
                <w:color w:val="1A1A1A"/>
                <w:sz w:val="20"/>
                <w:szCs w:val="20"/>
              </w:rPr>
              <w:t xml:space="preserve">Soporte de escalado</w:t>
            </w:r>
          </w:p>
        </w:tc>
        <w:tc>
          <w:tcPr>
            <w:tcW w:type="dxa" w:w="4300"/>
            <w:shd w:fill="F4F1EC" w:val="clear"/>
            <w:tcMar>
              <w:top w:type="dxa" w:w="90"/>
              <w:left w:type="dxa" w:w="120"/>
              <w:bottom w:type="dxa" w:w="90"/>
              <w:right w:type="dxa" w:w="120"/>
            </w:tcMar>
          </w:tcPr>
          <w:p>
            <w:r>
              <w:rPr>
                <w:rFonts w:ascii="Calibri" w:cs="Calibri" w:eastAsia="Calibri" w:hAnsi="Calibri"/>
                <w:color w:val="1A1A1A"/>
                <w:sz w:val="20"/>
                <w:szCs w:val="20"/>
              </w:rPr>
              <w:t xml:space="preserve">Apertura de nuevas cohortes, ajustes de tracking, mejoras de embudo</w:t>
            </w:r>
          </w:p>
        </w:tc>
        <w:tc>
          <w:tcPr>
            <w:tcW w:type="dxa" w:w="2650"/>
            <w:shd w:fill="F4F1EC" w:val="clear"/>
            <w:tcMar>
              <w:top w:type="dxa" w:w="90"/>
              <w:left w:type="dxa" w:w="120"/>
              <w:bottom w:type="dxa" w:w="90"/>
              <w:right w:type="dxa" w:w="120"/>
            </w:tcMar>
          </w:tcPr>
          <w:p>
            <w:r>
              <w:rPr>
                <w:rFonts w:ascii="Calibri" w:cs="Calibri" w:eastAsia="Calibri" w:hAnsi="Calibri"/>
                <w:color w:val="1A1A1A"/>
                <w:sz w:val="20"/>
                <w:szCs w:val="20"/>
              </w:rPr>
              <w:t xml:space="preserve">Retainer mensual opcional o por hora</w:t>
            </w:r>
          </w:p>
        </w:tc>
      </w:tr>
    </w:tbl>
    <w:p>
      <w:pPr>
        <w:spacing w:after="160" w:line="288"/>
      </w:pPr>
      <w:r>
        <w:rPr>
          <w:rFonts w:ascii="Calibri" w:cs="Calibri" w:eastAsia="Calibri" w:hAnsi="Calibri"/>
          <w:color w:val="1A1A1A"/>
          <w:sz w:val="22"/>
          <w:szCs w:val="22"/>
        </w:rPr>
        <w:t xml:space="preserve">Los montos quedan a definir según su estructura de precios habitual; esta tabla es la propuesta de alcance, no de tarifas.</w:t>
      </w:r>
    </w:p>
    <w:p>
      <w:pPr>
        <w:pStyle w:val="Heading1"/>
        <w:pBdr>
          <w:bottom w:val="single" w:color="B08D57" w:sz="6" w:space="4"/>
        </w:pBdr>
        <w:spacing w:after="160" w:before="360"/>
      </w:pPr>
      <w:r>
        <w:rPr>
          <w:rFonts w:ascii="Calibri" w:cs="Calibri" w:eastAsia="Calibri" w:hAnsi="Calibri"/>
          <w:b/>
          <w:bCs/>
          <w:color w:val="23324A"/>
          <w:sz w:val="30"/>
          <w:szCs w:val="30"/>
        </w:rPr>
        <w:t xml:space="preserve">8. Roadmap y próximos pasos</w:t>
      </w:r>
    </w:p>
    <w:p>
      <w:pPr>
        <w:pStyle w:val="ListParagraph"/>
        <w:numPr>
          <w:ilvl w:val="0"/>
          <w:numId w:val="2"/>
        </w:numPr>
        <w:spacing w:after="90" w:line="276"/>
      </w:pPr>
      <w:r>
        <w:rPr>
          <w:rFonts w:ascii="Calibri" w:cs="Calibri" w:eastAsia="Calibri" w:hAnsi="Calibri"/>
          <w:color w:val="1A1A1A"/>
          <w:sz w:val="22"/>
          <w:szCs w:val="22"/>
        </w:rPr>
        <w:t xml:space="preserve">Corto plazo (0-1 mes): validar precio y esquema de cohortes con la clienta, ejecutar Fases 0 a 7.</w:t>
      </w:r>
    </w:p>
    <w:p>
      <w:pPr>
        <w:pStyle w:val="ListParagraph"/>
        <w:numPr>
          <w:ilvl w:val="0"/>
          <w:numId w:val="2"/>
        </w:numPr>
        <w:spacing w:after="90" w:line="276"/>
      </w:pPr>
      <w:r>
        <w:rPr>
          <w:rFonts w:ascii="Calibri" w:cs="Calibri" w:eastAsia="Calibri" w:hAnsi="Calibri"/>
          <w:color w:val="1A1A1A"/>
          <w:sz w:val="22"/>
          <w:szCs w:val="22"/>
        </w:rPr>
        <w:t xml:space="preserve">Mediano plazo (3-6 meses): evaluar métricas de la primera cohorte (finalización, asistencia a vivos, retención) y ajustar.</w:t>
      </w:r>
    </w:p>
    <w:p>
      <w:pPr>
        <w:pStyle w:val="ListParagraph"/>
        <w:numPr>
          <w:ilvl w:val="0"/>
          <w:numId w:val="2"/>
        </w:numPr>
        <w:spacing w:after="90" w:line="276"/>
      </w:pPr>
      <w:r>
        <w:rPr>
          <w:rFonts w:ascii="Calibri" w:cs="Calibri" w:eastAsia="Calibri" w:hAnsi="Calibri"/>
          <w:color w:val="1A1A1A"/>
          <w:sz w:val="22"/>
          <w:szCs w:val="22"/>
        </w:rPr>
        <w:t xml:space="preserve">Checkpoint de escala (6-12 meses o ~80-100 alumnas activas): si el volumen o las necesidades (comunidad más rica, gamificación avanzada, app propia) superan lo que ofrece Hotmart, recién ahí evaluar una plataforma propia con backend dedicado.</w:t>
      </w:r>
    </w:p>
    <w:p>
      <w:pPr>
        <w:spacing w:after="160" w:line="288"/>
      </w:pPr>
      <w:r>
        <w:rPr>
          <w:rFonts w:ascii="Calibri" w:cs="Calibri" w:eastAsia="Calibri" w:hAnsi="Calibri"/>
          <w:i/>
          <w:iCs/>
          <w:color w:val="6B6B6B"/>
          <w:sz w:val="22"/>
          <w:szCs w:val="22"/>
        </w:rPr>
        <w:t xml:space="preserve">Este documento es un punto de partida para decidir juntos los detalles finos (precio, fecha de lanzamiento, alcance exacto del paquete de servicios) antes de empezar la Fase 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2026-07-27T23:51:44.182Z</dcterms:created>
  <dcterms:modified xsi:type="dcterms:W3CDTF">2026-07-27T23:51:44.183Z</dcterms:modified>
</cp:coreProperties>
</file>

<file path=docProps/custom.xml><?xml version="1.0" encoding="utf-8"?>
<Properties xmlns="http://schemas.openxmlformats.org/officeDocument/2006/custom-properties" xmlns:vt="http://schemas.openxmlformats.org/officeDocument/2006/docPropsVTypes"/>
</file>