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Impact Social &amp; Environnemental</w:t>
      </w:r>
    </w:p>
    <w:p>
      <w:pPr>
        <w:spacing w:after="100"/>
        <w:jc w:val="center"/>
      </w:pPr>
      <w:r>
        <w:rPr>
          <w:rFonts w:ascii="Arial" w:cs="Arial" w:eastAsia="Arial" w:hAnsi="Arial"/>
          <w:b/>
          <w:bCs/>
          <w:color w:val="1F4E79"/>
          <w:sz w:val="48"/>
          <w:szCs w:val="48"/>
        </w:rPr>
        <w:t xml:space="preserve">du E-Commerce</w:t>
      </w:r>
    </w:p>
    <w:p>
      <w:pPr>
        <w:spacing w:after="400"/>
        <w:jc w:val="center"/>
      </w:pPr>
      <w:r>
        <w:rPr>
          <w:rFonts w:ascii="Arial" w:cs="Arial" w:eastAsia="Arial" w:hAnsi="Arial"/>
          <w:i/>
          <w:iCs/>
          <w:color w:val="555555"/>
          <w:sz w:val="26"/>
          <w:szCs w:val="26"/>
        </w:rPr>
        <w:t xml:space="preserve">Cas d’étude : le cycle de vie d’un smartphone</w:t>
      </w:r>
    </w:p>
    <w:p>
      <w:pPr>
        <w:pBdr>
          <w:top w:val="single" w:color="1F4E79" w:sz="2" w:space="12"/>
        </w:pBdr>
        <w:spacing w:after="100"/>
        <w:jc w:val="center"/>
      </w:pPr>
      <w:r>
        <w:rPr>
          <w:rFonts w:ascii="Arial" w:cs="Arial" w:eastAsia="Arial" w:hAnsi="Arial"/>
          <w:color w:val="1A1A1A"/>
          <w:sz w:val="24"/>
          <w:szCs w:val="24"/>
        </w:rPr>
        <w:t xml:space="preserve">Extension navigateur de transparence d’impact</w:t>
      </w:r>
    </w:p>
    <w:p>
      <w:pPr>
        <w:spacing w:before="1200"/>
      </w:pPr>
    </w:p>
    <w:p>
      <w:pPr>
        <w:spacing w:after="80"/>
        <w:jc w:val="center"/>
      </w:pPr>
      <w:r>
        <w:rPr>
          <w:rFonts w:ascii="Arial" w:cs="Arial" w:eastAsia="Arial" w:hAnsi="Arial"/>
          <w:b/>
          <w:bCs/>
          <w:color w:val="1A1A1A"/>
          <w:sz w:val="24"/>
          <w:szCs w:val="24"/>
        </w:rPr>
        <w:t xml:space="preserve">Groupe 7</w:t>
      </w:r>
    </w:p>
    <w:p>
      <w:pPr>
        <w:spacing w:after="80"/>
        <w:jc w:val="center"/>
      </w:pPr>
      <w:r>
        <w:rPr>
          <w:rFonts w:ascii="Arial" w:cs="Arial" w:eastAsia="Arial" w:hAnsi="Arial"/>
          <w:color w:val="1A1A1A"/>
          <w:sz w:val="22"/>
          <w:szCs w:val="22"/>
        </w:rPr>
        <w:t xml:space="preserve">Yoann · Alexis · Clément · Quentin</w:t>
      </w:r>
    </w:p>
    <w:p>
      <w:pPr>
        <w:jc w:val="center"/>
      </w:pPr>
      <w:r>
        <w:rPr>
          <w:rFonts w:ascii="Arial" w:cs="Arial" w:eastAsia="Arial" w:hAnsi="Arial"/>
          <w:color w:val="555555"/>
          <w:sz w:val="22"/>
          <w:szCs w:val="22"/>
        </w:rPr>
        <w:t xml:space="preserve">Epitech 2026</w:t>
      </w:r>
    </w:p>
    <w:p>
      <w:pPr>
        <w:sectPr>
          <w:pgSz w:w="11906" w:h="16838" w:orient="portrait"/>
          <w:pgMar w:top="1440" w:right="1440" w:bottom="1440" w:left="1440" w:header="708" w:footer="708" w:gutter="0"/>
          <w:pgNumType/>
          <w:docGrid w:linePitch="360"/>
        </w:sectPr>
      </w:pPr>
    </w:p>
    <w:p>
      <w:pPr>
        <w:pStyle w:val="Heading1"/>
      </w:pPr>
      <w:r>
        <w:t xml:space="preserve">Partie 1 — Le Projet</w:t>
      </w:r>
    </w:p>
    <w:p>
      <w:pPr>
        <w:pStyle w:val="Heading2"/>
      </w:pPr>
      <w:r>
        <w:t xml:space="preserve">1.1 Le Problème</w:t>
      </w:r>
    </w:p>
    <w:p>
      <w:pPr>
        <w:spacing w:after="120"/>
      </w:pPr>
      <w:r>
        <w:rPr>
          <w:rFonts w:ascii="Arial" w:cs="Arial" w:eastAsia="Arial" w:hAnsi="Arial"/>
          <w:color w:val="1A1A1A"/>
          <w:sz w:val="22"/>
          <w:szCs w:val="22"/>
        </w:rPr>
        <w:t xml:space="preserve">Le e-commerce connaît une croissance exponentielle, mais sa supply chain reste totalement opaque pour le consommateur. Derrière chaque produit acheté en ligne se cache une chaîne d’impacts environnementaux, sociaux et économiques que personne ne voit.</w:t>
      </w:r>
    </w:p>
    <w:p>
      <w:pPr>
        <w:spacing w:after="120"/>
      </w:pPr>
      <w:r>
        <w:rPr>
          <w:rFonts w:ascii="Arial" w:cs="Arial" w:eastAsia="Arial" w:hAnsi="Arial"/>
          <w:color w:val="1A1A1A"/>
          <w:sz w:val="22"/>
          <w:szCs w:val="22"/>
        </w:rPr>
        <w:t xml:space="preserve">Trois chiffres illustrent l’ampleur du problème :</w:t>
      </w:r>
    </w:p>
    <w:p>
      <w:pPr>
        <w:pStyle w:val="ListParagraph"/>
        <w:numPr>
          <w:ilvl w:val="0"/>
          <w:numId w:val="2"/>
        </w:numPr>
        <w:spacing w:after="80"/>
      </w:pPr>
      <w:r>
        <w:rPr>
          <w:rFonts w:ascii="Arial" w:cs="Arial" w:eastAsia="Arial" w:hAnsi="Arial"/>
          <w:b/>
          <w:bCs/>
          <w:sz w:val="22"/>
          <w:szCs w:val="22"/>
        </w:rPr>
        <w:t xml:space="preserve">62 Mt </w:t>
      </w:r>
      <w:r>
        <w:rPr>
          <w:rFonts w:ascii="Arial" w:cs="Arial" w:eastAsia="Arial" w:hAnsi="Arial"/>
          <w:sz w:val="22"/>
          <w:szCs w:val="22"/>
        </w:rPr>
        <w:t xml:space="preserve">de déchets électroniques générés par an dans le monde (</w:t>
      </w:r>
      <w:hyperlink w:history="1" r:id="rIdq3rvr1iudemnn5w0ic4cm">
        <w:r>
          <w:rPr>
            <w:rStyle w:val="Hyperlink"/>
            <w:rFonts w:ascii="Arial" w:cs="Arial" w:eastAsia="Arial" w:hAnsi="Arial"/>
            <w:sz w:val="18"/>
            <w:szCs w:val="18"/>
          </w:rPr>
          <w:t xml:space="preserve">UNITAR 2024</w:t>
        </w:r>
      </w:hyperlink>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91% </w:t>
      </w:r>
      <w:r>
        <w:rPr>
          <w:rFonts w:ascii="Arial" w:cs="Arial" w:eastAsia="Arial" w:hAnsi="Arial"/>
          <w:sz w:val="22"/>
          <w:szCs w:val="22"/>
        </w:rPr>
        <w:t xml:space="preserve">du plastique produit n’a jamais été recyclé (</w:t>
      </w:r>
      <w:hyperlink w:history="1" r:id="rId20i1syiibl_xeaanid8-f">
        <w:r>
          <w:rPr>
            <w:rStyle w:val="Hyperlink"/>
            <w:rFonts w:ascii="Arial" w:cs="Arial" w:eastAsia="Arial" w:hAnsi="Arial"/>
            <w:sz w:val="18"/>
            <w:szCs w:val="18"/>
          </w:rPr>
          <w:t xml:space="preserve">OECD 2022</w:t>
        </w:r>
      </w:hyperlink>
      <w:r>
        <w:rPr>
          <w:rFonts w:ascii="Arial" w:cs="Arial" w:eastAsia="Arial" w:hAnsi="Arial"/>
          <w:sz w:val="22"/>
          <w:szCs w:val="22"/>
        </w:rPr>
        <w:t xml:space="preserve">)</w:t>
      </w:r>
    </w:p>
    <w:p>
      <w:pPr>
        <w:pStyle w:val="ListParagraph"/>
        <w:numPr>
          <w:ilvl w:val="0"/>
          <w:numId w:val="2"/>
        </w:numPr>
        <w:spacing w:after="200"/>
      </w:pPr>
      <w:r>
        <w:rPr>
          <w:rFonts w:ascii="Arial" w:cs="Arial" w:eastAsia="Arial" w:hAnsi="Arial"/>
          <w:b/>
          <w:bCs/>
          <w:sz w:val="22"/>
          <w:szCs w:val="22"/>
        </w:rPr>
        <w:t xml:space="preserve">~40 000 enfants </w:t>
      </w:r>
      <w:r>
        <w:rPr>
          <w:rFonts w:ascii="Arial" w:cs="Arial" w:eastAsia="Arial" w:hAnsi="Arial"/>
          <w:sz w:val="22"/>
          <w:szCs w:val="22"/>
        </w:rPr>
        <w:t xml:space="preserve">travaillent dans les mines de cobalt en RDC (</w:t>
      </w:r>
      <w:hyperlink w:history="1" r:id="rIdijt5s2owrtrgkwjrqyth9">
        <w:r>
          <w:rPr>
            <w:rStyle w:val="Hyperlink"/>
            <w:rFonts w:ascii="Arial" w:cs="Arial" w:eastAsia="Arial" w:hAnsi="Arial"/>
            <w:sz w:val="18"/>
            <w:szCs w:val="18"/>
          </w:rPr>
          <w:t xml:space="preserve">UNICEF 2014</w:t>
        </w:r>
      </w:hyperlink>
      <w:r>
        <w:rPr>
          <w:rFonts w:ascii="Arial" w:cs="Arial" w:eastAsia="Arial" w:hAnsi="Arial"/>
          <w:sz w:val="22"/>
          <w:szCs w:val="22"/>
        </w:rPr>
        <w:t xml:space="preserve">)</w:t>
      </w:r>
    </w:p>
    <w:p>
      <w:pPr>
        <w:spacing w:after="120"/>
      </w:pPr>
      <w:r>
        <w:rPr>
          <w:rFonts w:ascii="Arial" w:cs="Arial" w:eastAsia="Arial" w:hAnsi="Arial"/>
          <w:color w:val="1A1A1A"/>
          <w:sz w:val="22"/>
          <w:szCs w:val="22"/>
        </w:rPr>
        <w:t xml:space="preserve">Le consommateur n’a aucune visibilité sur l’impact réel des produits qu’il achète en ligne. Il ne peut donc pas faire de choix éclairé.</w:t>
      </w:r>
    </w:p>
    <w:p>
      <w:pPr>
        <w:pStyle w:val="Heading2"/>
      </w:pPr>
      <w:r>
        <w:t xml:space="preserve">1.2 Notre Solution</w:t>
      </w:r>
    </w:p>
    <w:p>
      <w:pPr>
        <w:spacing w:after="120"/>
      </w:pPr>
      <w:r>
        <w:rPr>
          <w:rFonts w:ascii="Arial" w:cs="Arial" w:eastAsia="Arial" w:hAnsi="Arial"/>
          <w:color w:val="1A1A1A"/>
          <w:sz w:val="22"/>
          <w:szCs w:val="22"/>
        </w:rPr>
        <w:t xml:space="preserve">Nous proposons une extension navigateur qui rend visible l’invisible. Lorsque l’utilisateur navigue sur un site e-commerce, l’extension affiche en temps réel un score d’impact environnemental et social du produit consulté.</w:t>
      </w:r>
    </w:p>
    <w:p>
      <w:pPr>
        <w:spacing w:after="120"/>
      </w:pPr>
      <w:r>
        <w:rPr>
          <w:rFonts w:ascii="Arial" w:cs="Arial" w:eastAsia="Arial" w:hAnsi="Arial"/>
          <w:b/>
          <w:bCs/>
          <w:color w:val="1A1A1A"/>
          <w:sz w:val="22"/>
          <w:szCs w:val="22"/>
        </w:rPr>
        <w:t xml:space="preserve">Comment ça marche :</w:t>
      </w:r>
    </w:p>
    <w:p>
      <w:pPr>
        <w:pStyle w:val="ListParagraph"/>
        <w:numPr>
          <w:ilvl w:val="0"/>
          <w:numId w:val="3"/>
        </w:numPr>
        <w:spacing w:after="60"/>
      </w:pPr>
      <w:r>
        <w:rPr>
          <w:rFonts w:ascii="Arial" w:cs="Arial" w:eastAsia="Arial" w:hAnsi="Arial"/>
          <w:sz w:val="22"/>
          <w:szCs w:val="22"/>
        </w:rPr>
        <w:t xml:space="preserve">Installez l’extension sur votre navigateur</w:t>
      </w:r>
    </w:p>
    <w:p>
      <w:pPr>
        <w:pStyle w:val="ListParagraph"/>
        <w:numPr>
          <w:ilvl w:val="0"/>
          <w:numId w:val="3"/>
        </w:numPr>
        <w:spacing w:after="60"/>
      </w:pPr>
      <w:r>
        <w:rPr>
          <w:rFonts w:ascii="Arial" w:cs="Arial" w:eastAsia="Arial" w:hAnsi="Arial"/>
          <w:sz w:val="22"/>
          <w:szCs w:val="22"/>
        </w:rPr>
        <w:t xml:space="preserve">Naviguez sur un site e-commerce (Amazon, Cdiscount, etc.)</w:t>
      </w:r>
    </w:p>
    <w:p>
      <w:pPr>
        <w:pStyle w:val="ListParagraph"/>
        <w:numPr>
          <w:ilvl w:val="0"/>
          <w:numId w:val="3"/>
        </w:numPr>
        <w:spacing w:after="60"/>
      </w:pPr>
      <w:r>
        <w:rPr>
          <w:rFonts w:ascii="Arial" w:cs="Arial" w:eastAsia="Arial" w:hAnsi="Arial"/>
          <w:sz w:val="22"/>
          <w:szCs w:val="22"/>
        </w:rPr>
        <w:t xml:space="preserve">Le score d’impact s’affiche automatiquement sur la fiche produit</w:t>
      </w:r>
    </w:p>
    <w:p>
      <w:pPr>
        <w:pStyle w:val="ListParagraph"/>
        <w:numPr>
          <w:ilvl w:val="0"/>
          <w:numId w:val="3"/>
        </w:numPr>
        <w:spacing w:after="200"/>
      </w:pPr>
      <w:r>
        <w:rPr>
          <w:rFonts w:ascii="Arial" w:cs="Arial" w:eastAsia="Arial" w:hAnsi="Arial"/>
          <w:sz w:val="22"/>
          <w:szCs w:val="22"/>
        </w:rPr>
        <w:t xml:space="preserve">Choisissez en conscience, comparez les alternatives</w:t>
      </w:r>
    </w:p>
    <w:p>
      <w:pPr>
        <w:spacing w:after="120"/>
      </w:pPr>
      <w:r>
        <w:rPr>
          <w:rFonts w:ascii="Arial" w:cs="Arial" w:eastAsia="Arial" w:hAnsi="Arial"/>
          <w:color w:val="1A1A1A"/>
          <w:sz w:val="22"/>
          <w:szCs w:val="22"/>
        </w:rPr>
        <w:t xml:space="preserve">L’extension agrège des données de bases publiques (ADEME, labels certifiés, rapports ONG) pour calculer un score composite sur 4 dimensions : Environnement (ENV), Social (SOC), Économique (ECO) et Territorial (GEO).</w:t>
      </w:r>
    </w:p>
    <w:p>
      <w:r>
        <w:br w:type="page"/>
      </w:r>
    </w:p>
    <w:p>
      <w:pPr>
        <w:pStyle w:val="Heading1"/>
      </w:pPr>
      <w:r>
        <w:t xml:space="preserve">Partie 2 — Le Cycle de Vie du Produit</w:t>
      </w:r>
    </w:p>
    <w:p>
      <w:pPr>
        <w:spacing w:after="120"/>
      </w:pPr>
      <w:r>
        <w:rPr>
          <w:rFonts w:ascii="Arial" w:cs="Arial" w:eastAsia="Arial" w:hAnsi="Arial"/>
          <w:color w:val="1A1A1A"/>
          <w:sz w:val="22"/>
          <w:szCs w:val="22"/>
        </w:rPr>
        <w:t xml:space="preserve">Pour illustrer concrètement les impacts, nous avons choisi un cas d’étude représentatif : le cycle de vie d’un smartphone. Ce produit traverse 8 étapes, de l’extraction des matières premières jusqu’à sa fin de vie, et permet de montrer où notre extension s’intègre dans la chaîne.</w:t>
      </w:r>
    </w:p>
    <w:p>
      <w:pPr>
        <w:spacing w:after="120"/>
      </w:pPr>
      <w:r>
        <w:rPr>
          <w:rFonts w:ascii="Arial" w:cs="Arial" w:eastAsia="Arial" w:hAnsi="Arial"/>
          <w:color w:val="1A1A1A"/>
          <w:sz w:val="22"/>
          <w:szCs w:val="22"/>
        </w:rPr>
        <w:t xml:space="preserve">Le cycle se divise en 3 zones d’intégration de notre extension :</w:t>
      </w:r>
    </w:p>
    <w:p>
      <w:pPr>
        <w:pStyle w:val="ListParagraph"/>
        <w:numPr>
          <w:ilvl w:val="0"/>
          <w:numId w:val="2"/>
        </w:numPr>
        <w:spacing w:after="60"/>
      </w:pPr>
      <w:r>
        <w:rPr>
          <w:rFonts w:ascii="Arial" w:cs="Arial" w:eastAsia="Arial" w:hAnsi="Arial"/>
          <w:b/>
          <w:bCs/>
          <w:color w:val="B45309"/>
          <w:sz w:val="22"/>
          <w:szCs w:val="22"/>
        </w:rPr>
        <w:t xml:space="preserve">Zone Amont (Étapes 1-3) </w:t>
      </w:r>
      <w:r>
        <w:rPr>
          <w:rFonts w:ascii="Arial" w:cs="Arial" w:eastAsia="Arial" w:hAnsi="Arial"/>
          <w:sz w:val="22"/>
          <w:szCs w:val="22"/>
        </w:rPr>
        <w:t xml:space="preserve">— Collecte de données : l’extension récupère les informations sur l’origine, la fabrication et l’emballage</w:t>
      </w:r>
    </w:p>
    <w:p>
      <w:pPr>
        <w:pStyle w:val="ListParagraph"/>
        <w:numPr>
          <w:ilvl w:val="0"/>
          <w:numId w:val="2"/>
        </w:numPr>
        <w:spacing w:after="60"/>
      </w:pPr>
      <w:r>
        <w:rPr>
          <w:rFonts w:ascii="Arial" w:cs="Arial" w:eastAsia="Arial" w:hAnsi="Arial"/>
          <w:b/>
          <w:bCs/>
          <w:color w:val="7C3AED"/>
          <w:sz w:val="22"/>
          <w:szCs w:val="22"/>
        </w:rPr>
        <w:t xml:space="preserve">Zone Interception (Étapes 4-5) </w:t>
      </w:r>
      <w:r>
        <w:rPr>
          <w:rFonts w:ascii="Arial" w:cs="Arial" w:eastAsia="Arial" w:hAnsi="Arial"/>
          <w:sz w:val="22"/>
          <w:szCs w:val="22"/>
        </w:rPr>
        <w:t xml:space="preserve">— Point de vente : l’extension s’active sur la fiche produit et affiche le score d’impact</w:t>
      </w:r>
    </w:p>
    <w:p>
      <w:pPr>
        <w:pStyle w:val="ListParagraph"/>
        <w:numPr>
          <w:ilvl w:val="0"/>
          <w:numId w:val="2"/>
        </w:numPr>
        <w:spacing w:after="200"/>
      </w:pPr>
      <w:r>
        <w:rPr>
          <w:rFonts w:ascii="Arial" w:cs="Arial" w:eastAsia="Arial" w:hAnsi="Arial"/>
          <w:b/>
          <w:bCs/>
          <w:color w:val="059669"/>
          <w:sz w:val="22"/>
          <w:szCs w:val="22"/>
        </w:rPr>
        <w:t xml:space="preserve">Zone Impact comportemental (Étapes 6-8) </w:t>
      </w:r>
      <w:r>
        <w:rPr>
          <w:rFonts w:ascii="Arial" w:cs="Arial" w:eastAsia="Arial" w:hAnsi="Arial"/>
          <w:sz w:val="22"/>
          <w:szCs w:val="22"/>
        </w:rPr>
        <w:t xml:space="preserve">— Après l’achat : le consommateur informé change ses habitudes de livraison, d’utilisation et de recyclage</w:t>
      </w:r>
    </w:p>
    <w:p>
      <w:pPr>
        <w:pStyle w:val="Heading2"/>
      </w:pPr>
      <w:r>
        <w:t xml:space="preserve">2.1 Zone Amont — Étapes 1-3 : Extraction, Fabrication, Emballage</w:t>
      </w:r>
    </w:p>
    <w:p>
      <w:pPr>
        <w:pStyle w:val="Heading3"/>
      </w:pPr>
      <w:r>
        <w:t xml:space="preserve">Étape 1 : Extraction des matières premières</w:t>
      </w:r>
    </w:p>
    <w:p>
      <w:pPr>
        <w:spacing w:after="120"/>
      </w:pPr>
      <w:r>
        <w:rPr>
          <w:rFonts w:ascii="Arial" w:cs="Arial" w:eastAsia="Arial" w:hAnsi="Arial"/>
          <w:color w:val="1A1A1A"/>
          <w:sz w:val="22"/>
          <w:szCs w:val="22"/>
        </w:rPr>
        <w:t xml:space="preserve">La fabrication d’un seul smartphone nécessite l’extraction de 70 kg de matières premières (ADEME/FNE 2017), incluant des minéraux critiques comme le cobalt, le lithium et les terres rares. Plus de 50% du cobalt mondial provient de République Démocratique du Congo, où environ 40 000 enfants travaillent dans les mines artisanales (UNICEF 2014). L’extraction provoque déforestation, pollution des sols et des eaux, et déplacement de communautés locales.</w:t>
      </w:r>
    </w:p>
    <w:p>
      <w:pPr>
        <w:spacing w:after="120"/>
      </w:pPr>
      <w:r>
        <w:rPr>
          <w:rFonts w:ascii="Arial" w:cs="Arial" w:eastAsia="Arial" w:hAnsi="Arial"/>
          <w:color w:val="1A1A1A"/>
          <w:sz w:val="22"/>
          <w:szCs w:val="22"/>
        </w:rPr>
        <w:t xml:space="preserve">Notre extension collecte : origine des minerais, certifications RMI (Responsible Minerals Initiative), traçabilité du cobalt.</w:t>
      </w:r>
    </w:p>
    <w:p>
      <w:pPr>
        <w:pStyle w:val="Heading3"/>
      </w:pPr>
      <w:r>
        <w:t xml:space="preserve">Étape 2 : Fabrication &amp; Assemblage</w:t>
      </w:r>
    </w:p>
    <w:p>
      <w:pPr>
        <w:spacing w:after="120"/>
      </w:pPr>
      <w:r>
        <w:rPr>
          <w:rFonts w:ascii="Arial" w:cs="Arial" w:eastAsia="Arial" w:hAnsi="Arial"/>
          <w:color w:val="1A1A1A"/>
          <w:sz w:val="22"/>
          <w:szCs w:val="22"/>
        </w:rPr>
        <w:t xml:space="preserve">La fabrication représente ~80% de l’empreinte carbone totale d’un smartphone. Pour un iPhone 15, cela représente environ 66 kg de CO₂ (Apple Env. Report 2023). Les ouvriers d’assemblage, notamment chez Foxconn en Chine, travaillent jusqu’à 60 heures par semaine, dépassant les limites légales chinoises de 36 heures d’heures supplémentaires par mois (China Labor Watch 2019).</w:t>
      </w:r>
    </w:p>
    <w:p>
      <w:pPr>
        <w:spacing w:after="120"/>
      </w:pPr>
      <w:r>
        <w:rPr>
          <w:rFonts w:ascii="Arial" w:cs="Arial" w:eastAsia="Arial" w:hAnsi="Arial"/>
          <w:color w:val="1A1A1A"/>
          <w:sz w:val="22"/>
          <w:szCs w:val="22"/>
        </w:rPr>
        <w:t xml:space="preserve">Notre extension collecte : score carbone de l’usine, conditions de travail, pays d’assemblage, controverses.</w:t>
      </w:r>
    </w:p>
    <w:p>
      <w:pPr>
        <w:pStyle w:val="Heading3"/>
      </w:pPr>
      <w:r>
        <w:t xml:space="preserve">Étape 3 : Emballage &amp; Packaging</w:t>
      </w:r>
    </w:p>
    <w:p>
      <w:pPr>
        <w:spacing w:after="120"/>
      </w:pPr>
      <w:r>
        <w:rPr>
          <w:rFonts w:ascii="Arial" w:cs="Arial" w:eastAsia="Arial" w:hAnsi="Arial"/>
          <w:color w:val="1A1A1A"/>
          <w:sz w:val="22"/>
          <w:szCs w:val="22"/>
        </w:rPr>
        <w:t xml:space="preserve">Apple a réduit ses emballages de 75% depuis 2015 et utilise désormais 100% de fibre recyclée (Apple Env. Report 2023). Le retrait du chargeur des boîtes d’iPhone a permis d’économiser 861 000 tonnes de minerai de cuivre, étain et zinc (Apple Env. Report 2021). Cependant, le suremballage reste un problème systémique dans l’industrie.</w:t>
      </w:r>
    </w:p>
    <w:p>
      <w:pPr>
        <w:spacing w:after="120"/>
      </w:pPr>
      <w:r>
        <w:rPr>
          <w:rFonts w:ascii="Arial" w:cs="Arial" w:eastAsia="Arial" w:hAnsi="Arial"/>
          <w:color w:val="1A1A1A"/>
          <w:sz w:val="22"/>
          <w:szCs w:val="22"/>
        </w:rPr>
        <w:t xml:space="preserve">Notre extension collecte : type d’emballage, recyclabilité, indice de sobriété.</w:t>
      </w:r>
    </w:p>
    <w:p>
      <w:pPr>
        <w:pStyle w:val="Heading2"/>
      </w:pPr>
      <w:r>
        <w:t xml:space="preserve">2.2 Zone Interception — Étapes 4-5 : Transport &amp; Distribution</w:t>
      </w:r>
    </w:p>
    <w:p>
      <w:pPr>
        <w:pStyle w:val="Heading3"/>
      </w:pPr>
      <w:r>
        <w:t xml:space="preserve">Étape 4 : Transport &amp; Logistique</w:t>
      </w:r>
    </w:p>
    <w:p>
      <w:pPr>
        <w:spacing w:after="120"/>
      </w:pPr>
      <w:r>
        <w:rPr>
          <w:rFonts w:ascii="Arial" w:cs="Arial" w:eastAsia="Arial" w:hAnsi="Arial"/>
          <w:color w:val="1A1A1A"/>
          <w:sz w:val="22"/>
          <w:szCs w:val="22"/>
        </w:rPr>
        <w:t xml:space="preserve">Le transport représente environ 5% de l’empreinte carbone totale d’un smartphone, soit ~3 kg de CO₂ (Apple Env. Report 2023). La majorité des smartphones sont expédiés par avion depuis Shenzhen vers l’Europe, un mode 50 fois plus polluant que le transport maritime. Le transport maritime mondial représente à lui seul 3% des émissions mondiales de CO₂, soit environ 1 milliard de tonnes par an (IMO 2020). Le coût social du carbone, estimé à 250€/tonne pour 2030 (Quinet 2019), n’est pas répercuté dans le prix des produits.</w:t>
      </w:r>
    </w:p>
    <w:p>
      <w:pPr>
        <w:pStyle w:val="Heading3"/>
      </w:pPr>
      <w:r>
        <w:t xml:space="preserve">Étape 5 : Distribution &amp; Vente en ligne</w:t>
      </w:r>
    </w:p>
    <w:p>
      <w:pPr>
        <w:spacing w:after="120"/>
      </w:pPr>
      <w:r>
        <w:rPr>
          <w:rFonts w:ascii="Arial" w:cs="Arial" w:eastAsia="Arial" w:hAnsi="Arial"/>
          <w:color w:val="1A1A1A"/>
          <w:sz w:val="22"/>
          <w:szCs w:val="22"/>
        </w:rPr>
        <w:t xml:space="preserve">Le e-commerce génère un taux de retour de 8-10% pour l’électronique (Statista 2023), impliquant un double transport et un reconditionnement coûteux. 53.3% des allégations environnementales dans l’UE sont trompeuses ou infondées (Commission EU 2021), induisant les consommateurs en erreur. La concentration du commerce en ligne contribue à la dévitalisation des centres-villes : le taux de vacance commerciale en France atteint 12.5% (Procos 2023).</w:t>
      </w:r>
    </w:p>
    <w:p>
      <w:pPr>
        <w:spacing w:after="120"/>
      </w:pPr>
      <w:r>
        <w:rPr>
          <w:rFonts w:ascii="Arial" w:cs="Arial" w:eastAsia="Arial" w:hAnsi="Arial"/>
          <w:color w:val="1A1A1A"/>
          <w:sz w:val="22"/>
          <w:szCs w:val="22"/>
        </w:rPr>
        <w:t xml:space="preserve">C’est à cette étape que notre extension agit : elle s’active sur la fiche produit et affiche le score d’impact en temps réel, permettant au consommateur de comparer et de choisir en connaissance de cause.</w:t>
      </w:r>
    </w:p>
    <w:p>
      <w:pPr>
        <w:pStyle w:val="Heading2"/>
      </w:pPr>
      <w:r>
        <w:t xml:space="preserve">2.3 Zone Impact comportemental — Étapes 6-8 : Livraison, Utilisation, Fin de vie</w:t>
      </w:r>
    </w:p>
    <w:p>
      <w:pPr>
        <w:pStyle w:val="Heading3"/>
      </w:pPr>
      <w:r>
        <w:t xml:space="preserve">Étape 6 : Livraison au consommateur</w:t>
      </w:r>
    </w:p>
    <w:p>
      <w:pPr>
        <w:spacing w:after="120"/>
      </w:pPr>
      <w:r>
        <w:rPr>
          <w:rFonts w:ascii="Arial" w:cs="Arial" w:eastAsia="Arial" w:hAnsi="Arial"/>
          <w:color w:val="1A1A1A"/>
          <w:sz w:val="22"/>
          <w:szCs w:val="22"/>
        </w:rPr>
        <w:t xml:space="preserve">La livraison d’un colis représente environ 500g de CO₂ sur l’ensemble de la chaîne (ADEME 2022). Avec 3 milliards de colis livrés par an en France, cela représente 1.5 Mt de CO₂. Environ 97% des livreurs de plateformes sont des auto-entrepreneurs sans protection sociale (DARES 2022). Un retour double l’impact CO₂ de la livraison.</w:t>
      </w:r>
    </w:p>
    <w:p>
      <w:pPr>
        <w:spacing w:after="120"/>
      </w:pPr>
      <w:r>
        <w:rPr>
          <w:rFonts w:ascii="Arial" w:cs="Arial" w:eastAsia="Arial" w:hAnsi="Arial"/>
          <w:color w:val="1A1A1A"/>
          <w:sz w:val="22"/>
          <w:szCs w:val="22"/>
        </w:rPr>
        <w:t xml:space="preserve">Changement provoqué par l’extension : choix de livraison groupée, point relais (−30% CO₂).</w:t>
      </w:r>
    </w:p>
    <w:p>
      <w:pPr>
        <w:pStyle w:val="Heading3"/>
      </w:pPr>
      <w:r>
        <w:t xml:space="preserve">Étape 7 : Utilisation par le client</w:t>
      </w:r>
    </w:p>
    <w:p>
      <w:pPr>
        <w:spacing w:after="120"/>
      </w:pPr>
      <w:r>
        <w:rPr>
          <w:rFonts w:ascii="Arial" w:cs="Arial" w:eastAsia="Arial" w:hAnsi="Arial"/>
          <w:color w:val="1A1A1A"/>
          <w:sz w:val="22"/>
          <w:szCs w:val="22"/>
        </w:rPr>
        <w:t xml:space="preserve">La durée de vie moyenne d’un smartphone est de 2.5 ans (ADEME 2023), alors qu’il pourrait durer 5 à 7 ans. Garder son téléphone un an de plus réduit son impact annuel de 25%. Les scores de réparabilité affichés par les fabricants sont surévalués de +1.5 points en moyenne (HOP 2023), rendant l’indice trompeur pour le consommateur.</w:t>
      </w:r>
    </w:p>
    <w:p>
      <w:pPr>
        <w:spacing w:after="120"/>
      </w:pPr>
      <w:r>
        <w:rPr>
          <w:rFonts w:ascii="Arial" w:cs="Arial" w:eastAsia="Arial" w:hAnsi="Arial"/>
          <w:color w:val="1A1A1A"/>
          <w:sz w:val="22"/>
          <w:szCs w:val="22"/>
        </w:rPr>
        <w:t xml:space="preserve">Changement provoqué par l’extension : conseils de durabilité, score de réparabilité corrigé.</w:t>
      </w:r>
    </w:p>
    <w:p>
      <w:pPr>
        <w:pStyle w:val="Heading3"/>
      </w:pPr>
      <w:r>
        <w:t xml:space="preserve">Étape 8 : Fin de vie — Recyclage ou Décharge</w:t>
      </w:r>
    </w:p>
    <w:p>
      <w:pPr>
        <w:spacing w:after="120"/>
      </w:pPr>
      <w:r>
        <w:rPr>
          <w:rFonts w:ascii="Arial" w:cs="Arial" w:eastAsia="Arial" w:hAnsi="Arial"/>
          <w:color w:val="1A1A1A"/>
          <w:sz w:val="22"/>
          <w:szCs w:val="22"/>
        </w:rPr>
        <w:t xml:space="preserve">77.7% des déchets électroniques ne sont pas recyclés correctement dans le monde (UNITAR 2024). Pourtant, une tonne de smartphones contient environ 300g d’or, soit 60 fois plus qu’une tonne de minerai aurifre (UNEP 2013). Ces métaux précieux sont perdus définitivement lorsque les appareils finissent en décharge ou dans des filières informelles.</w:t>
      </w:r>
    </w:p>
    <w:p>
      <w:pPr>
        <w:spacing w:after="120"/>
      </w:pPr>
      <w:r>
        <w:rPr>
          <w:rFonts w:ascii="Arial" w:cs="Arial" w:eastAsia="Arial" w:hAnsi="Arial"/>
          <w:color w:val="1A1A1A"/>
          <w:sz w:val="22"/>
          <w:szCs w:val="22"/>
        </w:rPr>
        <w:t xml:space="preserve">Changement provoqué par l’extension : points de collecte, filières de recyclage certifiées.</w:t>
      </w:r>
    </w:p>
    <w:p>
      <w:pPr>
        <w:spacing w:after="120"/>
      </w:pPr>
      <w:r>
        <w:rPr>
          <w:rFonts w:ascii="Arial" w:cs="Arial" w:eastAsia="Arial" w:hAnsi="Arial"/>
          <w:b/>
          <w:bCs/>
          <w:color w:val="1A1A1A"/>
          <w:sz w:val="22"/>
          <w:szCs w:val="22"/>
        </w:rPr>
        <w:t xml:space="preserve">Impact projeté de l’extension : −15% de retours, +1 an de durée de vie smartphone, +30% de recyclage orienté.</w:t>
      </w:r>
    </w:p>
    <w:p>
      <w:r>
        <w:br w:type="page"/>
      </w:r>
    </w:p>
    <w:p>
      <w:pPr>
        <w:pStyle w:val="Heading1"/>
      </w:pPr>
      <w:r>
        <w:t xml:space="preserve">Partie 3 — Évaluation d’Impact</w:t>
      </w:r>
    </w:p>
    <w:p>
      <w:pPr>
        <w:spacing w:after="120"/>
      </w:pPr>
      <w:r>
        <w:rPr>
          <w:rFonts w:ascii="Arial" w:cs="Arial" w:eastAsia="Arial" w:hAnsi="Arial"/>
          <w:color w:val="1A1A1A"/>
          <w:sz w:val="22"/>
          <w:szCs w:val="22"/>
        </w:rPr>
        <w:t xml:space="preserve">L’évaluation d’impact est structurée autour de 4 dimensions ESG+ : Environnemental (ENV), Social (SOC), Économique (ECO), et Territorial/Géographique (GEO). Chaque indicateur est rattaché à une étape précise du cycle de vie, quantifié avec une valeur mesurée, et attribué à une source vérifiable.</w:t>
      </w:r>
    </w:p>
    <w:p>
      <w:pPr>
        <w:spacing w:after="120"/>
      </w:pPr>
      <w:r>
        <w:rPr>
          <w:rFonts w:ascii="Arial" w:cs="Arial" w:eastAsia="Arial" w:hAnsi="Arial"/>
          <w:color w:val="1A1A1A"/>
          <w:sz w:val="22"/>
          <w:szCs w:val="22"/>
        </w:rPr>
        <w:t xml:space="preserve">Cas d’étude : le cycle de vie d’un smartphone.</w:t>
      </w:r>
    </w:p>
    <w:p>
      <w:pPr>
        <w:spacing w:after="200" w:before="120"/>
      </w:pPr>
      <w:r>
        <w:rPr>
          <w:rFonts w:ascii="Arial" w:cs="Arial" w:eastAsia="Arial" w:hAnsi="Arial"/>
          <w:b/>
          <w:bCs/>
          <w:color w:val="1A1A1A"/>
          <w:sz w:val="18"/>
          <w:szCs w:val="18"/>
          <w:shd w:fill="E2F0D9" w:val="clear"/>
        </w:rPr>
        <w:t xml:space="preserve"> ENV = Environnemental </w:t>
      </w:r>
      <w:r>
        <w:rPr>
          <w:rFonts w:ascii="Arial" w:cs="Arial" w:eastAsia="Arial" w:hAnsi="Arial"/>
          <w:sz w:val="18"/>
          <w:szCs w:val="18"/>
        </w:rPr>
        <w:t xml:space="preserve">   </w:t>
      </w:r>
      <w:r>
        <w:rPr>
          <w:rFonts w:ascii="Arial" w:cs="Arial" w:eastAsia="Arial" w:hAnsi="Arial"/>
          <w:b/>
          <w:bCs/>
          <w:color w:val="1A1A1A"/>
          <w:sz w:val="18"/>
          <w:szCs w:val="18"/>
          <w:shd w:fill="D6E4F0" w:val="clear"/>
        </w:rPr>
        <w:t xml:space="preserve"> SOC = Social </w:t>
      </w:r>
      <w:r>
        <w:rPr>
          <w:rFonts w:ascii="Arial" w:cs="Arial" w:eastAsia="Arial" w:hAnsi="Arial"/>
          <w:sz w:val="18"/>
          <w:szCs w:val="18"/>
        </w:rPr>
        <w:t xml:space="preserve">   </w:t>
      </w:r>
      <w:r>
        <w:rPr>
          <w:rFonts w:ascii="Arial" w:cs="Arial" w:eastAsia="Arial" w:hAnsi="Arial"/>
          <w:b/>
          <w:bCs/>
          <w:color w:val="1A1A1A"/>
          <w:sz w:val="18"/>
          <w:szCs w:val="18"/>
          <w:shd w:fill="FFF2CC" w:val="clear"/>
        </w:rPr>
        <w:t xml:space="preserve"> ECO = Economique </w:t>
      </w:r>
      <w:r>
        <w:rPr>
          <w:rFonts w:ascii="Arial" w:cs="Arial" w:eastAsia="Arial" w:hAnsi="Arial"/>
          <w:sz w:val="18"/>
          <w:szCs w:val="18"/>
        </w:rPr>
        <w:t xml:space="preserve">   </w:t>
      </w:r>
      <w:r>
        <w:rPr>
          <w:rFonts w:ascii="Arial" w:cs="Arial" w:eastAsia="Arial" w:hAnsi="Arial"/>
          <w:b/>
          <w:bCs/>
          <w:color w:val="1A1A1A"/>
          <w:sz w:val="18"/>
          <w:szCs w:val="18"/>
          <w:shd w:fill="FFE0CC" w:val="clear"/>
        </w:rPr>
        <w:t xml:space="preserve"> GEO = Territorial </w:t>
      </w:r>
    </w:p>
    <w:p>
      <w:pPr>
        <w:pStyle w:val="Heading2"/>
      </w:pPr>
      <w:r>
        <w:t xml:space="preserve">3.1 Évaluation Amont — Étapes 1-3 : Extraction, Fabrication, Emballage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200"/>
        <w:gridCol w:w="900"/>
        <w:gridCol w:w="2200"/>
        <w:gridCol w:w="14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Etape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Indicateur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 concret</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 Extraction</w:t>
            </w:r>
          </w:p>
        </w:tc>
        <w:tc>
          <w:tcPr>
            <w:tcW w:type="dxa" w:w="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Matières premières pour 1 smartphone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70 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Dont cobalt, lithium, terres rares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r5s6neqatnkugk8lp6yy">
              <w:r>
                <w:rPr>
                  <w:rStyle w:val="Hyperlink"/>
                  <w:rFonts w:ascii="Arial" w:cs="Arial" w:eastAsia="Arial" w:hAnsi="Arial"/>
                  <w:sz w:val="18"/>
                  <w:szCs w:val="18"/>
                </w:rPr>
                <w:t xml:space="preserve">ADEME/FNE 2017</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 Extraction</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SOC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Enfants dans les mines de cobalt (RDC)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~40 000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&gt;50% du cobalt mondial vient de RDC</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tqgi2lvmm860marlr3mce">
              <w:r>
                <w:rPr>
                  <w:rStyle w:val="Hyperlink"/>
                  <w:rFonts w:ascii="Arial" w:cs="Arial" w:eastAsia="Arial" w:hAnsi="Arial"/>
                  <w:sz w:val="18"/>
                  <w:szCs w:val="18"/>
                </w:rPr>
                <w:t xml:space="preserve">UNICEF 2014</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2. Fabrication</w:t>
            </w:r>
          </w:p>
        </w:tc>
        <w:tc>
          <w:tcPr>
            <w:tcW w:type="dxa" w:w="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CO₂ fabrication d’1 iPhone 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~66 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 ~80% de l’empreinte carbone totale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_p8yqxhu0dni6mgyqtb0">
              <w:r>
                <w:rPr>
                  <w:rStyle w:val="Hyperlink"/>
                  <w:rFonts w:ascii="Arial" w:cs="Arial" w:eastAsia="Arial" w:hAnsi="Arial"/>
                  <w:sz w:val="18"/>
                  <w:szCs w:val="18"/>
                </w:rPr>
                <w:t xml:space="preserve">Apple Env. Report 2023</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2. Fabrication</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SOC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Heures/semaine ouvrier assemblage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60h/sem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Dépassement des limites légales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0ikgtkvfv6ca0n5tl9rj2">
              <w:r>
                <w:rPr>
                  <w:rStyle w:val="Hyperlink"/>
                  <w:rFonts w:ascii="Arial" w:cs="Arial" w:eastAsia="Arial" w:hAnsi="Arial"/>
                  <w:sz w:val="18"/>
                  <w:szCs w:val="18"/>
                </w:rPr>
                <w:t xml:space="preserve">China Labor Watch 2019</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3. Emballage</w:t>
            </w:r>
          </w:p>
        </w:tc>
        <w:tc>
          <w:tcPr>
            <w:tcW w:type="dxa" w:w="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Réduction emballage Apple depuis 2015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100% fibre recyclée dans le packaging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cjhsaemteajkatt6gkpj">
              <w:r>
                <w:rPr>
                  <w:rStyle w:val="Hyperlink"/>
                  <w:rFonts w:ascii="Arial" w:cs="Arial" w:eastAsia="Arial" w:hAnsi="Arial"/>
                  <w:sz w:val="18"/>
                  <w:szCs w:val="18"/>
                </w:rPr>
                <w:t xml:space="preserve">Apple Env. Report 2023</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3. Emballage</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Économie retrait chargeur (Apple)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861 000 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Minerai cuivre, étain, zinc non extrait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wllelmkl7-vxyipi7m0i">
              <w:r>
                <w:rPr>
                  <w:rStyle w:val="Hyperlink"/>
                  <w:rFonts w:ascii="Arial" w:cs="Arial" w:eastAsia="Arial" w:hAnsi="Arial"/>
                  <w:sz w:val="18"/>
                  <w:szCs w:val="18"/>
                </w:rPr>
                <w:t xml:space="preserve">Apple Env. Report 2021</w:t>
              </w:r>
            </w:hyperlink>
          </w:p>
        </w:tc>
      </w:tr>
    </w:tbl>
    <w:p>
      <w:pPr>
        <w:spacing w:before="300"/>
      </w:pPr>
    </w:p>
    <w:p>
      <w:pPr>
        <w:pStyle w:val="Heading2"/>
      </w:pPr>
      <w:r>
        <w:t xml:space="preserve">3.2 Évaluation Point de Vente — Étapes 4-5 : Transport &amp; Distribution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200"/>
        <w:gridCol w:w="900"/>
        <w:gridCol w:w="2200"/>
        <w:gridCol w:w="14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Etape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Indicateur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 concret</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4. Transport</w:t>
            </w:r>
          </w:p>
        </w:tc>
        <w:tc>
          <w:tcPr>
            <w:tcW w:type="dxa" w:w="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CO₂ transport dans le cycle de vie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~3 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~5% de l’empreinte totale du smartphone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v1c-kdtlkvj9qiugwxbg">
              <w:r>
                <w:rPr>
                  <w:rStyle w:val="Hyperlink"/>
                  <w:rFonts w:ascii="Arial" w:cs="Arial" w:eastAsia="Arial" w:hAnsi="Arial"/>
                  <w:sz w:val="18"/>
                  <w:szCs w:val="18"/>
                </w:rPr>
                <w:t xml:space="preserve">Apple Env. Report 2023</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4. Transport</w:t>
            </w:r>
          </w:p>
        </w:tc>
        <w:tc>
          <w:tcPr>
            <w:tcW w:type="dxa" w:w="6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GEO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CO₂ mondial du transport maritime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~1 Mrd tonnes CO₂/an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pkvw9wi8tiatddocceue">
              <w:r>
                <w:rPr>
                  <w:rStyle w:val="Hyperlink"/>
                  <w:rFonts w:ascii="Arial" w:cs="Arial" w:eastAsia="Arial" w:hAnsi="Arial"/>
                  <w:sz w:val="18"/>
                  <w:szCs w:val="18"/>
                </w:rPr>
                <w:t xml:space="preserve">IMO 2020</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4. Transport</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Coût social du CO₂ (horizon 2030)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250€/t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Non répercuté dans le prix du produit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deoufg2lr3ghrgug07lv">
              <w:r>
                <w:rPr>
                  <w:rStyle w:val="Hyperlink"/>
                  <w:rFonts w:ascii="Arial" w:cs="Arial" w:eastAsia="Arial" w:hAnsi="Arial"/>
                  <w:sz w:val="18"/>
                  <w:szCs w:val="18"/>
                </w:rPr>
                <w:t xml:space="preserve">Quinet 2019</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5. Distribution</w:t>
            </w:r>
          </w:p>
        </w:tc>
        <w:tc>
          <w:tcPr>
            <w:tcW w:type="dxa" w:w="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Taux de retour électronique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8-10%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Double transport, reconditionnement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0x5rqbl11mzoo-yudboeu">
              <w:r>
                <w:rPr>
                  <w:rStyle w:val="Hyperlink"/>
                  <w:rFonts w:ascii="Arial" w:cs="Arial" w:eastAsia="Arial" w:hAnsi="Arial"/>
                  <w:sz w:val="18"/>
                  <w:szCs w:val="18"/>
                </w:rPr>
                <w:t xml:space="preserve">Statista 2023</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5. Distribution</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SOC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Greenwashing allégations 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53.3%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Consommateurs induits en erreur</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uqw5lykh971uxosewzfc">
              <w:r>
                <w:rPr>
                  <w:rStyle w:val="Hyperlink"/>
                  <w:rFonts w:ascii="Arial" w:cs="Arial" w:eastAsia="Arial" w:hAnsi="Arial"/>
                  <w:sz w:val="18"/>
                  <w:szCs w:val="18"/>
                </w:rPr>
                <w:t xml:space="preserve">Commission EU 2021</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5. Distribution</w:t>
            </w:r>
          </w:p>
        </w:tc>
        <w:tc>
          <w:tcPr>
            <w:tcW w:type="dxa" w:w="6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GEO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Vacance commerciale centres-villes FR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12.5%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Dévitalisation des cœurs de ville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j2kfxgzh_isuibotmd48">
              <w:r>
                <w:rPr>
                  <w:rStyle w:val="Hyperlink"/>
                  <w:rFonts w:ascii="Arial" w:cs="Arial" w:eastAsia="Arial" w:hAnsi="Arial"/>
                  <w:sz w:val="18"/>
                  <w:szCs w:val="18"/>
                </w:rPr>
                <w:t xml:space="preserve">Procos 2023</w:t>
              </w:r>
            </w:hyperlink>
          </w:p>
        </w:tc>
      </w:tr>
    </w:tbl>
    <w:p>
      <w:pPr>
        <w:spacing w:before="300"/>
      </w:pPr>
    </w:p>
    <w:p>
      <w:pPr>
        <w:pStyle w:val="Heading2"/>
      </w:pPr>
      <w:r>
        <w:t xml:space="preserve">3.3 Évaluation Aval — Étapes 6-8 : Livraison, Utilisation, Fin de vie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200"/>
        <w:gridCol w:w="900"/>
        <w:gridCol w:w="2200"/>
        <w:gridCol w:w="14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Etape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Indicateur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 concret</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6. Livraison</w:t>
            </w:r>
          </w:p>
        </w:tc>
        <w:tc>
          <w:tcPr>
            <w:tcW w:type="dxa" w:w="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CO₂ par colis livré (chaîne complète)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~500g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×3 Mrd colis/an FR = 1.5 Mt CO₂</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kdlwxqgu_nvljtt-2uuyj">
              <w:r>
                <w:rPr>
                  <w:rStyle w:val="Hyperlink"/>
                  <w:rFonts w:ascii="Arial" w:cs="Arial" w:eastAsia="Arial" w:hAnsi="Arial"/>
                  <w:sz w:val="18"/>
                  <w:szCs w:val="18"/>
                </w:rPr>
                <w:t xml:space="preserve">ADEME 2022</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6. Livraison</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SOC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Livreurs plateformes auto-entrepreneurs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~97%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Aucune protection sociale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1ldn5msomlkwtsicvy4m7">
              <w:r>
                <w:rPr>
                  <w:rStyle w:val="Hyperlink"/>
                  <w:rFonts w:ascii="Arial" w:cs="Arial" w:eastAsia="Arial" w:hAnsi="Arial"/>
                  <w:sz w:val="18"/>
                  <w:szCs w:val="18"/>
                </w:rPr>
                <w:t xml:space="preserve">DARES 2022</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7. Utilisation</w:t>
            </w:r>
          </w:p>
        </w:tc>
        <w:tc>
          <w:tcPr>
            <w:tcW w:type="dxa" w:w="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Durée de vie réelle smartphone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2.5 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+1 an gardé = −25% d’impact/an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3qrug92ox0tw2iwe0boei">
              <w:r>
                <w:rPr>
                  <w:rStyle w:val="Hyperlink"/>
                  <w:rFonts w:ascii="Arial" w:cs="Arial" w:eastAsia="Arial" w:hAnsi="Arial"/>
                  <w:sz w:val="18"/>
                  <w:szCs w:val="18"/>
                </w:rPr>
                <w:t xml:space="preserve">ADEME 2023</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7. Utilisation</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SOC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Scores réparabilité surévalués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+1.5 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Indice trompeur pour le consommateur</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wpa3zuqpx6bugp7hh76x8">
              <w:r>
                <w:rPr>
                  <w:rStyle w:val="Hyperlink"/>
                  <w:rFonts w:ascii="Arial" w:cs="Arial" w:eastAsia="Arial" w:hAnsi="Arial"/>
                  <w:sz w:val="18"/>
                  <w:szCs w:val="18"/>
                </w:rPr>
                <w:t xml:space="preserve">HOP 2023</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8. Fin de vie</w:t>
            </w:r>
          </w:p>
        </w:tc>
        <w:tc>
          <w:tcPr>
            <w:tcW w:type="dxa" w:w="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E-waste non recyclé correctement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77.7%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Métaux précieux perdus définitivement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3skxadlvpnzpxt1-myeim">
              <w:r>
                <w:rPr>
                  <w:rStyle w:val="Hyperlink"/>
                  <w:rFonts w:ascii="Arial" w:cs="Arial" w:eastAsia="Arial" w:hAnsi="Arial"/>
                  <w:sz w:val="18"/>
                  <w:szCs w:val="18"/>
                </w:rPr>
                <w:t xml:space="preserve">UNITAR 2024</w:t>
              </w:r>
            </w:hyperlink>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8. Fin de vie</w:t>
            </w:r>
          </w:p>
        </w:tc>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1A1A1A"/>
                <w:sz w:val="16"/>
                <w:szCs w:val="16"/>
              </w:rPr>
              <w:t xml:space="preserve">ECO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Or dans 1 tonne de smartphones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300g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vs 5g/t en mine — 60× plus concentré</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flbjbt_1b3tq0ciqow6c">
              <w:r>
                <w:rPr>
                  <w:rStyle w:val="Hyperlink"/>
                  <w:rFonts w:ascii="Arial" w:cs="Arial" w:eastAsia="Arial" w:hAnsi="Arial"/>
                  <w:sz w:val="18"/>
                  <w:szCs w:val="18"/>
                </w:rPr>
                <w:t xml:space="preserve">UNEP 2013</w:t>
              </w:r>
            </w:hyperlink>
          </w:p>
        </w:tc>
      </w:tr>
    </w:tbl>
    <w:p>
      <w:r>
        <w:br w:type="page"/>
      </w:r>
    </w:p>
    <w:p>
      <w:pPr>
        <w:pStyle w:val="Heading2"/>
      </w:pPr>
      <w:r>
        <w:t xml:space="preserve">3.4 Effets Systémiques</w:t>
      </w:r>
    </w:p>
    <w:p>
      <w:pPr>
        <w:spacing w:after="120"/>
      </w:pPr>
      <w:r>
        <w:rPr>
          <w:rFonts w:ascii="Arial" w:cs="Arial" w:eastAsia="Arial" w:hAnsi="Arial"/>
          <w:color w:val="1A1A1A"/>
          <w:sz w:val="22"/>
          <w:szCs w:val="22"/>
        </w:rPr>
        <w:t xml:space="preserve">Les impacts de la supply chain ne restent pas isolés à une étape. Ils se propagent en chaînes causales qui amplifient les conséquences sur l’environnement, la société et l’économie. Nous avons identifié 5 chaînes négatives et 1 chaîne positive générée par notre extension.</w:t>
      </w:r>
    </w:p>
    <w:p>
      <w:pPr>
        <w:pStyle w:val="Heading3"/>
      </w:pPr>
      <w:r>
        <w:t xml:space="preserve">Chaînes causales négatives :</w:t>
      </w:r>
    </w:p>
    <w:p>
      <w:pPr>
        <w:pStyle w:val="ListParagraph"/>
        <w:numPr>
          <w:ilvl w:val="0"/>
          <w:numId w:val="2"/>
        </w:numPr>
        <w:spacing w:after="80"/>
      </w:pPr>
      <w:r>
        <w:rPr>
          <w:rFonts w:ascii="Arial" w:cs="Arial" w:eastAsia="Arial" w:hAnsi="Arial"/>
          <w:b/>
          <w:bCs/>
          <w:sz w:val="22"/>
          <w:szCs w:val="22"/>
        </w:rPr>
        <w:t xml:space="preserve">Extraction → Santé : </w:t>
      </w:r>
      <w:r>
        <w:rPr>
          <w:rFonts w:ascii="Arial" w:cs="Arial" w:eastAsia="Arial" w:hAnsi="Arial"/>
          <w:sz w:val="22"/>
          <w:szCs w:val="22"/>
        </w:rPr>
        <w:t xml:space="preserve">Extraction minière → Pollution des eaux → Santé des communautés → Coûts de santé</w:t>
      </w:r>
    </w:p>
    <w:p>
      <w:pPr>
        <w:pStyle w:val="ListParagraph"/>
        <w:numPr>
          <w:ilvl w:val="0"/>
          <w:numId w:val="2"/>
        </w:numPr>
        <w:spacing w:after="80"/>
      </w:pPr>
      <w:r>
        <w:rPr>
          <w:rFonts w:ascii="Arial" w:cs="Arial" w:eastAsia="Arial" w:hAnsi="Arial"/>
          <w:b/>
          <w:bCs/>
          <w:sz w:val="22"/>
          <w:szCs w:val="22"/>
        </w:rPr>
        <w:t xml:space="preserve">Fabrication → Climat : </w:t>
      </w:r>
      <w:r>
        <w:rPr>
          <w:rFonts w:ascii="Arial" w:cs="Arial" w:eastAsia="Arial" w:hAnsi="Arial"/>
          <w:sz w:val="22"/>
          <w:szCs w:val="22"/>
        </w:rPr>
        <w:t xml:space="preserve">Émissions CO₂ → Changement climatique → Événements extrêmes → Migrations</w:t>
      </w:r>
    </w:p>
    <w:p>
      <w:pPr>
        <w:pStyle w:val="ListParagraph"/>
        <w:numPr>
          <w:ilvl w:val="0"/>
          <w:numId w:val="2"/>
        </w:numPr>
        <w:spacing w:after="80"/>
      </w:pPr>
      <w:r>
        <w:rPr>
          <w:rFonts w:ascii="Arial" w:cs="Arial" w:eastAsia="Arial" w:hAnsi="Arial"/>
          <w:b/>
          <w:bCs/>
          <w:sz w:val="22"/>
          <w:szCs w:val="22"/>
        </w:rPr>
        <w:t xml:space="preserve">Transport → Santé urbaine : </w:t>
      </w:r>
      <w:r>
        <w:rPr>
          <w:rFonts w:ascii="Arial" w:cs="Arial" w:eastAsia="Arial" w:hAnsi="Arial"/>
          <w:sz w:val="22"/>
          <w:szCs w:val="22"/>
        </w:rPr>
        <w:t xml:space="preserve">Camions thermiques → NOₓ &amp; particules → Asthme &amp; cardio → Coût santé publique</w:t>
      </w:r>
    </w:p>
    <w:p>
      <w:pPr>
        <w:pStyle w:val="ListParagraph"/>
        <w:numPr>
          <w:ilvl w:val="0"/>
          <w:numId w:val="2"/>
        </w:numPr>
        <w:spacing w:after="80"/>
      </w:pPr>
      <w:r>
        <w:rPr>
          <w:rFonts w:ascii="Arial" w:cs="Arial" w:eastAsia="Arial" w:hAnsi="Arial"/>
          <w:b/>
          <w:bCs/>
          <w:sz w:val="22"/>
          <w:szCs w:val="22"/>
        </w:rPr>
        <w:t xml:space="preserve">Distribution → Territoires : </w:t>
      </w:r>
      <w:r>
        <w:rPr>
          <w:rFonts w:ascii="Arial" w:cs="Arial" w:eastAsia="Arial" w:hAnsi="Arial"/>
          <w:sz w:val="22"/>
          <w:szCs w:val="22"/>
        </w:rPr>
        <w:t xml:space="preserve">E-commerce concentré → Fermeture boutiques → Centres-villes vides → Fracture territoriale</w:t>
      </w:r>
    </w:p>
    <w:p>
      <w:pPr>
        <w:pStyle w:val="ListParagraph"/>
        <w:numPr>
          <w:ilvl w:val="0"/>
          <w:numId w:val="2"/>
        </w:numPr>
        <w:spacing w:after="200"/>
      </w:pPr>
      <w:r>
        <w:rPr>
          <w:rFonts w:ascii="Arial" w:cs="Arial" w:eastAsia="Arial" w:hAnsi="Arial"/>
          <w:b/>
          <w:bCs/>
          <w:sz w:val="22"/>
          <w:szCs w:val="22"/>
        </w:rPr>
        <w:t xml:space="preserve">Fin de vie → Alimentation : </w:t>
      </w:r>
      <w:r>
        <w:rPr>
          <w:rFonts w:ascii="Arial" w:cs="Arial" w:eastAsia="Arial" w:hAnsi="Arial"/>
          <w:sz w:val="22"/>
          <w:szCs w:val="22"/>
        </w:rPr>
        <w:t xml:space="preserve">Micro-plastiques → Contamination océans → Chaîne alimentaire → Santé humaine</w:t>
      </w:r>
    </w:p>
    <w:p>
      <w:pPr>
        <w:pStyle w:val="Heading3"/>
      </w:pPr>
      <w:r>
        <w:t xml:space="preserve">Chaîne causale positive (notre extension) :</w:t>
      </w:r>
    </w:p>
    <w:p>
      <w:pPr>
        <w:pStyle w:val="ListParagraph"/>
        <w:numPr>
          <w:ilvl w:val="0"/>
          <w:numId w:val="2"/>
        </w:numPr>
        <w:spacing w:after="200"/>
      </w:pPr>
      <w:r>
        <w:rPr>
          <w:rFonts w:ascii="Arial" w:cs="Arial" w:eastAsia="Arial" w:hAnsi="Arial"/>
          <w:b/>
          <w:bCs/>
          <w:color w:val="059669"/>
          <w:sz w:val="22"/>
          <w:szCs w:val="22"/>
        </w:rPr>
        <w:t xml:space="preserve">Extension → Changement : </w:t>
      </w:r>
      <w:r>
        <w:rPr>
          <w:rFonts w:ascii="Arial" w:cs="Arial" w:eastAsia="Arial" w:hAnsi="Arial"/>
          <w:sz w:val="22"/>
          <w:szCs w:val="22"/>
        </w:rPr>
        <w:t xml:space="preserve">Transparence achat → Choix éclairés → Pression marché → Pratiques améliorées</w:t>
      </w:r>
    </w:p>
    <w:p>
      <w:pPr>
        <w:spacing w:after="120"/>
      </w:pPr>
      <w:r>
        <w:rPr>
          <w:rFonts w:ascii="Arial" w:cs="Arial" w:eastAsia="Arial" w:hAnsi="Arial"/>
          <w:color w:val="1A1A1A"/>
          <w:sz w:val="22"/>
          <w:szCs w:val="22"/>
        </w:rPr>
        <w:t xml:space="preserve">Notre extension crée un effet systémique positif : en rendant les impacts visibles au moment de l’achat, elle transforme chaque décision de consommation en un signal envoyé au marché, incitant les entreprises à améliorer leurs pratiques.</w:t>
      </w:r>
    </w:p>
    <w:p>
      <w:r>
        <w:br w:type="page"/>
      </w:r>
    </w:p>
    <w:p>
      <w:pPr>
        <w:pStyle w:val="Heading1"/>
      </w:pPr>
      <w:r>
        <w:t xml:space="preserve">Sources</w:t>
      </w:r>
    </w:p>
    <w:p>
      <w:pPr>
        <w:spacing w:after="120"/>
      </w:pPr>
      <w:r>
        <w:rPr>
          <w:rFonts w:ascii="Arial" w:cs="Arial" w:eastAsia="Arial" w:hAnsi="Arial"/>
          <w:color w:val="1A1A1A"/>
          <w:sz w:val="22"/>
          <w:szCs w:val="22"/>
        </w:rPr>
        <w:t xml:space="preserve">Toutes les données présentées dans ce document ont été vérifiées et sont attribuées à des sources publiques. Voici la liste complète des références utilisées :</w:t>
      </w:r>
    </w:p>
    <w:p>
      <w:pPr>
        <w:pStyle w:val="ListParagraph"/>
        <w:numPr>
          <w:ilvl w:val="0"/>
          <w:numId w:val="2"/>
        </w:numPr>
        <w:spacing w:after="60"/>
      </w:pPr>
      <w:r>
        <w:rPr>
          <w:rFonts w:ascii="Arial" w:cs="Arial" w:eastAsia="Arial" w:hAnsi="Arial"/>
          <w:b/>
          <w:bCs/>
          <w:sz w:val="20"/>
          <w:szCs w:val="20"/>
        </w:rPr>
        <w:t xml:space="preserve">ADEME/FNE 2017 : </w:t>
      </w:r>
      <w:hyperlink w:history="1" r:id="rIdge4dubyrozmkvvscorsua">
        <w:r>
          <w:rPr>
            <w:rStyle w:val="Hyperlink"/>
            <w:rFonts w:ascii="Arial" w:cs="Arial" w:eastAsia="Arial" w:hAnsi="Arial"/>
            <w:sz w:val="18"/>
            <w:szCs w:val="18"/>
          </w:rPr>
          <w:t xml:space="preserve">https://www.actu-environnement.com/media/pdf/news-29628-empreinte-cachee-smartphone.pdf</w:t>
        </w:r>
      </w:hyperlink>
    </w:p>
    <w:p>
      <w:pPr>
        <w:pStyle w:val="ListParagraph"/>
        <w:numPr>
          <w:ilvl w:val="0"/>
          <w:numId w:val="2"/>
        </w:numPr>
        <w:spacing w:after="60"/>
      </w:pPr>
      <w:r>
        <w:rPr>
          <w:rFonts w:ascii="Arial" w:cs="Arial" w:eastAsia="Arial" w:hAnsi="Arial"/>
          <w:b/>
          <w:bCs/>
          <w:sz w:val="20"/>
          <w:szCs w:val="20"/>
        </w:rPr>
        <w:t xml:space="preserve">UNICEF 2014 : </w:t>
      </w:r>
      <w:hyperlink w:history="1" r:id="rIdvjzd1qir0-pxphn--rdsv">
        <w:r>
          <w:rPr>
            <w:rStyle w:val="Hyperlink"/>
            <w:rFonts w:ascii="Arial" w:cs="Arial" w:eastAsia="Arial" w:hAnsi="Arial"/>
            <w:sz w:val="18"/>
            <w:szCs w:val="18"/>
          </w:rPr>
          <w:t xml:space="preserve">https://www.unicef.org/drcongo/en/topics/child-labour</w:t>
        </w:r>
      </w:hyperlink>
    </w:p>
    <w:p>
      <w:pPr>
        <w:pStyle w:val="ListParagraph"/>
        <w:numPr>
          <w:ilvl w:val="0"/>
          <w:numId w:val="2"/>
        </w:numPr>
        <w:spacing w:after="60"/>
      </w:pPr>
      <w:r>
        <w:rPr>
          <w:rFonts w:ascii="Arial" w:cs="Arial" w:eastAsia="Arial" w:hAnsi="Arial"/>
          <w:b/>
          <w:bCs/>
          <w:sz w:val="20"/>
          <w:szCs w:val="20"/>
        </w:rPr>
        <w:t xml:space="preserve">Apple Env. Report 2023 : </w:t>
      </w:r>
      <w:hyperlink w:history="1" r:id="rIdl4lkw51zahpwj_v3sxqv-">
        <w:r>
          <w:rPr>
            <w:rStyle w:val="Hyperlink"/>
            <w:rFonts w:ascii="Arial" w:cs="Arial" w:eastAsia="Arial" w:hAnsi="Arial"/>
            <w:sz w:val="18"/>
            <w:szCs w:val="18"/>
          </w:rPr>
          <w:t xml:space="preserve">https://www.apple.com/environment/pdf/Apple_Environmental_Progress_Report_2023.pdf</w:t>
        </w:r>
      </w:hyperlink>
    </w:p>
    <w:p>
      <w:pPr>
        <w:pStyle w:val="ListParagraph"/>
        <w:numPr>
          <w:ilvl w:val="0"/>
          <w:numId w:val="2"/>
        </w:numPr>
        <w:spacing w:after="60"/>
      </w:pPr>
      <w:r>
        <w:rPr>
          <w:rFonts w:ascii="Arial" w:cs="Arial" w:eastAsia="Arial" w:hAnsi="Arial"/>
          <w:b/>
          <w:bCs/>
          <w:sz w:val="20"/>
          <w:szCs w:val="20"/>
        </w:rPr>
        <w:t xml:space="preserve">Apple Env. Report 2021 : </w:t>
      </w:r>
      <w:hyperlink w:history="1" r:id="rIdsbbfds4z2baissdatkvbq">
        <w:r>
          <w:rPr>
            <w:rStyle w:val="Hyperlink"/>
            <w:rFonts w:ascii="Arial" w:cs="Arial" w:eastAsia="Arial" w:hAnsi="Arial"/>
            <w:sz w:val="18"/>
            <w:szCs w:val="18"/>
          </w:rPr>
          <w:t xml:space="preserve">https://www.apple.com/environment/pdf/Apple_Environmental_Progress_Report_2021.pdf</w:t>
        </w:r>
      </w:hyperlink>
    </w:p>
    <w:p>
      <w:pPr>
        <w:pStyle w:val="ListParagraph"/>
        <w:numPr>
          <w:ilvl w:val="0"/>
          <w:numId w:val="2"/>
        </w:numPr>
        <w:spacing w:after="60"/>
      </w:pPr>
      <w:r>
        <w:rPr>
          <w:rFonts w:ascii="Arial" w:cs="Arial" w:eastAsia="Arial" w:hAnsi="Arial"/>
          <w:b/>
          <w:bCs/>
          <w:sz w:val="20"/>
          <w:szCs w:val="20"/>
        </w:rPr>
        <w:t xml:space="preserve">China Labor Watch 2019 : </w:t>
      </w:r>
      <w:hyperlink w:history="1" r:id="rId2afeeh_zsp78zh22rvw_n">
        <w:r>
          <w:rPr>
            <w:rStyle w:val="Hyperlink"/>
            <w:rFonts w:ascii="Arial" w:cs="Arial" w:eastAsia="Arial" w:hAnsi="Arial"/>
            <w:sz w:val="18"/>
            <w:szCs w:val="18"/>
          </w:rPr>
          <w:t xml:space="preserve">https://chinalaborwatch.org/iphone-11-illegally-produced-in-china-apple-allows-supplier-factory-foxconn-to-violate-labor-laws/</w:t>
        </w:r>
      </w:hyperlink>
    </w:p>
    <w:p>
      <w:pPr>
        <w:pStyle w:val="ListParagraph"/>
        <w:numPr>
          <w:ilvl w:val="0"/>
          <w:numId w:val="2"/>
        </w:numPr>
        <w:spacing w:after="60"/>
      </w:pPr>
      <w:r>
        <w:rPr>
          <w:rFonts w:ascii="Arial" w:cs="Arial" w:eastAsia="Arial" w:hAnsi="Arial"/>
          <w:b/>
          <w:bCs/>
          <w:sz w:val="20"/>
          <w:szCs w:val="20"/>
        </w:rPr>
        <w:t xml:space="preserve">ADEME 2023 : </w:t>
      </w:r>
      <w:hyperlink w:history="1" r:id="rIdt7kvj14fsvsiwwodhqisk">
        <w:r>
          <w:rPr>
            <w:rStyle w:val="Hyperlink"/>
            <w:rFonts w:ascii="Arial" w:cs="Arial" w:eastAsia="Arial" w:hAnsi="Arial"/>
            <w:sz w:val="18"/>
            <w:szCs w:val="18"/>
          </w:rPr>
          <w:t xml:space="preserve">https://agirpourlatransition.ademe.fr/particuliers/mieux-consommer/numerique/prolonger-vie-telephone-portable</w:t>
        </w:r>
      </w:hyperlink>
    </w:p>
    <w:p>
      <w:pPr>
        <w:pStyle w:val="ListParagraph"/>
        <w:numPr>
          <w:ilvl w:val="0"/>
          <w:numId w:val="2"/>
        </w:numPr>
        <w:spacing w:after="60"/>
      </w:pPr>
      <w:r>
        <w:rPr>
          <w:rFonts w:ascii="Arial" w:cs="Arial" w:eastAsia="Arial" w:hAnsi="Arial"/>
          <w:b/>
          <w:bCs/>
          <w:sz w:val="20"/>
          <w:szCs w:val="20"/>
        </w:rPr>
        <w:t xml:space="preserve">ADEME 2022 : </w:t>
      </w:r>
      <w:hyperlink w:history="1" r:id="rId3ndqbdkerhzlv3gl0z6qj">
        <w:r>
          <w:rPr>
            <w:rStyle w:val="Hyperlink"/>
            <w:rFonts w:ascii="Arial" w:cs="Arial" w:eastAsia="Arial" w:hAnsi="Arial"/>
            <w:sz w:val="18"/>
            <w:szCs w:val="18"/>
          </w:rPr>
          <w:t xml:space="preserve">https://infos.ademe.fr/article-magazine/limpact-environnemental-du-commerce-en-ligne/</w:t>
        </w:r>
      </w:hyperlink>
    </w:p>
    <w:p>
      <w:pPr>
        <w:pStyle w:val="ListParagraph"/>
        <w:numPr>
          <w:ilvl w:val="0"/>
          <w:numId w:val="2"/>
        </w:numPr>
        <w:spacing w:after="60"/>
      </w:pPr>
      <w:r>
        <w:rPr>
          <w:rFonts w:ascii="Arial" w:cs="Arial" w:eastAsia="Arial" w:hAnsi="Arial"/>
          <w:b/>
          <w:bCs/>
          <w:sz w:val="20"/>
          <w:szCs w:val="20"/>
        </w:rPr>
        <w:t xml:space="preserve">IMO 2020 : </w:t>
      </w:r>
      <w:hyperlink w:history="1" r:id="rIdnoftszpxdj3unagdvr2tc">
        <w:r>
          <w:rPr>
            <w:rStyle w:val="Hyperlink"/>
            <w:rFonts w:ascii="Arial" w:cs="Arial" w:eastAsia="Arial" w:hAnsi="Arial"/>
            <w:sz w:val="18"/>
            <w:szCs w:val="18"/>
          </w:rPr>
          <w:t xml:space="preserve">https://www.imo.org/en/MediaCentre/HotTopics/Pages/Sulphur-2020.aspx</w:t>
        </w:r>
      </w:hyperlink>
    </w:p>
    <w:p>
      <w:pPr>
        <w:pStyle w:val="ListParagraph"/>
        <w:numPr>
          <w:ilvl w:val="0"/>
          <w:numId w:val="2"/>
        </w:numPr>
        <w:spacing w:after="60"/>
      </w:pPr>
      <w:r>
        <w:rPr>
          <w:rFonts w:ascii="Arial" w:cs="Arial" w:eastAsia="Arial" w:hAnsi="Arial"/>
          <w:b/>
          <w:bCs/>
          <w:sz w:val="20"/>
          <w:szCs w:val="20"/>
        </w:rPr>
        <w:t xml:space="preserve">Quinet 2019 : </w:t>
      </w:r>
      <w:hyperlink w:history="1" r:id="rIdwdb_gcq6edwr9btl0r-yv">
        <w:r>
          <w:rPr>
            <w:rStyle w:val="Hyperlink"/>
            <w:rFonts w:ascii="Arial" w:cs="Arial" w:eastAsia="Arial" w:hAnsi="Arial"/>
            <w:sz w:val="18"/>
            <w:szCs w:val="18"/>
          </w:rPr>
          <w:t xml:space="preserve">https://www.strategie.gouv.fr/sites/strategie.gouv.fr/files/atoms/files/dp-valeur-action-pour-climat-fevrier-2019.pdf</w:t>
        </w:r>
      </w:hyperlink>
    </w:p>
    <w:p>
      <w:pPr>
        <w:pStyle w:val="ListParagraph"/>
        <w:numPr>
          <w:ilvl w:val="0"/>
          <w:numId w:val="2"/>
        </w:numPr>
        <w:spacing w:after="60"/>
      </w:pPr>
      <w:r>
        <w:rPr>
          <w:rFonts w:ascii="Arial" w:cs="Arial" w:eastAsia="Arial" w:hAnsi="Arial"/>
          <w:b/>
          <w:bCs/>
          <w:sz w:val="20"/>
          <w:szCs w:val="20"/>
        </w:rPr>
        <w:t xml:space="preserve">Statista 2023 : </w:t>
      </w:r>
      <w:hyperlink w:history="1" r:id="rIdnjuey4lr3wuev5_34a0yo">
        <w:r>
          <w:rPr>
            <w:rStyle w:val="Hyperlink"/>
            <w:rFonts w:ascii="Arial" w:cs="Arial" w:eastAsia="Arial" w:hAnsi="Arial"/>
            <w:sz w:val="18"/>
            <w:szCs w:val="18"/>
          </w:rPr>
          <w:t xml:space="preserve">https://www.statista.com/statistics/871365/reverse-logistics-return-rate-worldwide-by-category/</w:t>
        </w:r>
      </w:hyperlink>
    </w:p>
    <w:p>
      <w:pPr>
        <w:pStyle w:val="ListParagraph"/>
        <w:numPr>
          <w:ilvl w:val="0"/>
          <w:numId w:val="2"/>
        </w:numPr>
        <w:spacing w:after="60"/>
      </w:pPr>
      <w:r>
        <w:rPr>
          <w:rFonts w:ascii="Arial" w:cs="Arial" w:eastAsia="Arial" w:hAnsi="Arial"/>
          <w:b/>
          <w:bCs/>
          <w:sz w:val="20"/>
          <w:szCs w:val="20"/>
        </w:rPr>
        <w:t xml:space="preserve">Commission EU 2021 : </w:t>
      </w:r>
      <w:hyperlink w:history="1" r:id="rId1828mbvxl2ktua4r3dld1">
        <w:r>
          <w:rPr>
            <w:rStyle w:val="Hyperlink"/>
            <w:rFonts w:ascii="Arial" w:cs="Arial" w:eastAsia="Arial" w:hAnsi="Arial"/>
            <w:sz w:val="18"/>
            <w:szCs w:val="18"/>
          </w:rPr>
          <w:t xml:space="preserve">https://ec.europa.eu/commission/presscorner/detail/en/ip_21_269</w:t>
        </w:r>
      </w:hyperlink>
    </w:p>
    <w:p>
      <w:pPr>
        <w:pStyle w:val="ListParagraph"/>
        <w:numPr>
          <w:ilvl w:val="0"/>
          <w:numId w:val="2"/>
        </w:numPr>
        <w:spacing w:after="60"/>
      </w:pPr>
      <w:r>
        <w:rPr>
          <w:rFonts w:ascii="Arial" w:cs="Arial" w:eastAsia="Arial" w:hAnsi="Arial"/>
          <w:b/>
          <w:bCs/>
          <w:sz w:val="20"/>
          <w:szCs w:val="20"/>
        </w:rPr>
        <w:t xml:space="preserve">Procos 2023 : </w:t>
      </w:r>
      <w:hyperlink w:history="1" r:id="rId4oqaroi1qydbelnhscbt5">
        <w:r>
          <w:rPr>
            <w:rStyle w:val="Hyperlink"/>
            <w:rFonts w:ascii="Arial" w:cs="Arial" w:eastAsia="Arial" w:hAnsi="Arial"/>
            <w:sz w:val="18"/>
            <w:szCs w:val="18"/>
          </w:rPr>
          <w:t xml:space="preserve">https://www.procos.org/</w:t>
        </w:r>
      </w:hyperlink>
    </w:p>
    <w:p>
      <w:pPr>
        <w:pStyle w:val="ListParagraph"/>
        <w:numPr>
          <w:ilvl w:val="0"/>
          <w:numId w:val="2"/>
        </w:numPr>
        <w:spacing w:after="60"/>
      </w:pPr>
      <w:r>
        <w:rPr>
          <w:rFonts w:ascii="Arial" w:cs="Arial" w:eastAsia="Arial" w:hAnsi="Arial"/>
          <w:b/>
          <w:bCs/>
          <w:sz w:val="20"/>
          <w:szCs w:val="20"/>
        </w:rPr>
        <w:t xml:space="preserve">DARES 2022 : </w:t>
      </w:r>
      <w:hyperlink w:history="1" r:id="rIdnrorvjdpakc2hkxxyake0">
        <w:r>
          <w:rPr>
            <w:rStyle w:val="Hyperlink"/>
            <w:rFonts w:ascii="Arial" w:cs="Arial" w:eastAsia="Arial" w:hAnsi="Arial"/>
            <w:sz w:val="18"/>
            <w:szCs w:val="18"/>
          </w:rPr>
          <w:t xml:space="preserve">https://dares.travail-emploi.gouv.fr/publication/les-travailleurs-de-plateforme-quels-profils-et-quelles-conditions-de-travail</w:t>
        </w:r>
      </w:hyperlink>
    </w:p>
    <w:p>
      <w:pPr>
        <w:pStyle w:val="ListParagraph"/>
        <w:numPr>
          <w:ilvl w:val="0"/>
          <w:numId w:val="2"/>
        </w:numPr>
        <w:spacing w:after="60"/>
      </w:pPr>
      <w:r>
        <w:rPr>
          <w:rFonts w:ascii="Arial" w:cs="Arial" w:eastAsia="Arial" w:hAnsi="Arial"/>
          <w:b/>
          <w:bCs/>
          <w:sz w:val="20"/>
          <w:szCs w:val="20"/>
        </w:rPr>
        <w:t xml:space="preserve">HOP 2023 : </w:t>
      </w:r>
      <w:hyperlink w:history="1" r:id="rIdvulvjnkodri1yoqcghxwj">
        <w:r>
          <w:rPr>
            <w:rStyle w:val="Hyperlink"/>
            <w:rFonts w:ascii="Arial" w:cs="Arial" w:eastAsia="Arial" w:hAnsi="Arial"/>
            <w:sz w:val="18"/>
            <w:szCs w:val="18"/>
          </w:rPr>
          <w:t xml:space="preserve">https://www.halteobsolescence.org/lindice-de-reparabilite-tient-il-ses-promesses/</w:t>
        </w:r>
      </w:hyperlink>
    </w:p>
    <w:p>
      <w:pPr>
        <w:pStyle w:val="ListParagraph"/>
        <w:numPr>
          <w:ilvl w:val="0"/>
          <w:numId w:val="2"/>
        </w:numPr>
        <w:spacing w:after="60"/>
      </w:pPr>
      <w:r>
        <w:rPr>
          <w:rFonts w:ascii="Arial" w:cs="Arial" w:eastAsia="Arial" w:hAnsi="Arial"/>
          <w:b/>
          <w:bCs/>
          <w:sz w:val="20"/>
          <w:szCs w:val="20"/>
        </w:rPr>
        <w:t xml:space="preserve">UNITAR 2024 : </w:t>
      </w:r>
      <w:hyperlink w:history="1" r:id="rIdidkelwaxrsfn70jc9igbu">
        <w:r>
          <w:rPr>
            <w:rStyle w:val="Hyperlink"/>
            <w:rFonts w:ascii="Arial" w:cs="Arial" w:eastAsia="Arial" w:hAnsi="Arial"/>
            <w:sz w:val="18"/>
            <w:szCs w:val="18"/>
          </w:rPr>
          <w:t xml:space="preserve">https://ewastemonitor.info/the-global-e-waste-monitor-2024/</w:t>
        </w:r>
      </w:hyperlink>
    </w:p>
    <w:p>
      <w:pPr>
        <w:pStyle w:val="ListParagraph"/>
        <w:numPr>
          <w:ilvl w:val="0"/>
          <w:numId w:val="2"/>
        </w:numPr>
        <w:spacing w:after="60"/>
      </w:pPr>
      <w:r>
        <w:rPr>
          <w:rFonts w:ascii="Arial" w:cs="Arial" w:eastAsia="Arial" w:hAnsi="Arial"/>
          <w:b/>
          <w:bCs/>
          <w:sz w:val="20"/>
          <w:szCs w:val="20"/>
        </w:rPr>
        <w:t xml:space="preserve">UNEP 2013 : </w:t>
      </w:r>
      <w:hyperlink w:history="1" r:id="rIdpxr5qwq1pfcrca9ykuiir">
        <w:r>
          <w:rPr>
            <w:rStyle w:val="Hyperlink"/>
            <w:rFonts w:ascii="Arial" w:cs="Arial" w:eastAsia="Arial" w:hAnsi="Arial"/>
            <w:sz w:val="18"/>
            <w:szCs w:val="18"/>
          </w:rPr>
          <w:t xml:space="preserve">https://www.unep.org/resources/report/metal-recycling-opportunities-limits-infrastructure</w:t>
        </w:r>
      </w:hyperlink>
    </w:p>
    <w:p>
      <w:pPr>
        <w:pStyle w:val="ListParagraph"/>
        <w:numPr>
          <w:ilvl w:val="0"/>
          <w:numId w:val="2"/>
        </w:numPr>
        <w:spacing w:after="60"/>
      </w:pPr>
      <w:r>
        <w:rPr>
          <w:rFonts w:ascii="Arial" w:cs="Arial" w:eastAsia="Arial" w:hAnsi="Arial"/>
          <w:b/>
          <w:bCs/>
          <w:sz w:val="20"/>
          <w:szCs w:val="20"/>
        </w:rPr>
        <w:t xml:space="preserve">OECD 2022 : </w:t>
      </w:r>
      <w:hyperlink w:history="1" r:id="rIdhonuo-lkzuk3vkygfc22m">
        <w:r>
          <w:rPr>
            <w:rStyle w:val="Hyperlink"/>
            <w:rFonts w:ascii="Arial" w:cs="Arial" w:eastAsia="Arial" w:hAnsi="Arial"/>
            <w:sz w:val="18"/>
            <w:szCs w:val="18"/>
          </w:rPr>
          <w:t xml:space="preserve">https://www.oecd.org/en/publications/2022/02/global-plastics-outlook_a653d1c9.html</w:t>
        </w:r>
      </w:hyperlink>
    </w:p>
    <w:p>
      <w:pPr>
        <w:spacing w:before="400"/>
      </w:pPr>
    </w:p>
    <w:p>
      <w:pPr>
        <w:pStyle w:val="Heading1"/>
      </w:pPr>
      <w:r>
        <w:t xml:space="preserve">Conclusion</w:t>
      </w:r>
    </w:p>
    <w:p>
      <w:pPr>
        <w:spacing w:after="120"/>
      </w:pPr>
      <w:r>
        <w:rPr>
          <w:rFonts w:ascii="Arial" w:cs="Arial" w:eastAsia="Arial" w:hAnsi="Arial"/>
          <w:color w:val="1A1A1A"/>
          <w:sz w:val="22"/>
          <w:szCs w:val="22"/>
        </w:rPr>
        <w:t xml:space="preserve">1 smartphone = 70 kg de matières premières, ~66 kg de CO₂, 2.5 ans de durée de vie. Notre extension rend ces chiffres visibles au moment de l’achat.</w:t>
      </w:r>
    </w:p>
    <w:p>
      <w:pPr>
        <w:spacing w:after="120"/>
      </w:pPr>
      <w:r>
        <w:rPr>
          <w:rFonts w:ascii="Arial" w:cs="Arial" w:eastAsia="Arial" w:hAnsi="Arial"/>
          <w:color w:val="1A1A1A"/>
          <w:sz w:val="22"/>
          <w:szCs w:val="22"/>
        </w:rPr>
        <w:t xml:space="preserve">En informant le consommateur au point de décision, nous créons un levier de changement systémique : chaque achat éclairé envoie un signal au marché.</w:t>
      </w:r>
    </w:p>
    <w:p>
      <w:pPr>
        <w:spacing w:after="120"/>
      </w:pPr>
      <w:r>
        <w:rPr>
          <w:rFonts w:ascii="Arial" w:cs="Arial" w:eastAsia="Arial" w:hAnsi="Arial"/>
          <w:color w:val="1A1A1A"/>
          <w:sz w:val="22"/>
          <w:szCs w:val="22"/>
        </w:rPr>
        <w:t xml:space="preserve">18 KPIs sourcés sur 4 dimensions ESG+ (Environnement, Social, Économie, Territoire) ont été appliqués au cycle de vie d’un produit concret, avec des données vérifiées et des sources cliquables.</w:t>
      </w:r>
    </w:p>
    <w:p>
      <w:pPr>
        <w:spacing w:before="400"/>
        <w:jc w:val="center"/>
      </w:pPr>
      <w:r>
        <w:rPr>
          <w:rFonts w:ascii="Arial" w:cs="Arial" w:eastAsia="Arial" w:hAnsi="Arial"/>
          <w:b/>
          <w:bCs/>
          <w:color w:val="1F4E79"/>
          <w:sz w:val="22"/>
          <w:szCs w:val="22"/>
        </w:rPr>
        <w:t xml:space="preserve">Groupe 7 — Yoann · Alexis · Clément · Quentin — Epitech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 w:space="4"/>
      </w:pBdr>
    </w:pPr>
    <w:r>
      <w:rPr>
        <w:rFonts w:ascii="Arial" w:cs="Arial" w:eastAsia="Arial" w:hAnsi="Arial"/>
        <w:i/>
        <w:iCs/>
        <w:color w:val="555555"/>
        <w:sz w:val="16"/>
        <w:szCs w:val="16"/>
      </w:rPr>
      <w:t xml:space="preserve">Impact Social &amp; Environnemental du E-Commerce</w:t>
    </w:r>
    <w:r>
      <w:rPr>
        <w:rFonts w:ascii="Arial" w:cs="Arial" w:eastAsia="Arial" w:hAnsi="Arial"/>
        <w:i/>
        <w:iCs/>
        <w:color w:val="555555"/>
        <w:sz w:val="16"/>
        <w:szCs w:val="16"/>
      </w:rPr>
      <w:t xml:space="preserve">		Groupe 7 — Epitech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3rvr1iudemnn5w0ic4cm" Type="http://schemas.openxmlformats.org/officeDocument/2006/relationships/hyperlink" Target="https://ewastemonitor.info/the-global-e-waste-monitor-2024/" TargetMode="External"/><Relationship Id="rId20i1syiibl_xeaanid8-f" Type="http://schemas.openxmlformats.org/officeDocument/2006/relationships/hyperlink" Target="https://www.oecd.org/en/publications/2022/02/global-plastics-outlook_a653d1c9.html" TargetMode="External"/><Relationship Id="rIdijt5s2owrtrgkwjrqyth9" Type="http://schemas.openxmlformats.org/officeDocument/2006/relationships/hyperlink" Target="https://www.unicef.org/drcongo/en/topics/child-labour" TargetMode="External"/><Relationship Id="rIdhr5s6neqatnkugk8lp6yy" Type="http://schemas.openxmlformats.org/officeDocument/2006/relationships/hyperlink" Target="https://www.actu-environnement.com/media/pdf/news-29628-empreinte-cachee-smartphone.pdf" TargetMode="External"/><Relationship Id="rIdtqgi2lvmm860marlr3mce" Type="http://schemas.openxmlformats.org/officeDocument/2006/relationships/hyperlink" Target="https://www.unicef.org/drcongo/en/topics/child-labour" TargetMode="External"/><Relationship Id="rIdc_p8yqxhu0dni6mgyqtb0" Type="http://schemas.openxmlformats.org/officeDocument/2006/relationships/hyperlink" Target="https://www.apple.com/environment/pdf/Apple_Environmental_Progress_Report_2023.pdf" TargetMode="External"/><Relationship Id="rId0ikgtkvfv6ca0n5tl9rj2" Type="http://schemas.openxmlformats.org/officeDocument/2006/relationships/hyperlink" Target="https://chinalaborwatch.org/iphone-11-illegally-produced-in-china-apple-allows-supplier-factory-foxconn-to-violate-labor-laws/" TargetMode="External"/><Relationship Id="rIdccjhsaemteajkatt6gkpj" Type="http://schemas.openxmlformats.org/officeDocument/2006/relationships/hyperlink" Target="https://www.apple.com/environment/pdf/Apple_Environmental_Progress_Report_2023.pdf" TargetMode="External"/><Relationship Id="rIdswllelmkl7-vxyipi7m0i" Type="http://schemas.openxmlformats.org/officeDocument/2006/relationships/hyperlink" Target="https://www.apple.com/environment/pdf/Apple_Environmental_Progress_Report_2021.pdf" TargetMode="External"/><Relationship Id="rIddv1c-kdtlkvj9qiugwxbg" Type="http://schemas.openxmlformats.org/officeDocument/2006/relationships/hyperlink" Target="https://www.apple.com/environment/pdf/Apple_Environmental_Progress_Report_2023.pdf" TargetMode="External"/><Relationship Id="rIdmpkvw9wi8tiatddocceue" Type="http://schemas.openxmlformats.org/officeDocument/2006/relationships/hyperlink" Target="https://www.imo.org/en/MediaCentre/HotTopics/Pages/Sulphur-2020.aspx" TargetMode="External"/><Relationship Id="rIdbdeoufg2lr3ghrgug07lv" Type="http://schemas.openxmlformats.org/officeDocument/2006/relationships/hyperlink" Target="https://www.strategie.gouv.fr/sites/strategie.gouv.fr/files/atoms/files/dp-valeur-action-pour-climat-fevrier-2019.pdf" TargetMode="External"/><Relationship Id="rId0x5rqbl11mzoo-yudboeu" Type="http://schemas.openxmlformats.org/officeDocument/2006/relationships/hyperlink" Target="https://www.statista.com/statistics/871365/reverse-logistics-return-rate-worldwide-by-category/" TargetMode="External"/><Relationship Id="rIdouqw5lykh971uxosewzfc" Type="http://schemas.openxmlformats.org/officeDocument/2006/relationships/hyperlink" Target="https://ec.europa.eu/commission/presscorner/detail/en/ip_21_269" TargetMode="External"/><Relationship Id="rIdgj2kfxgzh_isuibotmd48" Type="http://schemas.openxmlformats.org/officeDocument/2006/relationships/hyperlink" Target="https://www.procos.org/" TargetMode="External"/><Relationship Id="rIdkdlwxqgu_nvljtt-2uuyj" Type="http://schemas.openxmlformats.org/officeDocument/2006/relationships/hyperlink" Target="https://infos.ademe.fr/article-magazine/limpact-environnemental-du-commerce-en-ligne/" TargetMode="External"/><Relationship Id="rId1ldn5msomlkwtsicvy4m7" Type="http://schemas.openxmlformats.org/officeDocument/2006/relationships/hyperlink" Target="https://dares.travail-emploi.gouv.fr/publication/les-travailleurs-de-plateforme-quels-profils-et-quelles-conditions-de-travail" TargetMode="External"/><Relationship Id="rId3qrug92ox0tw2iwe0boei" Type="http://schemas.openxmlformats.org/officeDocument/2006/relationships/hyperlink" Target="https://agirpourlatransition.ademe.fr/particuliers/mieux-consommer/numerique/prolonger-vie-telephone-portable" TargetMode="External"/><Relationship Id="rIdwpa3zuqpx6bugp7hh76x8" Type="http://schemas.openxmlformats.org/officeDocument/2006/relationships/hyperlink" Target="https://www.halteobsolescence.org/lindice-de-reparabilite-tient-il-ses-promesses/" TargetMode="External"/><Relationship Id="rId3skxadlvpnzpxt1-myeim" Type="http://schemas.openxmlformats.org/officeDocument/2006/relationships/hyperlink" Target="https://ewastemonitor.info/the-global-e-waste-monitor-2024/" TargetMode="External"/><Relationship Id="rIdbflbjbt_1b3tq0ciqow6c" Type="http://schemas.openxmlformats.org/officeDocument/2006/relationships/hyperlink" Target="https://www.unep.org/resources/report/metal-recycling-opportunities-limits-infrastructure" TargetMode="External"/><Relationship Id="rIdge4dubyrozmkvvscorsua" Type="http://schemas.openxmlformats.org/officeDocument/2006/relationships/hyperlink" Target="https://www.actu-environnement.com/media/pdf/news-29628-empreinte-cachee-smartphone.pdf" TargetMode="External"/><Relationship Id="rIdvjzd1qir0-pxphn--rdsv" Type="http://schemas.openxmlformats.org/officeDocument/2006/relationships/hyperlink" Target="https://www.unicef.org/drcongo/en/topics/child-labour" TargetMode="External"/><Relationship Id="rIdl4lkw51zahpwj_v3sxqv-" Type="http://schemas.openxmlformats.org/officeDocument/2006/relationships/hyperlink" Target="https://www.apple.com/environment/pdf/Apple_Environmental_Progress_Report_2023.pdf" TargetMode="External"/><Relationship Id="rIdsbbfds4z2baissdatkvbq" Type="http://schemas.openxmlformats.org/officeDocument/2006/relationships/hyperlink" Target="https://www.apple.com/environment/pdf/Apple_Environmental_Progress_Report_2021.pdf" TargetMode="External"/><Relationship Id="rId2afeeh_zsp78zh22rvw_n" Type="http://schemas.openxmlformats.org/officeDocument/2006/relationships/hyperlink" Target="https://chinalaborwatch.org/iphone-11-illegally-produced-in-china-apple-allows-supplier-factory-foxconn-to-violate-labor-laws/" TargetMode="External"/><Relationship Id="rIdt7kvj14fsvsiwwodhqisk" Type="http://schemas.openxmlformats.org/officeDocument/2006/relationships/hyperlink" Target="https://agirpourlatransition.ademe.fr/particuliers/mieux-consommer/numerique/prolonger-vie-telephone-portable" TargetMode="External"/><Relationship Id="rId3ndqbdkerhzlv3gl0z6qj" Type="http://schemas.openxmlformats.org/officeDocument/2006/relationships/hyperlink" Target="https://infos.ademe.fr/article-magazine/limpact-environnemental-du-commerce-en-ligne/" TargetMode="External"/><Relationship Id="rIdnoftszpxdj3unagdvr2tc" Type="http://schemas.openxmlformats.org/officeDocument/2006/relationships/hyperlink" Target="https://www.imo.org/en/MediaCentre/HotTopics/Pages/Sulphur-2020.aspx" TargetMode="External"/><Relationship Id="rIdwdb_gcq6edwr9btl0r-yv" Type="http://schemas.openxmlformats.org/officeDocument/2006/relationships/hyperlink" Target="https://www.strategie.gouv.fr/sites/strategie.gouv.fr/files/atoms/files/dp-valeur-action-pour-climat-fevrier-2019.pdf" TargetMode="External"/><Relationship Id="rIdnjuey4lr3wuev5_34a0yo" Type="http://schemas.openxmlformats.org/officeDocument/2006/relationships/hyperlink" Target="https://www.statista.com/statistics/871365/reverse-logistics-return-rate-worldwide-by-category/" TargetMode="External"/><Relationship Id="rId1828mbvxl2ktua4r3dld1" Type="http://schemas.openxmlformats.org/officeDocument/2006/relationships/hyperlink" Target="https://ec.europa.eu/commission/presscorner/detail/en/ip_21_269" TargetMode="External"/><Relationship Id="rId4oqaroi1qydbelnhscbt5" Type="http://schemas.openxmlformats.org/officeDocument/2006/relationships/hyperlink" Target="https://www.procos.org/" TargetMode="External"/><Relationship Id="rIdnrorvjdpakc2hkxxyake0" Type="http://schemas.openxmlformats.org/officeDocument/2006/relationships/hyperlink" Target="https://dares.travail-emploi.gouv.fr/publication/les-travailleurs-de-plateforme-quels-profils-et-quelles-conditions-de-travail" TargetMode="External"/><Relationship Id="rIdvulvjnkodri1yoqcghxwj" Type="http://schemas.openxmlformats.org/officeDocument/2006/relationships/hyperlink" Target="https://www.halteobsolescence.org/lindice-de-reparabilite-tient-il-ses-promesses/" TargetMode="External"/><Relationship Id="rIdidkelwaxrsfn70jc9igbu" Type="http://schemas.openxmlformats.org/officeDocument/2006/relationships/hyperlink" Target="https://ewastemonitor.info/the-global-e-waste-monitor-2024/" TargetMode="External"/><Relationship Id="rIdpxr5qwq1pfcrca9ykuiir" Type="http://schemas.openxmlformats.org/officeDocument/2006/relationships/hyperlink" Target="https://www.unep.org/resources/report/metal-recycling-opportunities-limits-infrastructure" TargetMode="External"/><Relationship Id="rIdhonuo-lkzuk3vkygfc22m" Type="http://schemas.openxmlformats.org/officeDocument/2006/relationships/hyperlink" Target="https://www.oecd.org/en/publications/2022/02/global-plastics-outlook_a653d1c9.html"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2026-03-13T15:46:01.298Z</dcterms:created>
  <dcterms:modified xsi:type="dcterms:W3CDTF">2026-03-13T15:46:01.299Z</dcterms:modified>
</cp:coreProperties>
</file>

<file path=docProps/custom.xml><?xml version="1.0" encoding="utf-8"?>
<Properties xmlns="http://schemas.openxmlformats.org/officeDocument/2006/custom-properties" xmlns:vt="http://schemas.openxmlformats.org/officeDocument/2006/docPropsVTypes"/>
</file>